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743"/>
        <w:gridCol w:w="927"/>
        <w:gridCol w:w="5410"/>
      </w:tblGrid>
      <w:tr w:rsidR="00D85508" w:rsidTr="00D85508">
        <w:trPr>
          <w:cantSplit/>
          <w:trHeight w:val="829"/>
          <w:jc w:val="center"/>
        </w:trPr>
        <w:tc>
          <w:tcPr>
            <w:tcW w:w="3765" w:type="dxa"/>
            <w:vMerge w:val="restart"/>
            <w:tcBorders>
              <w:top w:val="double" w:sz="4" w:space="0" w:color="auto"/>
              <w:left w:val="double" w:sz="4" w:space="0" w:color="auto"/>
              <w:bottom w:val="single" w:sz="6" w:space="0" w:color="auto"/>
              <w:right w:val="single" w:sz="6" w:space="0" w:color="auto"/>
            </w:tcBorders>
          </w:tcPr>
          <w:p w:rsidR="00D85508" w:rsidRDefault="00D85508">
            <w:pPr>
              <w:jc w:val="center"/>
              <w:rPr>
                <w:b/>
                <w:sz w:val="40"/>
                <w:szCs w:val="32"/>
              </w:rPr>
            </w:pPr>
            <w:r>
              <w:rPr>
                <w:b/>
                <w:sz w:val="40"/>
                <w:szCs w:val="32"/>
              </w:rPr>
              <w:t>St. Anthony</w:t>
            </w:r>
          </w:p>
          <w:p w:rsidR="00D85508" w:rsidRDefault="00D85508">
            <w:pPr>
              <w:jc w:val="center"/>
              <w:rPr>
                <w:b/>
                <w:sz w:val="40"/>
                <w:szCs w:val="32"/>
              </w:rPr>
            </w:pPr>
            <w:smartTag w:uri="urn:schemas-microsoft-com:office:smarttags" w:element="place">
              <w:smartTag w:uri="urn:schemas-microsoft-com:office:smarttags" w:element="PlaceName">
                <w:r>
                  <w:rPr>
                    <w:b/>
                    <w:sz w:val="40"/>
                    <w:szCs w:val="32"/>
                  </w:rPr>
                  <w:t>Regional</w:t>
                </w:r>
              </w:smartTag>
              <w:r>
                <w:rPr>
                  <w:b/>
                  <w:sz w:val="40"/>
                  <w:szCs w:val="32"/>
                </w:rPr>
                <w:t xml:space="preserve"> </w:t>
              </w:r>
              <w:smartTag w:uri="urn:schemas-microsoft-com:office:smarttags" w:element="PlaceType">
                <w:r>
                  <w:rPr>
                    <w:b/>
                    <w:sz w:val="40"/>
                    <w:szCs w:val="32"/>
                  </w:rPr>
                  <w:t>Hospital</w:t>
                </w:r>
              </w:smartTag>
            </w:smartTag>
          </w:p>
          <w:p w:rsidR="00D85508" w:rsidRDefault="00D85508">
            <w:pPr>
              <w:rPr>
                <w:b/>
                <w:sz w:val="32"/>
                <w:szCs w:val="32"/>
              </w:rPr>
            </w:pPr>
          </w:p>
          <w:p w:rsidR="00D85508" w:rsidRDefault="00D85508">
            <w:pPr>
              <w:jc w:val="center"/>
            </w:pPr>
            <w:r>
              <w:t>POLICY/PROCEDURE</w:t>
            </w:r>
          </w:p>
        </w:tc>
        <w:tc>
          <w:tcPr>
            <w:tcW w:w="810"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85508" w:rsidRDefault="00D85508">
            <w:pPr>
              <w:jc w:val="center"/>
              <w:rPr>
                <w:sz w:val="20"/>
              </w:rPr>
            </w:pPr>
            <w:r>
              <w:rPr>
                <w:sz w:val="20"/>
              </w:rPr>
              <w:t>Lab Director</w:t>
            </w:r>
          </w:p>
        </w:tc>
        <w:tc>
          <w:tcPr>
            <w:tcW w:w="5505" w:type="dxa"/>
            <w:tcBorders>
              <w:top w:val="double" w:sz="4" w:space="0" w:color="auto"/>
              <w:left w:val="single" w:sz="6" w:space="0" w:color="auto"/>
              <w:bottom w:val="single" w:sz="6" w:space="0" w:color="auto"/>
              <w:right w:val="double" w:sz="4" w:space="0" w:color="auto"/>
            </w:tcBorders>
          </w:tcPr>
          <w:p w:rsidR="00D85508" w:rsidRDefault="00D85508"/>
        </w:tc>
      </w:tr>
      <w:tr w:rsidR="00D85508" w:rsidTr="00D85508">
        <w:trPr>
          <w:cantSplit/>
          <w:trHeight w:val="829"/>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rsidR="00D85508" w:rsidRDefault="00D85508"/>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D85508" w:rsidRDefault="00D85508">
            <w:pPr>
              <w:jc w:val="center"/>
              <w:rPr>
                <w:sz w:val="20"/>
              </w:rPr>
            </w:pPr>
            <w:r>
              <w:rPr>
                <w:sz w:val="20"/>
              </w:rPr>
              <w:t>Lab Manager</w:t>
            </w:r>
          </w:p>
        </w:tc>
        <w:tc>
          <w:tcPr>
            <w:tcW w:w="5505" w:type="dxa"/>
            <w:tcBorders>
              <w:top w:val="single" w:sz="6" w:space="0" w:color="auto"/>
              <w:left w:val="single" w:sz="6" w:space="0" w:color="auto"/>
              <w:bottom w:val="single" w:sz="6" w:space="0" w:color="auto"/>
              <w:right w:val="double" w:sz="4" w:space="0" w:color="auto"/>
            </w:tcBorders>
          </w:tcPr>
          <w:p w:rsidR="00D85508" w:rsidRDefault="00D85508"/>
        </w:tc>
      </w:tr>
      <w:tr w:rsidR="00D85508" w:rsidTr="00D85508">
        <w:trPr>
          <w:trHeight w:val="525"/>
          <w:jc w:val="center"/>
        </w:trPr>
        <w:tc>
          <w:tcPr>
            <w:tcW w:w="3765" w:type="dxa"/>
            <w:tcBorders>
              <w:top w:val="single" w:sz="6" w:space="0" w:color="auto"/>
              <w:left w:val="double" w:sz="4" w:space="0" w:color="auto"/>
              <w:bottom w:val="single" w:sz="6" w:space="0" w:color="auto"/>
              <w:right w:val="single" w:sz="6" w:space="0" w:color="auto"/>
            </w:tcBorders>
            <w:vAlign w:val="center"/>
            <w:hideMark/>
          </w:tcPr>
          <w:p w:rsidR="00D85508" w:rsidRDefault="00D85508">
            <w:pPr>
              <w:jc w:val="center"/>
            </w:pPr>
            <w:r>
              <w:t>Laboratory</w:t>
            </w:r>
          </w:p>
        </w:tc>
        <w:tc>
          <w:tcPr>
            <w:tcW w:w="6315" w:type="dxa"/>
            <w:gridSpan w:val="2"/>
            <w:tcBorders>
              <w:top w:val="single" w:sz="6" w:space="0" w:color="auto"/>
              <w:left w:val="single" w:sz="6" w:space="0" w:color="auto"/>
              <w:bottom w:val="single" w:sz="6" w:space="0" w:color="auto"/>
              <w:right w:val="double" w:sz="4" w:space="0" w:color="auto"/>
            </w:tcBorders>
            <w:vAlign w:val="center"/>
            <w:hideMark/>
          </w:tcPr>
          <w:p w:rsidR="00D85508" w:rsidRDefault="00D85508">
            <w:pPr>
              <w:jc w:val="center"/>
            </w:pPr>
            <w:r>
              <w:t>Department: General</w:t>
            </w:r>
          </w:p>
        </w:tc>
      </w:tr>
      <w:tr w:rsidR="00D85508" w:rsidTr="00D85508">
        <w:trPr>
          <w:trHeight w:val="525"/>
          <w:jc w:val="center"/>
        </w:trPr>
        <w:tc>
          <w:tcPr>
            <w:tcW w:w="10080" w:type="dxa"/>
            <w:gridSpan w:val="3"/>
            <w:tcBorders>
              <w:top w:val="single" w:sz="6" w:space="0" w:color="auto"/>
              <w:left w:val="double" w:sz="4" w:space="0" w:color="auto"/>
              <w:bottom w:val="double" w:sz="4" w:space="0" w:color="auto"/>
              <w:right w:val="double" w:sz="4" w:space="0" w:color="auto"/>
            </w:tcBorders>
            <w:vAlign w:val="center"/>
            <w:hideMark/>
          </w:tcPr>
          <w:p w:rsidR="00D85508" w:rsidRDefault="00D85508">
            <w:pPr>
              <w:rPr>
                <w:b/>
              </w:rPr>
            </w:pPr>
            <w:r>
              <w:rPr>
                <w:b/>
                <w:sz w:val="32"/>
              </w:rPr>
              <w:t xml:space="preserve">Title: </w:t>
            </w:r>
            <w:r>
              <w:rPr>
                <w:b/>
                <w:sz w:val="32"/>
              </w:rPr>
              <w:fldChar w:fldCharType="begin"/>
            </w:r>
            <w:r>
              <w:rPr>
                <w:b/>
                <w:sz w:val="32"/>
              </w:rPr>
              <w:instrText xml:space="preserve"> FILENAME  \* FirstCap  \* MERGEFORMAT </w:instrText>
            </w:r>
            <w:r>
              <w:rPr>
                <w:b/>
                <w:sz w:val="32"/>
              </w:rPr>
              <w:fldChar w:fldCharType="separate"/>
            </w:r>
            <w:r w:rsidR="005D750A">
              <w:rPr>
                <w:b/>
                <w:noProof/>
                <w:sz w:val="32"/>
              </w:rPr>
              <w:t>SOP.GEN.007 Specimen Rejection Policy 20220822</w:t>
            </w:r>
            <w:r>
              <w:rPr>
                <w:b/>
                <w:sz w:val="32"/>
              </w:rPr>
              <w:fldChar w:fldCharType="end"/>
            </w:r>
            <w:bookmarkStart w:id="0" w:name="_GoBack"/>
            <w:bookmarkEnd w:id="0"/>
          </w:p>
        </w:tc>
      </w:tr>
    </w:tbl>
    <w:p w:rsidR="006A4C46" w:rsidRDefault="006A4C46"/>
    <w:p w:rsidR="00827B38" w:rsidRDefault="0087333B" w:rsidP="00434338">
      <w:r w:rsidRPr="003F09F1">
        <w:rPr>
          <w:b/>
        </w:rPr>
        <w:t xml:space="preserve">Policy: </w:t>
      </w:r>
      <w:r>
        <w:t xml:space="preserve"> Laboratory specimens must meet Laboratory collection criteria to provide quality and reliable results.</w:t>
      </w:r>
    </w:p>
    <w:p w:rsidR="0087333B" w:rsidRDefault="0087333B" w:rsidP="00434338"/>
    <w:p w:rsidR="0087333B" w:rsidRDefault="0087333B" w:rsidP="00434338">
      <w:r w:rsidRPr="003F09F1">
        <w:rPr>
          <w:b/>
        </w:rPr>
        <w:t>Blood:</w:t>
      </w:r>
      <w:r>
        <w:t xml:space="preserve"> Events which may lead to the rejection of specimens include:</w:t>
      </w:r>
    </w:p>
    <w:p w:rsidR="0087333B" w:rsidRDefault="0087333B" w:rsidP="0087333B">
      <w:pPr>
        <w:pStyle w:val="ListParagraph"/>
        <w:numPr>
          <w:ilvl w:val="0"/>
          <w:numId w:val="1"/>
        </w:numPr>
      </w:pPr>
      <w:r>
        <w:t>Specimen does not meet specimen labeling criteria.</w:t>
      </w:r>
    </w:p>
    <w:p w:rsidR="0087333B" w:rsidRDefault="0087333B" w:rsidP="0087333B">
      <w:pPr>
        <w:pStyle w:val="ListParagraph"/>
        <w:numPr>
          <w:ilvl w:val="0"/>
          <w:numId w:val="1"/>
        </w:numPr>
      </w:pPr>
      <w:r>
        <w:t>Specimen improperly collected and/or preserved.</w:t>
      </w:r>
    </w:p>
    <w:p w:rsidR="0087333B" w:rsidRDefault="0087333B" w:rsidP="0087333B">
      <w:pPr>
        <w:pStyle w:val="ListParagraph"/>
        <w:numPr>
          <w:ilvl w:val="0"/>
          <w:numId w:val="1"/>
        </w:numPr>
      </w:pPr>
      <w:r>
        <w:t>Specimen requisition improperly submitted.</w:t>
      </w:r>
    </w:p>
    <w:p w:rsidR="0087333B" w:rsidRDefault="0087333B" w:rsidP="0087333B">
      <w:pPr>
        <w:pStyle w:val="ListParagraph"/>
        <w:numPr>
          <w:ilvl w:val="0"/>
          <w:numId w:val="1"/>
        </w:numPr>
      </w:pPr>
      <w:r>
        <w:t>Quality of the specimen does not meet laboratory standards.</w:t>
      </w:r>
    </w:p>
    <w:p w:rsidR="0087333B" w:rsidRDefault="0087333B" w:rsidP="0087333B">
      <w:pPr>
        <w:pStyle w:val="ListParagraph"/>
        <w:numPr>
          <w:ilvl w:val="0"/>
          <w:numId w:val="1"/>
        </w:numPr>
      </w:pPr>
      <w:r>
        <w:t>Sample quantity not sufficient.</w:t>
      </w:r>
    </w:p>
    <w:p w:rsidR="0087333B" w:rsidRDefault="0087333B" w:rsidP="0087333B">
      <w:pPr>
        <w:pStyle w:val="ListParagraph"/>
        <w:numPr>
          <w:ilvl w:val="0"/>
          <w:numId w:val="1"/>
        </w:numPr>
      </w:pPr>
      <w:r>
        <w:t>Outside of container contaminated (infection hazard).</w:t>
      </w:r>
    </w:p>
    <w:p w:rsidR="0087333B" w:rsidRDefault="0087333B" w:rsidP="0087333B">
      <w:pPr>
        <w:pStyle w:val="ListParagraph"/>
        <w:numPr>
          <w:ilvl w:val="0"/>
          <w:numId w:val="1"/>
        </w:numPr>
      </w:pPr>
      <w:r>
        <w:t>Patient not properly prepared for test sample requirements (such as fasting).</w:t>
      </w:r>
    </w:p>
    <w:p w:rsidR="0087333B" w:rsidRDefault="0087333B" w:rsidP="0087333B"/>
    <w:p w:rsidR="0087333B" w:rsidRDefault="0087333B" w:rsidP="0087333B">
      <w:r>
        <w:t>It is ultimately the responsibility of the ordering physician to make certain that the laboratory is provided with a properly collected and identified specimen for analysis.</w:t>
      </w:r>
    </w:p>
    <w:p w:rsidR="0087333B" w:rsidRDefault="0087333B" w:rsidP="0087333B"/>
    <w:p w:rsidR="0087333B" w:rsidRDefault="0087333B" w:rsidP="0087333B">
      <w:r>
        <w:t>Blood specimens may be rejected for Laborato</w:t>
      </w:r>
      <w:r w:rsidR="00AA1E03">
        <w:t>r</w:t>
      </w:r>
      <w:r>
        <w:t xml:space="preserve">y testing if they are grossly hemolyzed.  Check for interfering substances for other analytes in each Department Manual.  Specimens </w:t>
      </w:r>
      <w:r w:rsidR="00AA1E03">
        <w:t>rejected by the Laborator</w:t>
      </w:r>
      <w:r w:rsidR="003F09F1">
        <w:t>y are not discarded until the ordering Physician or a responsible nurse is notified.</w:t>
      </w:r>
    </w:p>
    <w:p w:rsidR="003F09F1" w:rsidRDefault="003F09F1" w:rsidP="0087333B"/>
    <w:p w:rsidR="003F09F1" w:rsidRDefault="00AA1E03" w:rsidP="0087333B">
      <w:r>
        <w:t>Report any</w:t>
      </w:r>
      <w:r w:rsidR="003F09F1">
        <w:t xml:space="preserve"> information regarding the condition and disposition of any specimens that do not meet the Laboratory criteria for acceptability in the LIS.  Use the comment section.  Note the reason for rejection.  Notify the physician or responsible nurse of the rejection.  If possible, the Laboratory will make every effort to recollect the specimen.</w:t>
      </w:r>
    </w:p>
    <w:p w:rsidR="003F09F1" w:rsidRDefault="003F09F1" w:rsidP="0087333B"/>
    <w:p w:rsidR="003F09F1" w:rsidRDefault="003F09F1" w:rsidP="0087333B">
      <w:r w:rsidRPr="003F09F1">
        <w:rPr>
          <w:b/>
        </w:rPr>
        <w:t>Urine:</w:t>
      </w:r>
      <w:r>
        <w:t xml:space="preserve"> Urine specimens may be rejected by the Laboratory if they meet the following criteria:</w:t>
      </w:r>
    </w:p>
    <w:p w:rsidR="003F09F1" w:rsidRDefault="003F09F1" w:rsidP="003F09F1">
      <w:pPr>
        <w:pStyle w:val="ListParagraph"/>
        <w:numPr>
          <w:ilvl w:val="0"/>
          <w:numId w:val="2"/>
        </w:numPr>
      </w:pPr>
      <w:r>
        <w:t>Insufficient amount of urine.</w:t>
      </w:r>
    </w:p>
    <w:p w:rsidR="003F09F1" w:rsidRDefault="003F09F1" w:rsidP="003F09F1">
      <w:pPr>
        <w:pStyle w:val="ListParagraph"/>
        <w:numPr>
          <w:ilvl w:val="0"/>
          <w:numId w:val="2"/>
        </w:numPr>
      </w:pPr>
      <w:r>
        <w:t>Specimen leaked out of the container.</w:t>
      </w:r>
    </w:p>
    <w:p w:rsidR="003F09F1" w:rsidRDefault="003F09F1" w:rsidP="003F09F1">
      <w:pPr>
        <w:pStyle w:val="ListParagraph"/>
        <w:numPr>
          <w:ilvl w:val="0"/>
          <w:numId w:val="2"/>
        </w:numPr>
      </w:pPr>
      <w:r>
        <w:t>Non-sterile container if specimen is for a culture and sensitivity.</w:t>
      </w:r>
    </w:p>
    <w:p w:rsidR="003F09F1" w:rsidRDefault="003F09F1" w:rsidP="003F09F1">
      <w:pPr>
        <w:pStyle w:val="ListParagraph"/>
        <w:numPr>
          <w:ilvl w:val="0"/>
          <w:numId w:val="2"/>
        </w:numPr>
      </w:pPr>
      <w:r>
        <w:t>Specimen improperly labeled.</w:t>
      </w:r>
    </w:p>
    <w:p w:rsidR="003F09F1" w:rsidRDefault="003F09F1" w:rsidP="003F09F1">
      <w:pPr>
        <w:pStyle w:val="ListParagraph"/>
        <w:numPr>
          <w:ilvl w:val="0"/>
          <w:numId w:val="2"/>
        </w:numPr>
      </w:pPr>
      <w:r>
        <w:t>Delay of transport to the Laboratory.</w:t>
      </w:r>
    </w:p>
    <w:p w:rsidR="003F09F1" w:rsidRDefault="003F09F1" w:rsidP="003F09F1">
      <w:pPr>
        <w:pStyle w:val="ListParagraph"/>
        <w:numPr>
          <w:ilvl w:val="0"/>
          <w:numId w:val="2"/>
        </w:numPr>
      </w:pPr>
      <w:r>
        <w:t>Specimens that have been sitting at room temperature for more than two hours.</w:t>
      </w:r>
    </w:p>
    <w:p w:rsidR="00914608" w:rsidRDefault="00914608">
      <w:pPr>
        <w:spacing w:after="200" w:line="276" w:lineRule="auto"/>
      </w:pPr>
      <w:r>
        <w:br w:type="page"/>
      </w:r>
    </w:p>
    <w:p w:rsidR="003F09F1" w:rsidRDefault="003F09F1" w:rsidP="003F09F1">
      <w:pPr>
        <w:pStyle w:val="ListParagraph"/>
      </w:pPr>
    </w:p>
    <w:p w:rsidR="003F09F1" w:rsidRDefault="003F09F1" w:rsidP="003F09F1">
      <w:r w:rsidRPr="003F09F1">
        <w:rPr>
          <w:b/>
        </w:rPr>
        <w:t>Specimens for Culturing:</w:t>
      </w:r>
      <w:r>
        <w:t xml:space="preserve">  Specimens for culturing may be rejected based on the following criteria:</w:t>
      </w:r>
    </w:p>
    <w:p w:rsidR="003F09F1" w:rsidRDefault="003F09F1" w:rsidP="003F09F1">
      <w:pPr>
        <w:pStyle w:val="ListParagraph"/>
        <w:numPr>
          <w:ilvl w:val="0"/>
          <w:numId w:val="3"/>
        </w:numPr>
      </w:pPr>
      <w:r>
        <w:t>Dried out swabs.</w:t>
      </w:r>
    </w:p>
    <w:p w:rsidR="003F09F1" w:rsidRDefault="003F09F1" w:rsidP="003F09F1">
      <w:pPr>
        <w:pStyle w:val="ListParagraph"/>
        <w:numPr>
          <w:ilvl w:val="0"/>
          <w:numId w:val="3"/>
        </w:numPr>
      </w:pPr>
      <w:r>
        <w:t>Incorrect collection swab used.</w:t>
      </w:r>
    </w:p>
    <w:p w:rsidR="003F09F1" w:rsidRDefault="003F09F1" w:rsidP="003F09F1">
      <w:pPr>
        <w:pStyle w:val="ListParagraph"/>
        <w:numPr>
          <w:ilvl w:val="0"/>
          <w:numId w:val="3"/>
        </w:numPr>
      </w:pPr>
      <w:r>
        <w:t>Improperly labeled specimen.</w:t>
      </w:r>
    </w:p>
    <w:p w:rsidR="003F09F1" w:rsidRDefault="003F09F1" w:rsidP="003F09F1">
      <w:pPr>
        <w:pStyle w:val="ListParagraph"/>
        <w:numPr>
          <w:ilvl w:val="0"/>
          <w:numId w:val="3"/>
        </w:numPr>
      </w:pPr>
      <w:r>
        <w:t>Evaluation of specimen does not meet acceptable criteria per Procedure Manual.</w:t>
      </w:r>
    </w:p>
    <w:p w:rsidR="003F09F1" w:rsidRDefault="003F09F1" w:rsidP="003F09F1">
      <w:pPr>
        <w:pStyle w:val="ListParagraph"/>
        <w:numPr>
          <w:ilvl w:val="1"/>
          <w:numId w:val="3"/>
        </w:numPr>
      </w:pPr>
      <w:r>
        <w:t>Notify the Physician or responsible nurse that the specimen is being rejected.</w:t>
      </w:r>
    </w:p>
    <w:p w:rsidR="003F09F1" w:rsidRDefault="003F09F1" w:rsidP="003F09F1"/>
    <w:p w:rsidR="003F09F1" w:rsidRDefault="003F09F1" w:rsidP="003F09F1">
      <w:r w:rsidRPr="003F09F1">
        <w:rPr>
          <w:b/>
        </w:rPr>
        <w:t>Stool Specimen:</w:t>
      </w:r>
      <w:r>
        <w:t xml:space="preserve">  Stool specimens that have an order for C.difficile may be rejected if the stool is formed.</w:t>
      </w:r>
    </w:p>
    <w:p w:rsidR="003F09F1" w:rsidRDefault="003F09F1" w:rsidP="003F09F1"/>
    <w:p w:rsidR="003F09F1" w:rsidRPr="003F09F1" w:rsidRDefault="003F09F1" w:rsidP="003F09F1">
      <w:pPr>
        <w:rPr>
          <w:b/>
        </w:rPr>
      </w:pPr>
      <w:r w:rsidRPr="003F09F1">
        <w:rPr>
          <w:b/>
        </w:rPr>
        <w:t>If a specimen is rejected for any reason – document the reason in the Specimen Rejection binder in the front of the lab.</w:t>
      </w:r>
    </w:p>
    <w:sectPr w:rsidR="003F09F1" w:rsidRPr="003F09F1" w:rsidSect="006A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3079"/>
    <w:multiLevelType w:val="hybridMultilevel"/>
    <w:tmpl w:val="90C6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3A2D20"/>
    <w:multiLevelType w:val="hybridMultilevel"/>
    <w:tmpl w:val="A2E84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D11B2"/>
    <w:multiLevelType w:val="hybridMultilevel"/>
    <w:tmpl w:val="A03245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42233F"/>
    <w:rsid w:val="000E60C5"/>
    <w:rsid w:val="000F49D7"/>
    <w:rsid w:val="00131497"/>
    <w:rsid w:val="003F09F1"/>
    <w:rsid w:val="004128D0"/>
    <w:rsid w:val="004145A5"/>
    <w:rsid w:val="0042233F"/>
    <w:rsid w:val="00434338"/>
    <w:rsid w:val="004A555D"/>
    <w:rsid w:val="005D750A"/>
    <w:rsid w:val="00603BD6"/>
    <w:rsid w:val="006123D1"/>
    <w:rsid w:val="006334A8"/>
    <w:rsid w:val="006914FD"/>
    <w:rsid w:val="006A4C46"/>
    <w:rsid w:val="007E4C70"/>
    <w:rsid w:val="007E5097"/>
    <w:rsid w:val="00827B38"/>
    <w:rsid w:val="0087333B"/>
    <w:rsid w:val="00914608"/>
    <w:rsid w:val="00950B59"/>
    <w:rsid w:val="009552B2"/>
    <w:rsid w:val="0097612B"/>
    <w:rsid w:val="00994B09"/>
    <w:rsid w:val="009C46AC"/>
    <w:rsid w:val="00A05EFD"/>
    <w:rsid w:val="00A129FD"/>
    <w:rsid w:val="00AA1E03"/>
    <w:rsid w:val="00B603B8"/>
    <w:rsid w:val="00CD64E9"/>
    <w:rsid w:val="00CE2386"/>
    <w:rsid w:val="00D85508"/>
    <w:rsid w:val="00D96456"/>
    <w:rsid w:val="00DD5BF2"/>
    <w:rsid w:val="00DF0B4B"/>
    <w:rsid w:val="00EC1550"/>
    <w:rsid w:val="00ED57B0"/>
    <w:rsid w:val="00F34CE9"/>
    <w:rsid w:val="00F6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9279E09-4D62-4A4F-977E-A33AFC78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B38"/>
    <w:rPr>
      <w:color w:val="0000FF" w:themeColor="hyperlink"/>
      <w:u w:val="single"/>
    </w:rPr>
  </w:style>
  <w:style w:type="character" w:styleId="FollowedHyperlink">
    <w:name w:val="FollowedHyperlink"/>
    <w:basedOn w:val="DefaultParagraphFont"/>
    <w:uiPriority w:val="99"/>
    <w:semiHidden/>
    <w:unhideWhenUsed/>
    <w:rsid w:val="00827B38"/>
    <w:rPr>
      <w:color w:val="800080" w:themeColor="followedHyperlink"/>
      <w:u w:val="single"/>
    </w:rPr>
  </w:style>
  <w:style w:type="paragraph" w:styleId="ListParagraph">
    <w:name w:val="List Paragraph"/>
    <w:basedOn w:val="Normal"/>
    <w:uiPriority w:val="34"/>
    <w:qFormat/>
    <w:rsid w:val="00873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8920">
      <w:bodyDiv w:val="1"/>
      <w:marLeft w:val="0"/>
      <w:marRight w:val="0"/>
      <w:marTop w:val="0"/>
      <w:marBottom w:val="0"/>
      <w:divBdr>
        <w:top w:val="none" w:sz="0" w:space="0" w:color="auto"/>
        <w:left w:val="none" w:sz="0" w:space="0" w:color="auto"/>
        <w:bottom w:val="none" w:sz="0" w:space="0" w:color="auto"/>
        <w:right w:val="none" w:sz="0" w:space="0" w:color="auto"/>
      </w:divBdr>
    </w:div>
    <w:div w:id="48104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SARH</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Joseph D. Stipe</cp:lastModifiedBy>
  <cp:revision>8</cp:revision>
  <cp:lastPrinted>2012-01-17T20:30:00Z</cp:lastPrinted>
  <dcterms:created xsi:type="dcterms:W3CDTF">2019-02-13T17:26:00Z</dcterms:created>
  <dcterms:modified xsi:type="dcterms:W3CDTF">2022-08-23T13:54:00Z</dcterms:modified>
</cp:coreProperties>
</file>