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CB7E8C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D54375" w:rsidRDefault="00535F14" w:rsidP="004700D9">
      <w:pPr>
        <w:ind w:left="720"/>
        <w:rPr>
          <w:rFonts w:ascii="Times New Roman" w:hAnsi="Times New Roman"/>
        </w:rPr>
      </w:pPr>
      <w:r w:rsidRPr="00535F14">
        <w:rPr>
          <w:rFonts w:ascii="Times New Roman" w:hAnsi="Times New Roman"/>
        </w:rPr>
        <w:t>To provide a procedure for the gross examination of a pneumonectomy specimen.</w:t>
      </w:r>
    </w:p>
    <w:p w:rsidR="00535F14" w:rsidRPr="004700D9" w:rsidRDefault="00535F14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CB7E8C" w:rsidP="00631197">
      <w:pPr>
        <w:pStyle w:val="ListParagraph"/>
        <w:rPr>
          <w:rFonts w:ascii="Times New Roman" w:hAnsi="Times New Roman"/>
          <w:szCs w:val="24"/>
        </w:rPr>
      </w:pPr>
      <w:r w:rsidRPr="00CB7E8C">
        <w:rPr>
          <w:rFonts w:ascii="Times New Roman" w:hAnsi="Times New Roman"/>
          <w:szCs w:val="24"/>
        </w:rPr>
        <w:t>To take histologic sections to demonstrate the tumor so that a diagnosis can be made microscopically by a Pathologist.  All margins and all lymph nodes should be examined microscopically.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4700D9" w:rsidRPr="00A402CF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4700D9" w:rsidRDefault="00CB7E8C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 Ink</w:t>
      </w:r>
    </w:p>
    <w:p w:rsidR="005B58F7" w:rsidRPr="0016754E" w:rsidRDefault="00CB7E8C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</w:t>
      </w:r>
      <w:r w:rsidR="005B58F7">
        <w:rPr>
          <w:rFonts w:ascii="Times New Roman" w:hAnsi="Times New Roman"/>
          <w:szCs w:val="24"/>
        </w:rPr>
        <w:t xml:space="preserve"> Ink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be </w:t>
      </w:r>
      <w:r w:rsidR="0016754E">
        <w:rPr>
          <w:rFonts w:ascii="Times New Roman" w:hAnsi="Times New Roman"/>
          <w:szCs w:val="24"/>
        </w:rPr>
        <w:t xml:space="preserve">insufflated and fixed in formalin. </w:t>
      </w:r>
    </w:p>
    <w:p w:rsidR="00535F14" w:rsidRDefault="00535F14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 specimen is for mesothelioma, it should be cut in a coronal plane.</w:t>
      </w:r>
    </w:p>
    <w:p w:rsidR="00625F4F" w:rsidRPr="0016754E" w:rsidRDefault="00625F4F" w:rsidP="0016754E">
      <w:pPr>
        <w:rPr>
          <w:rFonts w:ascii="Times New Roman" w:hAnsi="Times New Roman"/>
          <w:b/>
          <w:szCs w:val="24"/>
        </w:rPr>
      </w:pPr>
    </w:p>
    <w:p w:rsidR="00CB7E8C" w:rsidRDefault="00CB7E8C" w:rsidP="00CB7E8C">
      <w:pPr>
        <w:pStyle w:val="ListParagraph"/>
        <w:rPr>
          <w:rFonts w:ascii="Times New Roman" w:hAnsi="Times New Roman"/>
          <w:b/>
          <w:szCs w:val="24"/>
        </w:rPr>
      </w:pPr>
    </w:p>
    <w:p w:rsidR="00CB7E8C" w:rsidRDefault="00CB7E8C" w:rsidP="00CB7E8C">
      <w:pPr>
        <w:pStyle w:val="ListParagraph"/>
        <w:rPr>
          <w:rFonts w:ascii="Times New Roman" w:hAnsi="Times New Roman"/>
          <w:b/>
          <w:szCs w:val="24"/>
        </w:rPr>
      </w:pPr>
    </w:p>
    <w:p w:rsidR="00CB7E8C" w:rsidRDefault="00CB7E8C" w:rsidP="00CB7E8C">
      <w:pPr>
        <w:pStyle w:val="ListParagraph"/>
        <w:rPr>
          <w:rFonts w:ascii="Times New Roman" w:hAnsi="Times New Roman"/>
          <w:b/>
          <w:szCs w:val="24"/>
        </w:rPr>
      </w:pPr>
    </w:p>
    <w:p w:rsidR="00CB7E8C" w:rsidRDefault="00CB7E8C" w:rsidP="00CB7E8C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:rsid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The specimen will arrive fresh or in formalin.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 xml:space="preserve">Upon receipt in the lab, the specimen should be insufflated with formalin.  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Weigh the specimen before insufflating with formalin.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Note and describe the lobes that are present and measure each in three dimensions (cm).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Measure any other attached anatomical structures (ex:  diaphragm).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Measure the attached portion of bronchus in 2 dimensions (cm.) and describe.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Describe any attached vessels.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 xml:space="preserve">Describe the pleura and ink any suspicious areas </w:t>
      </w:r>
      <w:r>
        <w:rPr>
          <w:rFonts w:ascii="Times New Roman" w:hAnsi="Times New Roman"/>
          <w:szCs w:val="24"/>
        </w:rPr>
        <w:t>(avoid black).</w:t>
      </w:r>
      <w:r w:rsidRPr="00535F14">
        <w:rPr>
          <w:rFonts w:ascii="Times New Roman" w:hAnsi="Times New Roman"/>
          <w:szCs w:val="24"/>
        </w:rPr>
        <w:t xml:space="preserve">  </w:t>
      </w:r>
    </w:p>
    <w:p w:rsid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Use vinegar as a mordant for the ink.</w:t>
      </w:r>
    </w:p>
    <w:p w:rsidR="008458CD" w:rsidRDefault="008458CD" w:rsidP="008458CD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Shave the bronchial and vascular margins.</w:t>
      </w:r>
    </w:p>
    <w:p w:rsidR="008458CD" w:rsidRPr="008458CD" w:rsidRDefault="008458CD" w:rsidP="008458CD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Serially section the specimen.</w:t>
      </w:r>
      <w:r w:rsidRPr="008458CD">
        <w:rPr>
          <w:rFonts w:ascii="Times New Roman" w:hAnsi="Times New Roman"/>
          <w:szCs w:val="24"/>
        </w:rPr>
        <w:t xml:space="preserve"> </w:t>
      </w:r>
      <w:r w:rsidRPr="00535F14">
        <w:rPr>
          <w:rFonts w:ascii="Times New Roman" w:hAnsi="Times New Roman"/>
          <w:szCs w:val="24"/>
        </w:rPr>
        <w:t>If the specimen is for mesothelioma, it should be cut in a coronal plane to better assess the extent of the tumor involvement.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Identify the tumor or pathologic process and describe the size, shape, color, location, consistency and components that are involved.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 xml:space="preserve">Describe and measure the tumor and its relationship to the bronchial margin and to the pleura. For adenocarcinoma, if there is a solid component and softer, spongier component, include a measurement of the entire mass and a measurement of just the solid component. 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Open the bronchi and vessels to see if there is tumor involvement and describe.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Examine and describe the uninvolved parenchyma.</w:t>
      </w:r>
    </w:p>
    <w:p w:rsidR="00535F14" w:rsidRDefault="008458CD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Identify and submit all lymph nodes within the specimen, designation which station they are from (Stations 10 Hilar, 11 </w:t>
      </w:r>
      <w:proofErr w:type="spellStart"/>
      <w:r>
        <w:rPr>
          <w:rFonts w:ascii="Times New Roman" w:hAnsi="Times New Roman"/>
          <w:szCs w:val="24"/>
        </w:rPr>
        <w:t>Interlobar</w:t>
      </w:r>
      <w:proofErr w:type="spellEnd"/>
      <w:r>
        <w:rPr>
          <w:rFonts w:ascii="Times New Roman" w:hAnsi="Times New Roman"/>
          <w:szCs w:val="24"/>
        </w:rPr>
        <w:t xml:space="preserve">, 12 Lobar, 13 Segmental, and 14 </w:t>
      </w:r>
      <w:proofErr w:type="spellStart"/>
      <w:r>
        <w:rPr>
          <w:rFonts w:ascii="Times New Roman" w:hAnsi="Times New Roman"/>
          <w:szCs w:val="24"/>
        </w:rPr>
        <w:t>Subsegmental</w:t>
      </w:r>
      <w:proofErr w:type="spellEnd"/>
      <w:r>
        <w:rPr>
          <w:rFonts w:ascii="Times New Roman" w:hAnsi="Times New Roman"/>
          <w:szCs w:val="24"/>
        </w:rPr>
        <w:t xml:space="preserve">). See “Lung Lymph Node Search” procedure for a detailed description. </w:t>
      </w:r>
    </w:p>
    <w:p w:rsidR="008458CD" w:rsidRPr="00535F14" w:rsidRDefault="008458CD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section of lung parenchyma with bronchioles should be submitted from each station that lymph nodes are not identified. 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Submit the bronchial and vascular margins.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Submit one section per centimeter of the tumor including sections of the closest pleura and adjacent parenchyma, bronchi, and/or vessels.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If the specimen is for mesothelioma, all pleural margins should be extensively sampled.</w:t>
      </w:r>
    </w:p>
    <w:p w:rsidR="00535F14" w:rsidRPr="00061B52" w:rsidRDefault="00535F14" w:rsidP="00061B52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Submit a few sections of grossly uninvolved parenchyma including a section from each lobe of the specimen.</w:t>
      </w:r>
    </w:p>
    <w:p w:rsidR="00535F14" w:rsidRPr="00535F14" w:rsidRDefault="00535F14" w:rsidP="00535F1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35F14">
        <w:rPr>
          <w:rFonts w:ascii="Times New Roman" w:hAnsi="Times New Roman"/>
          <w:szCs w:val="24"/>
        </w:rPr>
        <w:t>The cassettes should be loaded on the appropriate end of day tissue processor.</w:t>
      </w:r>
    </w:p>
    <w:p w:rsidR="00210BD7" w:rsidRPr="00210BD7" w:rsidRDefault="00210BD7" w:rsidP="00210BD7">
      <w:pPr>
        <w:rPr>
          <w:rFonts w:ascii="Times New Roman" w:hAnsi="Times New Roman"/>
          <w:b/>
          <w:szCs w:val="24"/>
        </w:rPr>
      </w:pPr>
    </w:p>
    <w:p w:rsidR="00210BD7" w:rsidRDefault="00210B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:rsidR="00210BD7" w:rsidRPr="00210BD7" w:rsidRDefault="00210BD7" w:rsidP="00210BD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Lung Lymph Node Search – RA.SP.PR.GR.LU.05</w:t>
      </w: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16754E" w:rsidRDefault="0016754E" w:rsidP="009201E5">
      <w:pPr>
        <w:pStyle w:val="ListParagraph"/>
        <w:rPr>
          <w:rFonts w:ascii="Times New Roman" w:hAnsi="Times New Roman"/>
          <w:szCs w:val="24"/>
        </w:rPr>
      </w:pPr>
    </w:p>
    <w:p w:rsidR="0001334F" w:rsidRPr="0016754E" w:rsidRDefault="0016754E" w:rsidP="0016754E">
      <w:pPr>
        <w:pStyle w:val="ListParagraph"/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Leslie KO, Wick MR: Practical Pulmonary Pathology: A Diagnostic Approach, 1</w:t>
      </w:r>
      <w:r w:rsidRPr="0016754E">
        <w:rPr>
          <w:rFonts w:ascii="Times New Roman" w:hAnsi="Times New Roman"/>
          <w:szCs w:val="24"/>
          <w:vertAlign w:val="superscript"/>
        </w:rPr>
        <w:t>st</w:t>
      </w:r>
      <w:r w:rsidRPr="0016754E">
        <w:rPr>
          <w:rFonts w:ascii="Times New Roman" w:hAnsi="Times New Roman"/>
          <w:szCs w:val="24"/>
        </w:rPr>
        <w:t xml:space="preserve"> ed., New York, NY, Churchill Livingstone, 2004</w:t>
      </w:r>
    </w:p>
    <w:p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sectPr w:rsidR="00D143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3F6892" w:rsidRPr="00F00A29" w:rsidRDefault="0046327C" w:rsidP="003F6892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S:\AP_Grossing_Manual</w:t>
      </w:r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403362">
        <w:rPr>
          <w:rFonts w:ascii="Times New Roman" w:hAnsi="Times New Roman"/>
          <w:bCs/>
          <w:szCs w:val="24"/>
        </w:rPr>
        <w:t xml:space="preserve">Master </w:t>
      </w:r>
      <w:r w:rsidR="003F6892" w:rsidRPr="00403362">
        <w:rPr>
          <w:rFonts w:ascii="Times New Roman" w:hAnsi="Times New Roman"/>
          <w:bCs/>
          <w:szCs w:val="24"/>
        </w:rPr>
        <w:t>Grossing Manual</w:t>
      </w:r>
      <w:r w:rsidR="00566DB2" w:rsidRPr="00403362">
        <w:rPr>
          <w:rFonts w:ascii="Times New Roman" w:hAnsi="Times New Roman"/>
          <w:bCs/>
          <w:szCs w:val="24"/>
        </w:rPr>
        <w:t xml:space="preserve"> located</w:t>
      </w:r>
      <w:r w:rsidR="00566DB2" w:rsidRPr="00F00A29">
        <w:rPr>
          <w:rFonts w:ascii="Times New Roman" w:hAnsi="Times New Roman"/>
          <w:bCs/>
          <w:szCs w:val="24"/>
        </w:rPr>
        <w:t xml:space="preserve"> in </w:t>
      </w:r>
      <w:r w:rsidR="00403362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3023FB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1E2467" w:rsidRPr="00FF4158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Prepared by: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Anne </w:t>
            </w:r>
            <w:proofErr w:type="spellStart"/>
            <w:r w:rsidR="004700D9" w:rsidRPr="00FF4158">
              <w:rPr>
                <w:rFonts w:ascii="Times New Roman" w:hAnsi="Times New Roman"/>
                <w:i/>
                <w:sz w:val="22"/>
                <w:szCs w:val="22"/>
              </w:rPr>
              <w:t>Tranchida</w:t>
            </w:r>
            <w:proofErr w:type="spellEnd"/>
            <w:r w:rsidR="004700D9" w:rsidRPr="00FF4158">
              <w:rPr>
                <w:rFonts w:ascii="Times New Roman" w:hAnsi="Times New Roman"/>
                <w:i/>
                <w:sz w:val="22"/>
                <w:szCs w:val="22"/>
              </w:rPr>
              <w:t>, PA(ASCP</w:t>
            </w:r>
            <w:r w:rsidR="008A1BBD" w:rsidRPr="00FF415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FD1503" w:rsidRPr="00FF4158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FF4158" w:rsidRDefault="00061B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8/9</w:t>
            </w:r>
            <w:r w:rsidR="004700D9" w:rsidRPr="00FF4158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F4158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F415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FF4158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FF4158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  <w:p w:rsidR="00FD1503" w:rsidRPr="00FF4158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FF4158" w:rsidRDefault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10/23</w:t>
            </w:r>
            <w:r w:rsidR="004700D9" w:rsidRPr="00FF4158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F4158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F415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:rsidTr="00AE1355">
        <w:tc>
          <w:tcPr>
            <w:tcW w:w="3798" w:type="dxa"/>
          </w:tcPr>
          <w:p w:rsidR="005B1BBE" w:rsidRPr="00FF4158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5B1BBE" w:rsidRPr="00FF4158" w:rsidRDefault="005B1BBE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FF4158">
              <w:rPr>
                <w:rFonts w:ascii="Times New Roman" w:hAnsi="Times New Roman"/>
                <w:sz w:val="22"/>
                <w:szCs w:val="22"/>
              </w:rPr>
              <w:t>0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:rsidR="005B1BBE" w:rsidRPr="00FF4158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1BBE" w:rsidRPr="00FF4158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1BBE" w:rsidRPr="00FF4158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FF4158" w:rsidRDefault="004F57CE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FF4158" w:rsidRDefault="004F57CE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FF4158" w:rsidRDefault="0016754E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</w:t>
            </w:r>
            <w:r w:rsidR="004F57CE" w:rsidRPr="00FF4158">
              <w:rPr>
                <w:rFonts w:ascii="Times New Roman" w:hAnsi="Times New Roman"/>
                <w:sz w:val="22"/>
                <w:szCs w:val="22"/>
              </w:rPr>
              <w:t>/0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3</w:t>
            </w:r>
            <w:r w:rsidR="004F57CE" w:rsidRPr="00FF4158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061B5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061B52" w:rsidRPr="00FF4158" w:rsidRDefault="00061B5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4/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7/2015</w:t>
            </w:r>
          </w:p>
        </w:tc>
        <w:tc>
          <w:tcPr>
            <w:tcW w:w="720" w:type="dxa"/>
          </w:tcPr>
          <w:p w:rsidR="00061B52" w:rsidRPr="00FF4158" w:rsidRDefault="00061B52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061B52" w:rsidRPr="00FF4158" w:rsidRDefault="00061B5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61B52" w:rsidRPr="00FF4158" w:rsidRDefault="00061B5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061B5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61B52" w:rsidRPr="00FF4158" w:rsidRDefault="00061B5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061B52" w:rsidRPr="00FF4158" w:rsidRDefault="00061B52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061B52" w:rsidRPr="00FF4158" w:rsidRDefault="00061B5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61B52" w:rsidRPr="00FF4158" w:rsidRDefault="00061B5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061B5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FF415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FF415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061B52" w:rsidRPr="00FF4158" w:rsidRDefault="00061B5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3/15/2018</w:t>
            </w:r>
          </w:p>
        </w:tc>
        <w:tc>
          <w:tcPr>
            <w:tcW w:w="720" w:type="dxa"/>
          </w:tcPr>
          <w:p w:rsidR="00061B52" w:rsidRPr="00FF4158" w:rsidRDefault="00061B52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061B52" w:rsidRPr="00FF4158" w:rsidRDefault="00061B52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Added step for measurement of solid component of adenocarcinoma</w:t>
            </w:r>
          </w:p>
        </w:tc>
        <w:tc>
          <w:tcPr>
            <w:tcW w:w="1548" w:type="dxa"/>
          </w:tcPr>
          <w:p w:rsidR="00061B52" w:rsidRPr="00FF4158" w:rsidRDefault="00061B5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061B5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61B52" w:rsidRPr="00FF4158" w:rsidRDefault="00061B5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3/15/2018</w:t>
            </w:r>
          </w:p>
        </w:tc>
        <w:tc>
          <w:tcPr>
            <w:tcW w:w="720" w:type="dxa"/>
          </w:tcPr>
          <w:p w:rsidR="00061B52" w:rsidRPr="00FF4158" w:rsidRDefault="00061B52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061B52" w:rsidRPr="00FF4158" w:rsidRDefault="00061B5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61B52" w:rsidRPr="00FF4158" w:rsidRDefault="00061B5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061B52" w:rsidP="00004495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61B52" w:rsidRPr="00FF4158" w:rsidRDefault="00061B5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10/21/2019</w:t>
            </w:r>
          </w:p>
        </w:tc>
        <w:tc>
          <w:tcPr>
            <w:tcW w:w="720" w:type="dxa"/>
          </w:tcPr>
          <w:p w:rsidR="00061B52" w:rsidRPr="00FF4158" w:rsidRDefault="00061B52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061B52" w:rsidP="00004495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FF415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FF415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061B52" w:rsidRPr="00FF4158" w:rsidRDefault="00061B5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7/14/2021</w:t>
            </w:r>
          </w:p>
        </w:tc>
        <w:tc>
          <w:tcPr>
            <w:tcW w:w="720" w:type="dxa"/>
          </w:tcPr>
          <w:p w:rsidR="00061B52" w:rsidRPr="00FF4158" w:rsidRDefault="00061B52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reference to Lung Lymph Node Search Procedure</w:t>
            </w:r>
          </w:p>
        </w:tc>
        <w:tc>
          <w:tcPr>
            <w:tcW w:w="1548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061B52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4033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E6531"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="002E6531" w:rsidRPr="00FF415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="002E6531" w:rsidRPr="00FF415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61B52" w:rsidRPr="00FF4158" w:rsidRDefault="002E6531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7/19/2021</w:t>
            </w:r>
          </w:p>
        </w:tc>
        <w:tc>
          <w:tcPr>
            <w:tcW w:w="720" w:type="dxa"/>
          </w:tcPr>
          <w:p w:rsidR="00061B52" w:rsidRPr="00FF4158" w:rsidRDefault="00061B52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403362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61B52" w:rsidRPr="00FF4158" w:rsidRDefault="0040336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061B52" w:rsidRPr="00FF4158" w:rsidRDefault="00403362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0221E" w:rsidRDefault="00F0221E" w:rsidP="00004495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Arshad,MD</w:t>
            </w:r>
            <w:proofErr w:type="spellEnd"/>
          </w:p>
        </w:tc>
        <w:tc>
          <w:tcPr>
            <w:tcW w:w="1260" w:type="dxa"/>
          </w:tcPr>
          <w:p w:rsidR="00061B52" w:rsidRPr="00FF4158" w:rsidRDefault="00F0221E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:rsidR="00061B52" w:rsidRPr="00FF4158" w:rsidRDefault="00F0221E" w:rsidP="00F022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B52" w:rsidRPr="00E36920" w:rsidTr="00AE1355">
        <w:tc>
          <w:tcPr>
            <w:tcW w:w="3798" w:type="dxa"/>
          </w:tcPr>
          <w:p w:rsidR="00061B52" w:rsidRPr="00FF4158" w:rsidRDefault="00061B52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061B52" w:rsidRPr="00FF4158" w:rsidRDefault="00061B5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61B52" w:rsidRPr="00FF4158" w:rsidRDefault="00061B52" w:rsidP="00F022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61B52" w:rsidRPr="00FF4158" w:rsidRDefault="00061B5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3362" w:rsidRPr="00E36920" w:rsidTr="00AE1355">
        <w:tc>
          <w:tcPr>
            <w:tcW w:w="3798" w:type="dxa"/>
          </w:tcPr>
          <w:p w:rsidR="00403362" w:rsidRPr="00FF4158" w:rsidRDefault="00403362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362" w:rsidRPr="00FF4158" w:rsidRDefault="0040336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403362" w:rsidRPr="00FF4158" w:rsidRDefault="00403362" w:rsidP="00F022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03362" w:rsidRPr="00FF4158" w:rsidRDefault="0040336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3362" w:rsidRPr="00FF4158" w:rsidRDefault="0040336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3362" w:rsidRPr="00E36920" w:rsidTr="00AE1355">
        <w:tc>
          <w:tcPr>
            <w:tcW w:w="3798" w:type="dxa"/>
          </w:tcPr>
          <w:p w:rsidR="00403362" w:rsidRPr="00FF4158" w:rsidRDefault="00403362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362" w:rsidRPr="00FF4158" w:rsidRDefault="00403362" w:rsidP="00F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403362" w:rsidRPr="00FF4158" w:rsidRDefault="00403362" w:rsidP="00F022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03362" w:rsidRPr="00FF4158" w:rsidRDefault="0040336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3362" w:rsidRPr="00FF4158" w:rsidRDefault="00403362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F0221E">
      <w:headerReference w:type="first" r:id="rId13"/>
      <w:footerReference w:type="first" r:id="rId14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FB" w:rsidRDefault="00302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F0221E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785EB6">
      <w:rPr>
        <w:rFonts w:ascii="Times New Roman" w:hAnsi="Times New Roman"/>
        <w:sz w:val="20"/>
      </w:rPr>
      <w:t>0</w:t>
    </w:r>
    <w:r w:rsidR="00CB7E8C">
      <w:rPr>
        <w:rFonts w:ascii="Times New Roman" w:hAnsi="Times New Roman"/>
        <w:sz w:val="20"/>
      </w:rPr>
      <w:t>7</w:t>
    </w:r>
    <w:r w:rsidR="00785EB6">
      <w:rPr>
        <w:rFonts w:ascii="Times New Roman" w:hAnsi="Times New Roman"/>
        <w:sz w:val="20"/>
      </w:rPr>
      <w:t>/</w:t>
    </w:r>
    <w:r w:rsidR="00CB7E8C">
      <w:rPr>
        <w:rFonts w:ascii="Times New Roman" w:hAnsi="Times New Roman"/>
        <w:sz w:val="20"/>
      </w:rPr>
      <w:t>14</w:t>
    </w:r>
    <w:r w:rsidR="00785EB6">
      <w:rPr>
        <w:rFonts w:ascii="Times New Roman" w:hAnsi="Times New Roman"/>
        <w:sz w:val="20"/>
      </w:rPr>
      <w:t>/20</w:t>
    </w:r>
    <w:r w:rsidR="00CB7E8C">
      <w:rPr>
        <w:rFonts w:ascii="Times New Roman" w:hAnsi="Times New Roman"/>
        <w:sz w:val="20"/>
      </w:rPr>
      <w:t>21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16754E">
      <w:rPr>
        <w:rFonts w:ascii="Times New Roman" w:hAnsi="Times New Roman"/>
        <w:sz w:val="20"/>
      </w:rPr>
      <w:t>LU.0</w:t>
    </w:r>
    <w:r w:rsidR="00061B52">
      <w:rPr>
        <w:rFonts w:ascii="Times New Roman" w:hAnsi="Times New Roman"/>
        <w:sz w:val="20"/>
      </w:rPr>
      <w:t>3</w:t>
    </w:r>
    <w:r w:rsidR="0016754E">
      <w:rPr>
        <w:rFonts w:ascii="Times New Roman" w:hAnsi="Times New Roman"/>
        <w:sz w:val="20"/>
      </w:rPr>
      <w:t>.r0</w:t>
    </w:r>
    <w:r w:rsidR="00CB7E8C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3023FB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F0221E">
      <w:rPr>
        <w:rFonts w:ascii="Times New Roman" w:hAnsi="Times New Roman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 w:rsidR="003023FB">
      <w:rPr>
        <w:rFonts w:ascii="Times New Roman" w:hAnsi="Times New Roman"/>
        <w:noProof/>
        <w:sz w:val="20"/>
      </w:rPr>
      <w:t>1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 w:rsidR="00F0221E">
      <w:rPr>
        <w:rFonts w:ascii="Times New Roman" w:hAnsi="Times New Roman"/>
        <w:sz w:val="20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FB" w:rsidRPr="00303721" w:rsidRDefault="003023FB" w:rsidP="003023F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bookmarkStart w:id="0" w:name="_GoBack"/>
    <w:bookmarkEnd w:id="0"/>
    <w:r>
      <w:rPr>
        <w:rFonts w:ascii="Times New Roman" w:hAnsi="Times New Roman"/>
        <w:sz w:val="20"/>
      </w:rPr>
      <w:t>COREWELL HEALTH EAST LABORATORY</w:t>
    </w:r>
  </w:p>
  <w:p w:rsidR="003023FB" w:rsidRPr="00303721" w:rsidRDefault="003023FB" w:rsidP="003023FB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07/14/2021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SP.PR.GR.LU.03.r02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 w:val="20"/>
      </w:rPr>
      <w:tab/>
    </w: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4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FB" w:rsidRDefault="0030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16754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LUNG - </w:t>
    </w:r>
    <w:r w:rsidR="008458CD">
      <w:rPr>
        <w:rFonts w:ascii="Times New Roman" w:hAnsi="Times New Roman"/>
        <w:szCs w:val="24"/>
      </w:rPr>
      <w:t>PNEUMONECTOMY</w:t>
    </w:r>
  </w:p>
  <w:p w:rsidR="003A1FEB" w:rsidRPr="00AB41BB" w:rsidRDefault="003A1FEB" w:rsidP="00AB4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62" w:rsidRDefault="00403362" w:rsidP="00403362">
    <w:pPr>
      <w:tabs>
        <w:tab w:val="left" w:pos="5400"/>
      </w:tabs>
    </w:pPr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362" w:rsidRDefault="00403362" w:rsidP="00403362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625F4F" w:rsidRPr="00470A85" w:rsidRDefault="00625F4F" w:rsidP="00403362">
    <w:pPr>
      <w:pStyle w:val="Header"/>
      <w:tabs>
        <w:tab w:val="clear" w:pos="4320"/>
        <w:tab w:val="clear" w:pos="864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  <w:t xml:space="preserve">                               </w:t>
    </w:r>
    <w:r w:rsidR="00403362">
      <w:rPr>
        <w:b/>
        <w:sz w:val="28"/>
        <w:szCs w:val="28"/>
      </w:rPr>
      <w:tab/>
    </w:r>
    <w:r w:rsidR="00403362">
      <w:rPr>
        <w:b/>
        <w:sz w:val="28"/>
        <w:szCs w:val="28"/>
      </w:rPr>
      <w:tab/>
    </w:r>
    <w:r w:rsidR="00403362">
      <w:rPr>
        <w:b/>
        <w:sz w:val="28"/>
        <w:szCs w:val="28"/>
      </w:rPr>
      <w:tab/>
    </w:r>
    <w:r w:rsidRPr="00470A85">
      <w:rPr>
        <w:rFonts w:ascii="Times New Roman" w:hAnsi="Times New Roman"/>
        <w:szCs w:val="24"/>
      </w:rPr>
      <w:t xml:space="preserve">Effective Date: </w:t>
    </w:r>
    <w:r w:rsidR="00CB7E8C">
      <w:rPr>
        <w:rFonts w:ascii="Times New Roman" w:hAnsi="Times New Roman"/>
        <w:szCs w:val="24"/>
      </w:rPr>
      <w:t>July 14, 2021</w:t>
    </w:r>
  </w:p>
  <w:p w:rsidR="00625F4F" w:rsidRPr="00470A85" w:rsidRDefault="00403362" w:rsidP="00403362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625F4F"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CB7E8C">
      <w:rPr>
        <w:rFonts w:ascii="Times New Roman" w:hAnsi="Times New Roman"/>
        <w:spacing w:val="0"/>
        <w:sz w:val="24"/>
        <w:szCs w:val="24"/>
      </w:rPr>
      <w:t>February 23, 2018</w:t>
    </w:r>
  </w:p>
  <w:p w:rsidR="00625F4F" w:rsidRDefault="00625F4F" w:rsidP="00CB7E8C">
    <w:pPr>
      <w:pStyle w:val="CompanyName"/>
      <w:framePr w:w="0" w:hRule="auto" w:hSpace="0" w:wrap="auto" w:vAnchor="margin" w:hAnchor="text" w:yAlign="inline"/>
      <w:tabs>
        <w:tab w:val="left" w:pos="7470"/>
      </w:tabs>
      <w:ind w:left="5400"/>
      <w:rPr>
        <w:rFonts w:ascii="Times New Roman" w:hAnsi="Times New Roman"/>
        <w:spacing w:val="0"/>
        <w:sz w:val="24"/>
        <w:szCs w:val="24"/>
      </w:rPr>
    </w:pPr>
    <w:r w:rsidRPr="00470A85">
      <w:rPr>
        <w:rFonts w:ascii="Times New Roman" w:hAnsi="Times New Roman"/>
        <w:spacing w:val="0"/>
        <w:sz w:val="24"/>
        <w:szCs w:val="24"/>
      </w:rPr>
      <w:t xml:space="preserve">Related Documents: </w:t>
    </w:r>
    <w:r w:rsidR="00CB7E8C">
      <w:rPr>
        <w:rFonts w:ascii="Times New Roman" w:hAnsi="Times New Roman"/>
        <w:spacing w:val="0"/>
        <w:sz w:val="24"/>
        <w:szCs w:val="24"/>
      </w:rPr>
      <w:t>Lung Lymph Node                                                          Search</w:t>
    </w:r>
  </w:p>
  <w:p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CB3893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LUNG - </w:t>
    </w:r>
    <w:r w:rsidR="00535F14">
      <w:rPr>
        <w:rFonts w:ascii="Times New Roman" w:hAnsi="Times New Roman"/>
        <w:sz w:val="28"/>
      </w:rPr>
      <w:t>PNEUMONECTOMY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CB3893">
      <w:rPr>
        <w:rFonts w:ascii="Times New Roman" w:hAnsi="Times New Roman"/>
        <w:sz w:val="24"/>
        <w:szCs w:val="24"/>
      </w:rPr>
      <w:t>LU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535F14">
      <w:rPr>
        <w:rFonts w:ascii="Times New Roman" w:hAnsi="Times New Roman"/>
        <w:sz w:val="24"/>
        <w:szCs w:val="24"/>
      </w:rPr>
      <w:t>3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CB7E8C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16754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LUNG - </w:t>
    </w:r>
    <w:r w:rsidR="00061B52">
      <w:rPr>
        <w:rFonts w:ascii="Times New Roman" w:hAnsi="Times New Roman"/>
        <w:szCs w:val="24"/>
      </w:rPr>
      <w:t>PNEUMONECTOMY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6E7"/>
    <w:multiLevelType w:val="hybridMultilevel"/>
    <w:tmpl w:val="A4FA8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518B1"/>
    <w:multiLevelType w:val="hybridMultilevel"/>
    <w:tmpl w:val="03EA7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21"/>
  </w:num>
  <w:num w:numId="9">
    <w:abstractNumId w:val="5"/>
  </w:num>
  <w:num w:numId="10">
    <w:abstractNumId w:val="2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6"/>
  </w:num>
  <w:num w:numId="16">
    <w:abstractNumId w:val="23"/>
  </w:num>
  <w:num w:numId="17">
    <w:abstractNumId w:val="19"/>
  </w:num>
  <w:num w:numId="18">
    <w:abstractNumId w:val="18"/>
  </w:num>
  <w:num w:numId="19">
    <w:abstractNumId w:val="1"/>
  </w:num>
  <w:num w:numId="20">
    <w:abstractNumId w:val="8"/>
  </w:num>
  <w:num w:numId="21">
    <w:abstractNumId w:val="16"/>
  </w:num>
  <w:num w:numId="22">
    <w:abstractNumId w:val="14"/>
  </w:num>
  <w:num w:numId="23">
    <w:abstractNumId w:val="4"/>
  </w:num>
  <w:num w:numId="2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93652FE-A4AB-4D27-88EF-0853EAA456FD}"/>
    <w:docVar w:name="dgnword-eventsink" w:val="2898354083120"/>
  </w:docVars>
  <w:rsids>
    <w:rsidRoot w:val="001E2467"/>
    <w:rsid w:val="000033CF"/>
    <w:rsid w:val="00003EB9"/>
    <w:rsid w:val="00004495"/>
    <w:rsid w:val="0001334F"/>
    <w:rsid w:val="0001624F"/>
    <w:rsid w:val="000425F7"/>
    <w:rsid w:val="00057DEF"/>
    <w:rsid w:val="00060E38"/>
    <w:rsid w:val="00061B52"/>
    <w:rsid w:val="00067801"/>
    <w:rsid w:val="000C35B1"/>
    <w:rsid w:val="000F5CD4"/>
    <w:rsid w:val="0011650E"/>
    <w:rsid w:val="0012581B"/>
    <w:rsid w:val="00156ACD"/>
    <w:rsid w:val="00157F1F"/>
    <w:rsid w:val="0016754E"/>
    <w:rsid w:val="001877BD"/>
    <w:rsid w:val="00192264"/>
    <w:rsid w:val="001E2467"/>
    <w:rsid w:val="00210BD7"/>
    <w:rsid w:val="00215165"/>
    <w:rsid w:val="00291C35"/>
    <w:rsid w:val="002A5F9B"/>
    <w:rsid w:val="002E6531"/>
    <w:rsid w:val="003023FB"/>
    <w:rsid w:val="00303721"/>
    <w:rsid w:val="00323C65"/>
    <w:rsid w:val="003468CB"/>
    <w:rsid w:val="0035734A"/>
    <w:rsid w:val="003A1FEB"/>
    <w:rsid w:val="003A4E07"/>
    <w:rsid w:val="003B0853"/>
    <w:rsid w:val="003F6892"/>
    <w:rsid w:val="00403362"/>
    <w:rsid w:val="0046327C"/>
    <w:rsid w:val="004700D9"/>
    <w:rsid w:val="004844A2"/>
    <w:rsid w:val="004C6310"/>
    <w:rsid w:val="004D1E42"/>
    <w:rsid w:val="004E7601"/>
    <w:rsid w:val="004F57CE"/>
    <w:rsid w:val="005020B1"/>
    <w:rsid w:val="005044DF"/>
    <w:rsid w:val="00535F14"/>
    <w:rsid w:val="00544A0C"/>
    <w:rsid w:val="00551F46"/>
    <w:rsid w:val="00566DB2"/>
    <w:rsid w:val="005A20C3"/>
    <w:rsid w:val="005A6A6E"/>
    <w:rsid w:val="005B1BBE"/>
    <w:rsid w:val="005B58F7"/>
    <w:rsid w:val="005E266A"/>
    <w:rsid w:val="00616F46"/>
    <w:rsid w:val="00625F4F"/>
    <w:rsid w:val="00631197"/>
    <w:rsid w:val="00654D18"/>
    <w:rsid w:val="00686289"/>
    <w:rsid w:val="006B7CA9"/>
    <w:rsid w:val="007300EA"/>
    <w:rsid w:val="007450E7"/>
    <w:rsid w:val="00783257"/>
    <w:rsid w:val="00785EB6"/>
    <w:rsid w:val="007C0006"/>
    <w:rsid w:val="00800B99"/>
    <w:rsid w:val="00812BD3"/>
    <w:rsid w:val="00830D30"/>
    <w:rsid w:val="00837BA8"/>
    <w:rsid w:val="00841D69"/>
    <w:rsid w:val="008458CD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52F87"/>
    <w:rsid w:val="009A748C"/>
    <w:rsid w:val="009F7BDC"/>
    <w:rsid w:val="00A402CF"/>
    <w:rsid w:val="00A42895"/>
    <w:rsid w:val="00A7295D"/>
    <w:rsid w:val="00A80F6C"/>
    <w:rsid w:val="00AB41BB"/>
    <w:rsid w:val="00AE1355"/>
    <w:rsid w:val="00AE7685"/>
    <w:rsid w:val="00B01DA5"/>
    <w:rsid w:val="00B13E71"/>
    <w:rsid w:val="00B50288"/>
    <w:rsid w:val="00B64717"/>
    <w:rsid w:val="00B652F0"/>
    <w:rsid w:val="00BA6D3A"/>
    <w:rsid w:val="00BE707D"/>
    <w:rsid w:val="00C03363"/>
    <w:rsid w:val="00C16B12"/>
    <w:rsid w:val="00C55624"/>
    <w:rsid w:val="00C74AD9"/>
    <w:rsid w:val="00C74D5A"/>
    <w:rsid w:val="00C74E9C"/>
    <w:rsid w:val="00C9112C"/>
    <w:rsid w:val="00CB3893"/>
    <w:rsid w:val="00CB7E8C"/>
    <w:rsid w:val="00CF79F6"/>
    <w:rsid w:val="00D143FB"/>
    <w:rsid w:val="00D3381D"/>
    <w:rsid w:val="00D54375"/>
    <w:rsid w:val="00D72ED0"/>
    <w:rsid w:val="00DA207B"/>
    <w:rsid w:val="00DB16B9"/>
    <w:rsid w:val="00E33DD7"/>
    <w:rsid w:val="00E36920"/>
    <w:rsid w:val="00E53A40"/>
    <w:rsid w:val="00EF06E5"/>
    <w:rsid w:val="00F00A29"/>
    <w:rsid w:val="00F0221E"/>
    <w:rsid w:val="00F417B6"/>
    <w:rsid w:val="00F71A5D"/>
    <w:rsid w:val="00FA34DB"/>
    <w:rsid w:val="00FA7382"/>
    <w:rsid w:val="00FD1503"/>
    <w:rsid w:val="00FD3F41"/>
    <w:rsid w:val="00FE448E"/>
    <w:rsid w:val="00FF3F69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75B76EB5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7</cp:revision>
  <cp:lastPrinted>2021-07-14T18:08:00Z</cp:lastPrinted>
  <dcterms:created xsi:type="dcterms:W3CDTF">2021-07-14T18:13:00Z</dcterms:created>
  <dcterms:modified xsi:type="dcterms:W3CDTF">2024-02-08T14:43:00Z</dcterms:modified>
</cp:coreProperties>
</file>