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3"/>
        <w:tblW w:w="10374" w:type="dxa"/>
        <w:tblBorders>
          <w:top w:val="double" w:sz="2" w:space="0" w:color="auto"/>
          <w:left w:val="double" w:sz="2" w:space="0" w:color="auto"/>
          <w:bottom w:val="double" w:sz="2" w:space="0" w:color="auto"/>
          <w:right w:val="double" w:sz="2" w:space="0" w:color="auto"/>
        </w:tblBorders>
        <w:tblLayout w:type="fixed"/>
        <w:tblCellMar>
          <w:left w:w="120" w:type="dxa"/>
          <w:right w:w="120" w:type="dxa"/>
        </w:tblCellMar>
        <w:tblLook w:val="0000" w:firstRow="0" w:lastRow="0" w:firstColumn="0" w:lastColumn="0" w:noHBand="0" w:noVBand="0"/>
      </w:tblPr>
      <w:tblGrid>
        <w:gridCol w:w="403"/>
        <w:gridCol w:w="1617"/>
        <w:gridCol w:w="1610"/>
        <w:gridCol w:w="1710"/>
        <w:gridCol w:w="2880"/>
        <w:gridCol w:w="2154"/>
      </w:tblGrid>
      <w:tr w:rsidR="00132A26" w:rsidTr="00132A26">
        <w:trPr>
          <w:trHeight w:val="1538"/>
        </w:trPr>
        <w:tc>
          <w:tcPr>
            <w:tcW w:w="3630" w:type="dxa"/>
            <w:gridSpan w:val="3"/>
            <w:tcBorders>
              <w:right w:val="single" w:sz="2" w:space="0" w:color="auto"/>
            </w:tcBorders>
          </w:tcPr>
          <w:p w:rsidR="00132A26" w:rsidRPr="00D659D6" w:rsidRDefault="00132A26" w:rsidP="001B0A99">
            <w:pPr>
              <w:tabs>
                <w:tab w:val="left" w:pos="-720"/>
              </w:tabs>
              <w:suppressAutoHyphens/>
              <w:spacing w:before="90" w:after="54"/>
              <w:jc w:val="center"/>
              <w:rPr>
                <w:rFonts w:ascii="Arial" w:hAnsi="Arial"/>
              </w:rPr>
            </w:pPr>
            <w:r>
              <w:rPr>
                <w:noProof/>
                <w:snapToGrid/>
              </w:rPr>
              <w:drawing>
                <wp:anchor distT="0" distB="0" distL="114300" distR="114300" simplePos="0" relativeHeight="251656192" behindDoc="0" locked="0" layoutInCell="1" allowOverlap="1" wp14:anchorId="295E2D23" wp14:editId="1CF65AA1">
                  <wp:simplePos x="0" y="0"/>
                  <wp:positionH relativeFrom="column">
                    <wp:posOffset>5715</wp:posOffset>
                  </wp:positionH>
                  <wp:positionV relativeFrom="page">
                    <wp:posOffset>117475</wp:posOffset>
                  </wp:positionV>
                  <wp:extent cx="2137410" cy="374650"/>
                  <wp:effectExtent l="0" t="0" r="0" b="6350"/>
                  <wp:wrapSquare wrapText="bothSides"/>
                  <wp:docPr id="5" name="Picture 5" descr="/Volumes/dsm/UPH/Creative Services/Graphic Design/Logos/UnityPoint Health/UnityPoint Health/png/1 UP Health 2c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dsm/UPH/Creative Services/Graphic Design/Logos/UnityPoint Health/UnityPoint Health/png/1 UP Health 2c 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741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rPr>
              <mc:AlternateContent>
                <mc:Choice Requires="wps">
                  <w:drawing>
                    <wp:anchor distT="0" distB="0" distL="114300" distR="114300" simplePos="0" relativeHeight="251657216" behindDoc="0" locked="0" layoutInCell="1" allowOverlap="1" wp14:anchorId="31FF8DD5" wp14:editId="33F0F8D3">
                      <wp:simplePos x="0" y="0"/>
                      <wp:positionH relativeFrom="column">
                        <wp:posOffset>10795</wp:posOffset>
                      </wp:positionH>
                      <wp:positionV relativeFrom="paragraph">
                        <wp:posOffset>530225</wp:posOffset>
                      </wp:positionV>
                      <wp:extent cx="2468880" cy="2374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37490"/>
                              </a:xfrm>
                              <a:prstGeom prst="rect">
                                <a:avLst/>
                              </a:prstGeom>
                              <a:noFill/>
                              <a:ln w="9525">
                                <a:noFill/>
                                <a:miter lim="800000"/>
                                <a:headEnd/>
                                <a:tailEnd/>
                              </a:ln>
                            </wps:spPr>
                            <wps:txbx>
                              <w:txbxContent>
                                <w:p w:rsidR="00132A26" w:rsidRPr="001A7E3F" w:rsidRDefault="00132A26" w:rsidP="00132A26">
                                  <w:pPr>
                                    <w:jc w:val="center"/>
                                    <w:rPr>
                                      <w:rFonts w:ascii="Arial" w:hAnsi="Arial" w:cs="Arial"/>
                                    </w:rPr>
                                  </w:pPr>
                                  <w:r w:rsidRPr="001A7E3F">
                                    <w:rPr>
                                      <w:rFonts w:ascii="Arial" w:hAnsi="Arial" w:cs="Arial"/>
                                    </w:rPr>
                                    <w:t>METHODIST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5pt;margin-top:41.75pt;width:194.4pt;height:18.7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" filled="f" stroked="f">
                      <v:textbox style="mso-fit-shape-to-text:t">
                        <w:txbxContent>
                          <w:p w:rsidR="00132A26" w:rsidRPr="001A7E3F" w:rsidRDefault="00132A26" w:rsidP="00132A26">
                            <w:pPr>
                              <w:jc w:val="center"/>
                              <w:rPr>
                                <w:rFonts w:ascii="Arial" w:hAnsi="Arial" w:cs="Arial"/>
                              </w:rPr>
                            </w:pPr>
                            <w:r w:rsidRPr="001A7E3F">
                              <w:rPr>
                                <w:rFonts w:ascii="Arial" w:hAnsi="Arial" w:cs="Arial"/>
                              </w:rPr>
                              <w:t>METHODIST</w:t>
                            </w:r>
                          </w:p>
                        </w:txbxContent>
                      </v:textbox>
                    </v:shape>
                  </w:pict>
                </mc:Fallback>
              </mc:AlternateContent>
            </w:r>
          </w:p>
          <w:p w:rsidR="00132A26" w:rsidRPr="00D659D6" w:rsidRDefault="00132A26" w:rsidP="001B0A99">
            <w:pPr>
              <w:tabs>
                <w:tab w:val="left" w:pos="-720"/>
              </w:tabs>
              <w:suppressAutoHyphens/>
              <w:spacing w:before="90" w:after="54"/>
              <w:jc w:val="center"/>
              <w:rPr>
                <w:rFonts w:ascii="Arial" w:hAnsi="Arial"/>
              </w:rPr>
            </w:pPr>
            <w:r w:rsidRPr="00D659D6">
              <w:rPr>
                <w:rFonts w:ascii="Arial" w:hAnsi="Arial"/>
              </w:rPr>
              <w:fldChar w:fldCharType="begin"/>
            </w:r>
            <w:r w:rsidRPr="00D659D6">
              <w:rPr>
                <w:rFonts w:ascii="Arial" w:hAnsi="Arial"/>
              </w:rPr>
              <w:instrText xml:space="preserve">PRIVATE </w:instrText>
            </w:r>
            <w:r w:rsidRPr="00D659D6">
              <w:rPr>
                <w:rFonts w:ascii="Arial" w:hAnsi="Arial"/>
              </w:rPr>
              <w:fldChar w:fldCharType="end"/>
            </w:r>
          </w:p>
        </w:tc>
        <w:tc>
          <w:tcPr>
            <w:tcW w:w="1710" w:type="dxa"/>
            <w:tcBorders>
              <w:top w:val="double" w:sz="2" w:space="0" w:color="auto"/>
              <w:left w:val="single" w:sz="2" w:space="0" w:color="auto"/>
              <w:bottom w:val="single" w:sz="2" w:space="0" w:color="auto"/>
              <w:right w:val="single" w:sz="2" w:space="0" w:color="auto"/>
            </w:tcBorders>
          </w:tcPr>
          <w:p w:rsidR="00132A26" w:rsidRPr="00420966" w:rsidRDefault="00132A26" w:rsidP="001B0A99">
            <w:pPr>
              <w:jc w:val="center"/>
              <w:rPr>
                <w:rFonts w:ascii="Arial" w:hAnsi="Arial" w:cs="Arial"/>
              </w:rPr>
            </w:pPr>
          </w:p>
          <w:p w:rsidR="00132A26" w:rsidRPr="00132A26" w:rsidRDefault="00132A26" w:rsidP="001B0A99">
            <w:pPr>
              <w:pStyle w:val="Footer"/>
              <w:jc w:val="center"/>
              <w:rPr>
                <w:rFonts w:ascii="Arial" w:hAnsi="Arial" w:cs="Arial"/>
                <w:snapToGrid w:val="0"/>
                <w:sz w:val="24"/>
              </w:rPr>
            </w:pPr>
            <w:r w:rsidRPr="00132A26">
              <w:rPr>
                <w:snapToGrid w:val="0"/>
                <w:sz w:val="24"/>
              </w:rPr>
              <w:t xml:space="preserve">Page </w:t>
            </w:r>
            <w:r w:rsidRPr="00132A26">
              <w:rPr>
                <w:snapToGrid w:val="0"/>
                <w:sz w:val="24"/>
              </w:rPr>
              <w:fldChar w:fldCharType="begin"/>
            </w:r>
            <w:r w:rsidRPr="00132A26">
              <w:rPr>
                <w:snapToGrid w:val="0"/>
                <w:sz w:val="24"/>
              </w:rPr>
              <w:instrText xml:space="preserve"> PAGE </w:instrText>
            </w:r>
            <w:r w:rsidRPr="00132A26">
              <w:rPr>
                <w:snapToGrid w:val="0"/>
                <w:sz w:val="24"/>
              </w:rPr>
              <w:fldChar w:fldCharType="separate"/>
            </w:r>
            <w:r w:rsidR="00C46B9B">
              <w:rPr>
                <w:noProof/>
                <w:snapToGrid w:val="0"/>
                <w:sz w:val="24"/>
              </w:rPr>
              <w:t>1</w:t>
            </w:r>
            <w:r w:rsidRPr="00132A26">
              <w:rPr>
                <w:snapToGrid w:val="0"/>
                <w:sz w:val="24"/>
              </w:rPr>
              <w:fldChar w:fldCharType="end"/>
            </w:r>
            <w:r w:rsidRPr="00132A26">
              <w:rPr>
                <w:snapToGrid w:val="0"/>
                <w:sz w:val="24"/>
              </w:rPr>
              <w:t xml:space="preserve"> of </w:t>
            </w:r>
            <w:r w:rsidRPr="00132A26">
              <w:rPr>
                <w:snapToGrid w:val="0"/>
                <w:sz w:val="24"/>
              </w:rPr>
              <w:fldChar w:fldCharType="begin"/>
            </w:r>
            <w:r w:rsidRPr="00132A26">
              <w:rPr>
                <w:snapToGrid w:val="0"/>
                <w:sz w:val="24"/>
              </w:rPr>
              <w:instrText xml:space="preserve"> NUMPAGES </w:instrText>
            </w:r>
            <w:r w:rsidRPr="00132A26">
              <w:rPr>
                <w:snapToGrid w:val="0"/>
                <w:sz w:val="24"/>
              </w:rPr>
              <w:fldChar w:fldCharType="separate"/>
            </w:r>
            <w:r w:rsidR="00C46B9B">
              <w:rPr>
                <w:noProof/>
                <w:snapToGrid w:val="0"/>
                <w:sz w:val="24"/>
              </w:rPr>
              <w:t>29</w:t>
            </w:r>
            <w:r w:rsidRPr="00132A26">
              <w:rPr>
                <w:snapToGrid w:val="0"/>
                <w:sz w:val="24"/>
              </w:rPr>
              <w:fldChar w:fldCharType="end"/>
            </w:r>
          </w:p>
          <w:p w:rsidR="00132A26" w:rsidRPr="00420966" w:rsidRDefault="00132A26" w:rsidP="001B0A99">
            <w:pPr>
              <w:tabs>
                <w:tab w:val="left" w:pos="-720"/>
              </w:tabs>
              <w:suppressAutoHyphens/>
              <w:spacing w:before="90" w:after="54"/>
              <w:jc w:val="center"/>
              <w:rPr>
                <w:rFonts w:ascii="Arial" w:hAnsi="Arial" w:cs="Arial"/>
              </w:rPr>
            </w:pPr>
          </w:p>
        </w:tc>
        <w:tc>
          <w:tcPr>
            <w:tcW w:w="2880" w:type="dxa"/>
            <w:tcBorders>
              <w:top w:val="double" w:sz="2" w:space="0" w:color="auto"/>
              <w:left w:val="single" w:sz="2" w:space="0" w:color="auto"/>
              <w:bottom w:val="single" w:sz="2" w:space="0" w:color="auto"/>
              <w:right w:val="single" w:sz="2" w:space="0" w:color="auto"/>
            </w:tcBorders>
          </w:tcPr>
          <w:p w:rsidR="00132A26" w:rsidRDefault="00132A26" w:rsidP="00132A26">
            <w:pPr>
              <w:tabs>
                <w:tab w:val="left" w:pos="-720"/>
              </w:tabs>
              <w:suppressAutoHyphens/>
              <w:rPr>
                <w:rFonts w:ascii="Arial" w:hAnsi="Arial" w:cs="Arial"/>
              </w:rPr>
            </w:pPr>
          </w:p>
          <w:p w:rsidR="00132A26" w:rsidRPr="00420966" w:rsidRDefault="00132A26" w:rsidP="00132A26">
            <w:pPr>
              <w:tabs>
                <w:tab w:val="left" w:pos="-720"/>
              </w:tabs>
              <w:suppressAutoHyphens/>
              <w:rPr>
                <w:rFonts w:ascii="Arial" w:hAnsi="Arial" w:cs="Arial"/>
              </w:rPr>
            </w:pPr>
            <w:r w:rsidRPr="00420966">
              <w:rPr>
                <w:rFonts w:ascii="Arial" w:hAnsi="Arial" w:cs="Arial"/>
              </w:rPr>
              <w:t xml:space="preserve">Section: </w:t>
            </w:r>
            <w:r w:rsidRPr="00020C2C">
              <w:rPr>
                <w:rFonts w:ascii="Arial" w:hAnsi="Arial" w:cs="Arial"/>
                <w:color w:val="FF0000"/>
              </w:rPr>
              <w:t xml:space="preserve"> </w:t>
            </w:r>
            <w:r w:rsidRPr="00132A26">
              <w:rPr>
                <w:rFonts w:ascii="Arial" w:hAnsi="Arial" w:cs="Arial"/>
              </w:rPr>
              <w:t>UPM CHEMI</w:t>
            </w:r>
          </w:p>
        </w:tc>
        <w:tc>
          <w:tcPr>
            <w:tcW w:w="2154" w:type="dxa"/>
            <w:tcBorders>
              <w:left w:val="single" w:sz="2" w:space="0" w:color="auto"/>
              <w:bottom w:val="single" w:sz="2" w:space="0" w:color="auto"/>
            </w:tcBorders>
          </w:tcPr>
          <w:p w:rsidR="00132A26" w:rsidRPr="00420966" w:rsidRDefault="00132A26" w:rsidP="00132A26">
            <w:pPr>
              <w:tabs>
                <w:tab w:val="left" w:pos="-720"/>
              </w:tabs>
              <w:suppressAutoHyphens/>
              <w:spacing w:before="90" w:after="54"/>
              <w:rPr>
                <w:rFonts w:ascii="Arial" w:hAnsi="Arial" w:cs="Arial"/>
              </w:rPr>
            </w:pPr>
            <w:r>
              <w:rPr>
                <w:rFonts w:ascii="Arial" w:hAnsi="Arial" w:cs="Arial"/>
              </w:rPr>
              <w:br/>
            </w:r>
            <w:r w:rsidRPr="00420966">
              <w:rPr>
                <w:rFonts w:ascii="Arial" w:hAnsi="Arial" w:cs="Arial"/>
              </w:rPr>
              <w:t xml:space="preserve">Policy #:  </w:t>
            </w:r>
            <w:r>
              <w:rPr>
                <w:rFonts w:ascii="Arial" w:hAnsi="Arial" w:cs="Arial"/>
              </w:rPr>
              <w:t>04.047</w:t>
            </w:r>
          </w:p>
          <w:p w:rsidR="00132A26" w:rsidRPr="00420966" w:rsidRDefault="00132A26" w:rsidP="001B0A99">
            <w:pPr>
              <w:tabs>
                <w:tab w:val="left" w:pos="-720"/>
              </w:tabs>
              <w:suppressAutoHyphens/>
              <w:spacing w:before="90" w:after="54"/>
              <w:jc w:val="center"/>
              <w:rPr>
                <w:rFonts w:ascii="Arial" w:hAnsi="Arial" w:cs="Arial"/>
              </w:rPr>
            </w:pPr>
          </w:p>
        </w:tc>
      </w:tr>
      <w:tr w:rsidR="00132A26" w:rsidTr="00132A26">
        <w:trPr>
          <w:trHeight w:val="918"/>
        </w:trPr>
        <w:tc>
          <w:tcPr>
            <w:tcW w:w="403" w:type="dxa"/>
          </w:tcPr>
          <w:p w:rsidR="00132A26" w:rsidRPr="00D659D6" w:rsidRDefault="00132A26" w:rsidP="001B0A99">
            <w:pPr>
              <w:tabs>
                <w:tab w:val="left" w:pos="-720"/>
              </w:tabs>
              <w:suppressAutoHyphens/>
              <w:spacing w:before="90"/>
              <w:jc w:val="center"/>
              <w:rPr>
                <w:rFonts w:ascii="Arial" w:hAnsi="Arial"/>
              </w:rPr>
            </w:pPr>
          </w:p>
        </w:tc>
        <w:tc>
          <w:tcPr>
            <w:tcW w:w="3227" w:type="dxa"/>
            <w:gridSpan w:val="2"/>
            <w:tcBorders>
              <w:right w:val="single" w:sz="2" w:space="0" w:color="auto"/>
            </w:tcBorders>
            <w:vAlign w:val="bottom"/>
          </w:tcPr>
          <w:p w:rsidR="00132A26" w:rsidRPr="00020C2C" w:rsidRDefault="00132A26" w:rsidP="001B0A99">
            <w:pPr>
              <w:tabs>
                <w:tab w:val="left" w:pos="-720"/>
              </w:tabs>
              <w:suppressAutoHyphens/>
              <w:spacing w:before="90"/>
              <w:jc w:val="center"/>
              <w:rPr>
                <w:rFonts w:ascii="Arial" w:hAnsi="Arial"/>
                <w:color w:val="FF0000"/>
              </w:rPr>
            </w:pPr>
            <w:r w:rsidRPr="00C46B9B">
              <w:rPr>
                <w:rFonts w:ascii="Arial" w:hAnsi="Arial"/>
              </w:rPr>
              <w:t>CHEMISTRY, IMMUNO</w:t>
            </w:r>
          </w:p>
        </w:tc>
        <w:tc>
          <w:tcPr>
            <w:tcW w:w="4590" w:type="dxa"/>
            <w:gridSpan w:val="2"/>
            <w:tcBorders>
              <w:top w:val="single" w:sz="2" w:space="0" w:color="auto"/>
              <w:left w:val="single" w:sz="2" w:space="0" w:color="auto"/>
              <w:bottom w:val="single" w:sz="2" w:space="0" w:color="auto"/>
              <w:right w:val="single" w:sz="2" w:space="0" w:color="auto"/>
            </w:tcBorders>
          </w:tcPr>
          <w:p w:rsidR="00132A26" w:rsidRPr="00420966" w:rsidRDefault="00132A26" w:rsidP="001B0A99">
            <w:pPr>
              <w:tabs>
                <w:tab w:val="left" w:pos="-720"/>
              </w:tabs>
              <w:suppressAutoHyphens/>
              <w:spacing w:before="90" w:after="54"/>
              <w:rPr>
                <w:rFonts w:ascii="Arial" w:hAnsi="Arial"/>
              </w:rPr>
            </w:pPr>
            <w:r w:rsidRPr="00420966">
              <w:rPr>
                <w:rFonts w:ascii="Arial" w:hAnsi="Arial"/>
              </w:rPr>
              <w:t>Approved by:</w:t>
            </w:r>
            <w:r w:rsidRPr="00420966">
              <w:rPr>
                <w:rFonts w:ascii="Arial" w:hAnsi="Arial"/>
                <w:sz w:val="16"/>
                <w:szCs w:val="16"/>
              </w:rPr>
              <w:t xml:space="preserve">   see signature block at end of document</w:t>
            </w:r>
          </w:p>
        </w:tc>
        <w:tc>
          <w:tcPr>
            <w:tcW w:w="2154" w:type="dxa"/>
            <w:tcBorders>
              <w:top w:val="single" w:sz="2" w:space="0" w:color="auto"/>
              <w:left w:val="single" w:sz="2" w:space="0" w:color="auto"/>
              <w:bottom w:val="single" w:sz="2" w:space="0" w:color="auto"/>
            </w:tcBorders>
          </w:tcPr>
          <w:p w:rsidR="00132A26" w:rsidRPr="00420966" w:rsidRDefault="00132A26" w:rsidP="001B0A99">
            <w:pPr>
              <w:tabs>
                <w:tab w:val="left" w:pos="-720"/>
              </w:tabs>
              <w:suppressAutoHyphens/>
              <w:spacing w:before="90" w:after="54"/>
              <w:rPr>
                <w:rFonts w:ascii="Arial" w:hAnsi="Arial"/>
              </w:rPr>
            </w:pPr>
            <w:r w:rsidRPr="00132A26">
              <w:rPr>
                <w:rFonts w:ascii="Arial" w:hAnsi="Arial"/>
                <w:sz w:val="20"/>
              </w:rPr>
              <w:t>Date:</w:t>
            </w:r>
            <w:r>
              <w:rPr>
                <w:rFonts w:ascii="Arial" w:hAnsi="Arial"/>
              </w:rPr>
              <w:t xml:space="preserve">       11/28/18</w:t>
            </w:r>
            <w:r w:rsidRPr="00420966">
              <w:rPr>
                <w:rFonts w:ascii="Arial" w:hAnsi="Arial"/>
              </w:rPr>
              <w:t xml:space="preserve">     </w:t>
            </w:r>
          </w:p>
          <w:p w:rsidR="00132A26" w:rsidRPr="00420966" w:rsidRDefault="00132A26" w:rsidP="001B0A99">
            <w:pPr>
              <w:tabs>
                <w:tab w:val="left" w:pos="-720"/>
              </w:tabs>
              <w:suppressAutoHyphens/>
              <w:spacing w:before="90" w:after="54"/>
              <w:rPr>
                <w:rFonts w:ascii="Arial" w:hAnsi="Arial"/>
              </w:rPr>
            </w:pPr>
            <w:r w:rsidRPr="00132A26">
              <w:rPr>
                <w:rFonts w:ascii="Arial" w:hAnsi="Arial"/>
                <w:sz w:val="20"/>
              </w:rPr>
              <w:t>Review by:</w:t>
            </w:r>
            <w:r>
              <w:rPr>
                <w:rFonts w:ascii="Arial" w:hAnsi="Arial"/>
              </w:rPr>
              <w:t>11/18/20</w:t>
            </w:r>
          </w:p>
        </w:tc>
      </w:tr>
      <w:tr w:rsidR="00132A26" w:rsidTr="00132A26">
        <w:trPr>
          <w:trHeight w:val="732"/>
        </w:trPr>
        <w:tc>
          <w:tcPr>
            <w:tcW w:w="403" w:type="dxa"/>
          </w:tcPr>
          <w:p w:rsidR="00132A26" w:rsidRPr="00D659D6" w:rsidRDefault="00132A26" w:rsidP="001B0A99">
            <w:pPr>
              <w:tabs>
                <w:tab w:val="left" w:pos="-720"/>
              </w:tabs>
              <w:suppressAutoHyphens/>
              <w:spacing w:before="90" w:after="54"/>
              <w:jc w:val="center"/>
              <w:rPr>
                <w:rFonts w:ascii="Arial" w:hAnsi="Arial"/>
              </w:rPr>
            </w:pPr>
          </w:p>
        </w:tc>
        <w:tc>
          <w:tcPr>
            <w:tcW w:w="3227" w:type="dxa"/>
            <w:gridSpan w:val="2"/>
            <w:tcBorders>
              <w:right w:val="single" w:sz="2" w:space="0" w:color="auto"/>
            </w:tcBorders>
          </w:tcPr>
          <w:p w:rsidR="00132A26" w:rsidRPr="00D659D6" w:rsidRDefault="00132A26" w:rsidP="001B0A99">
            <w:pPr>
              <w:tabs>
                <w:tab w:val="left" w:pos="-720"/>
              </w:tabs>
              <w:suppressAutoHyphens/>
              <w:spacing w:before="90" w:after="54"/>
              <w:jc w:val="center"/>
              <w:rPr>
                <w:rFonts w:ascii="Arial" w:hAnsi="Arial"/>
              </w:rPr>
            </w:pPr>
            <w:r w:rsidRPr="00D659D6">
              <w:rPr>
                <w:rFonts w:ascii="Arial" w:hAnsi="Arial"/>
              </w:rPr>
              <w:t>LABORATORY</w:t>
            </w:r>
          </w:p>
        </w:tc>
        <w:tc>
          <w:tcPr>
            <w:tcW w:w="6744" w:type="dxa"/>
            <w:gridSpan w:val="3"/>
            <w:tcBorders>
              <w:top w:val="single" w:sz="2" w:space="0" w:color="auto"/>
              <w:left w:val="single" w:sz="2" w:space="0" w:color="auto"/>
              <w:bottom w:val="single" w:sz="2" w:space="0" w:color="auto"/>
            </w:tcBorders>
          </w:tcPr>
          <w:p w:rsidR="00132A26" w:rsidRPr="00420966" w:rsidRDefault="00132A26" w:rsidP="001B0A99">
            <w:pPr>
              <w:tabs>
                <w:tab w:val="left" w:pos="-720"/>
              </w:tabs>
              <w:suppressAutoHyphens/>
              <w:spacing w:before="90" w:after="54"/>
              <w:rPr>
                <w:rFonts w:ascii="Arial" w:hAnsi="Arial"/>
              </w:rPr>
            </w:pPr>
            <w:r w:rsidRPr="00420966">
              <w:rPr>
                <w:rFonts w:ascii="Arial" w:hAnsi="Arial"/>
              </w:rPr>
              <w:t>Policy Created</w:t>
            </w:r>
            <w:r w:rsidRPr="00020C2C">
              <w:rPr>
                <w:rFonts w:ascii="Arial" w:hAnsi="Arial"/>
                <w:color w:val="FF0000"/>
              </w:rPr>
              <w:t xml:space="preserve">:    </w:t>
            </w:r>
            <w:r w:rsidRPr="00132A26">
              <w:rPr>
                <w:rFonts w:ascii="Arial" w:hAnsi="Arial"/>
              </w:rPr>
              <w:t>11/28/18</w:t>
            </w:r>
          </w:p>
          <w:p w:rsidR="00132A26" w:rsidRPr="00D659D6" w:rsidRDefault="00132A26" w:rsidP="001B0A99">
            <w:pPr>
              <w:tabs>
                <w:tab w:val="left" w:pos="-720"/>
              </w:tabs>
              <w:suppressAutoHyphens/>
              <w:spacing w:before="90" w:after="54"/>
              <w:rPr>
                <w:rFonts w:ascii="Arial" w:hAnsi="Arial"/>
              </w:rPr>
            </w:pPr>
            <w:r>
              <w:rPr>
                <w:rFonts w:ascii="Arial" w:hAnsi="Arial"/>
              </w:rPr>
              <w:t xml:space="preserve">Supersedes: </w:t>
            </w:r>
          </w:p>
        </w:tc>
      </w:tr>
      <w:tr w:rsidR="00132A26" w:rsidTr="00132A26">
        <w:trPr>
          <w:trHeight w:val="747"/>
        </w:trPr>
        <w:tc>
          <w:tcPr>
            <w:tcW w:w="2020" w:type="dxa"/>
            <w:gridSpan w:val="2"/>
          </w:tcPr>
          <w:p w:rsidR="00132A26" w:rsidRPr="00D659D6" w:rsidRDefault="00132A26" w:rsidP="001B0A99">
            <w:pPr>
              <w:tabs>
                <w:tab w:val="left" w:pos="-720"/>
              </w:tabs>
              <w:suppressAutoHyphens/>
              <w:spacing w:before="90" w:after="54"/>
              <w:jc w:val="center"/>
              <w:rPr>
                <w:rFonts w:ascii="Arial" w:hAnsi="Arial"/>
              </w:rPr>
            </w:pPr>
          </w:p>
        </w:tc>
        <w:tc>
          <w:tcPr>
            <w:tcW w:w="1610" w:type="dxa"/>
            <w:tcBorders>
              <w:right w:val="single" w:sz="2" w:space="0" w:color="auto"/>
            </w:tcBorders>
          </w:tcPr>
          <w:p w:rsidR="00132A26" w:rsidRPr="00D659D6" w:rsidRDefault="00132A26" w:rsidP="001B0A99">
            <w:pPr>
              <w:tabs>
                <w:tab w:val="left" w:pos="-720"/>
              </w:tabs>
              <w:suppressAutoHyphens/>
              <w:spacing w:before="90" w:after="54"/>
              <w:jc w:val="center"/>
              <w:rPr>
                <w:rFonts w:ascii="Arial" w:hAnsi="Arial"/>
              </w:rPr>
            </w:pPr>
          </w:p>
        </w:tc>
        <w:tc>
          <w:tcPr>
            <w:tcW w:w="6744" w:type="dxa"/>
            <w:gridSpan w:val="3"/>
            <w:tcBorders>
              <w:top w:val="single" w:sz="2" w:space="0" w:color="auto"/>
              <w:left w:val="single" w:sz="2" w:space="0" w:color="auto"/>
              <w:bottom w:val="single" w:sz="2" w:space="0" w:color="auto"/>
            </w:tcBorders>
          </w:tcPr>
          <w:p w:rsidR="00132A26" w:rsidRPr="00132A26" w:rsidRDefault="00132A26" w:rsidP="001B0A99">
            <w:pPr>
              <w:tabs>
                <w:tab w:val="left" w:pos="-720"/>
              </w:tabs>
              <w:suppressAutoHyphens/>
              <w:spacing w:before="90" w:after="54"/>
              <w:ind w:right="541"/>
              <w:rPr>
                <w:rFonts w:ascii="Arial" w:hAnsi="Arial"/>
              </w:rPr>
            </w:pPr>
            <w:r w:rsidRPr="00D659D6">
              <w:rPr>
                <w:rFonts w:ascii="Arial" w:hAnsi="Arial"/>
              </w:rPr>
              <w:t xml:space="preserve">Primary Responsible Parties:      </w:t>
            </w:r>
            <w:r w:rsidRPr="00132A26">
              <w:rPr>
                <w:rFonts w:ascii="Arial" w:hAnsi="Arial"/>
              </w:rPr>
              <w:t>Michelle Greer</w:t>
            </w:r>
          </w:p>
          <w:p w:rsidR="00132A26" w:rsidRPr="00D659D6" w:rsidRDefault="00132A26" w:rsidP="00132A26">
            <w:pPr>
              <w:tabs>
                <w:tab w:val="left" w:pos="-720"/>
              </w:tabs>
              <w:suppressAutoHyphens/>
              <w:spacing w:before="90" w:after="54"/>
              <w:rPr>
                <w:rFonts w:ascii="Arial" w:hAnsi="Arial"/>
              </w:rPr>
            </w:pPr>
            <w:r w:rsidRPr="00132A26">
              <w:rPr>
                <w:rFonts w:ascii="Arial" w:hAnsi="Arial"/>
              </w:rPr>
              <w:t>Secondary Responsible Parties:  Amy Gibbs</w:t>
            </w:r>
          </w:p>
        </w:tc>
      </w:tr>
      <w:tr w:rsidR="00132A26" w:rsidTr="00132A26">
        <w:trPr>
          <w:trHeight w:val="366"/>
        </w:trPr>
        <w:tc>
          <w:tcPr>
            <w:tcW w:w="2020" w:type="dxa"/>
            <w:gridSpan w:val="2"/>
            <w:tcBorders>
              <w:top w:val="nil"/>
              <w:bottom w:val="single" w:sz="2" w:space="0" w:color="auto"/>
            </w:tcBorders>
          </w:tcPr>
          <w:p w:rsidR="00132A26" w:rsidRPr="00D659D6" w:rsidRDefault="00132A26" w:rsidP="001B0A99">
            <w:pPr>
              <w:tabs>
                <w:tab w:val="left" w:pos="-720"/>
              </w:tabs>
              <w:suppressAutoHyphens/>
              <w:spacing w:before="90" w:after="54"/>
              <w:jc w:val="center"/>
              <w:rPr>
                <w:rFonts w:ascii="Arial" w:hAnsi="Arial"/>
              </w:rPr>
            </w:pPr>
          </w:p>
        </w:tc>
        <w:tc>
          <w:tcPr>
            <w:tcW w:w="1610" w:type="dxa"/>
            <w:tcBorders>
              <w:top w:val="nil"/>
              <w:bottom w:val="single" w:sz="2" w:space="0" w:color="auto"/>
              <w:right w:val="single" w:sz="2" w:space="0" w:color="auto"/>
            </w:tcBorders>
          </w:tcPr>
          <w:p w:rsidR="00132A26" w:rsidRPr="00D659D6" w:rsidRDefault="00132A26" w:rsidP="001B0A99">
            <w:pPr>
              <w:tabs>
                <w:tab w:val="left" w:pos="-720"/>
              </w:tabs>
              <w:suppressAutoHyphens/>
              <w:spacing w:before="90" w:after="54"/>
              <w:jc w:val="center"/>
              <w:rPr>
                <w:rFonts w:ascii="Arial" w:hAnsi="Arial"/>
              </w:rPr>
            </w:pPr>
          </w:p>
        </w:tc>
        <w:tc>
          <w:tcPr>
            <w:tcW w:w="6744" w:type="dxa"/>
            <w:gridSpan w:val="3"/>
            <w:tcBorders>
              <w:top w:val="single" w:sz="2" w:space="0" w:color="auto"/>
              <w:left w:val="single" w:sz="2" w:space="0" w:color="auto"/>
              <w:bottom w:val="single" w:sz="2" w:space="0" w:color="auto"/>
            </w:tcBorders>
          </w:tcPr>
          <w:p w:rsidR="00132A26" w:rsidRPr="00D659D6" w:rsidRDefault="00132A26" w:rsidP="001B0A99">
            <w:pPr>
              <w:tabs>
                <w:tab w:val="left" w:pos="-720"/>
              </w:tabs>
              <w:suppressAutoHyphens/>
              <w:spacing w:before="90" w:after="54"/>
              <w:rPr>
                <w:rFonts w:ascii="Arial" w:hAnsi="Arial"/>
              </w:rPr>
            </w:pPr>
            <w:r w:rsidRPr="00132A26">
              <w:rPr>
                <w:rFonts w:ascii="Arial" w:hAnsi="Arial"/>
              </w:rPr>
              <w:t xml:space="preserve">CAP Standard:  </w:t>
            </w:r>
          </w:p>
        </w:tc>
      </w:tr>
      <w:tr w:rsidR="00132A26" w:rsidTr="00132A26">
        <w:trPr>
          <w:trHeight w:val="380"/>
        </w:trPr>
        <w:tc>
          <w:tcPr>
            <w:tcW w:w="2020" w:type="dxa"/>
            <w:gridSpan w:val="2"/>
          </w:tcPr>
          <w:p w:rsidR="00132A26" w:rsidRDefault="00132A26" w:rsidP="001B0A99">
            <w:pPr>
              <w:tabs>
                <w:tab w:val="left" w:pos="-720"/>
              </w:tabs>
              <w:suppressAutoHyphens/>
              <w:spacing w:before="90" w:after="54"/>
              <w:rPr>
                <w:rFonts w:ascii="Arial" w:hAnsi="Arial"/>
              </w:rPr>
            </w:pPr>
            <w:r>
              <w:rPr>
                <w:rFonts w:ascii="Arial" w:hAnsi="Arial"/>
              </w:rPr>
              <w:t>SUBJECT:</w:t>
            </w:r>
          </w:p>
        </w:tc>
        <w:tc>
          <w:tcPr>
            <w:tcW w:w="8354" w:type="dxa"/>
            <w:gridSpan w:val="4"/>
          </w:tcPr>
          <w:p w:rsidR="00132A26" w:rsidRPr="00020C2C" w:rsidRDefault="00132A26" w:rsidP="001B0A99">
            <w:pPr>
              <w:tabs>
                <w:tab w:val="left" w:pos="-720"/>
              </w:tabs>
              <w:suppressAutoHyphens/>
              <w:spacing w:before="90" w:after="54"/>
              <w:rPr>
                <w:rFonts w:ascii="Arial" w:hAnsi="Arial"/>
                <w:color w:val="FF0000"/>
              </w:rPr>
            </w:pPr>
            <w:r w:rsidRPr="00132A26">
              <w:rPr>
                <w:rFonts w:ascii="Arial" w:hAnsi="Arial"/>
              </w:rPr>
              <w:t xml:space="preserve">TORC IGM   </w:t>
            </w:r>
          </w:p>
        </w:tc>
      </w:tr>
    </w:tbl>
    <w:p w:rsidR="00132A26" w:rsidRDefault="00132A26" w:rsidP="005A2A72">
      <w:pPr>
        <w:pStyle w:val="Header"/>
        <w:jc w:val="center"/>
        <w:rPr>
          <w:rFonts w:ascii="Times New Roman" w:hAnsi="Times New Roman"/>
          <w:b/>
          <w:sz w:val="28"/>
          <w:szCs w:val="28"/>
        </w:rPr>
      </w:pPr>
      <w:bookmarkStart w:id="0" w:name="_GoBack"/>
      <w:bookmarkEnd w:id="0"/>
    </w:p>
    <w:p w:rsidR="005A2A72" w:rsidRPr="00B04242" w:rsidRDefault="00132A26" w:rsidP="00132A26">
      <w:pPr>
        <w:pStyle w:val="Header"/>
        <w:rPr>
          <w:rFonts w:ascii="Times New Roman" w:hAnsi="Times New Roman"/>
          <w:b/>
          <w:sz w:val="28"/>
          <w:szCs w:val="28"/>
        </w:rPr>
      </w:pPr>
      <w:r>
        <w:rPr>
          <w:rFonts w:ascii="Times New Roman" w:hAnsi="Times New Roman"/>
          <w:b/>
          <w:sz w:val="28"/>
          <w:szCs w:val="28"/>
        </w:rPr>
        <w:tab/>
      </w:r>
      <w:proofErr w:type="spellStart"/>
      <w:r w:rsidR="005A2A72" w:rsidRPr="00B04242">
        <w:rPr>
          <w:rFonts w:ascii="Times New Roman" w:hAnsi="Times New Roman"/>
          <w:b/>
          <w:sz w:val="28"/>
          <w:szCs w:val="28"/>
        </w:rPr>
        <w:t>MultiPlex</w:t>
      </w:r>
      <w:proofErr w:type="spellEnd"/>
      <w:r w:rsidR="005A2A72" w:rsidRPr="00B04242">
        <w:rPr>
          <w:rFonts w:ascii="Times New Roman" w:hAnsi="Times New Roman"/>
          <w:b/>
          <w:sz w:val="28"/>
          <w:szCs w:val="28"/>
        </w:rPr>
        <w:t xml:space="preserve"> Flow Immunoassay</w:t>
      </w:r>
    </w:p>
    <w:p w:rsidR="005A2A72" w:rsidRDefault="005A2A72" w:rsidP="005A2A72">
      <w:pPr>
        <w:pStyle w:val="Header"/>
        <w:jc w:val="center"/>
        <w:rPr>
          <w:rFonts w:ascii="Times New Roman" w:hAnsi="Times New Roman"/>
          <w:b/>
          <w:sz w:val="28"/>
          <w:szCs w:val="28"/>
        </w:rPr>
      </w:pPr>
      <w:proofErr w:type="spellStart"/>
      <w:r w:rsidRPr="00B04242">
        <w:rPr>
          <w:rFonts w:ascii="Times New Roman" w:hAnsi="Times New Roman"/>
          <w:b/>
          <w:sz w:val="28"/>
          <w:szCs w:val="28"/>
        </w:rPr>
        <w:t>BioPlex</w:t>
      </w:r>
      <w:proofErr w:type="spellEnd"/>
      <w:r w:rsidRPr="00B04242">
        <w:rPr>
          <w:rFonts w:ascii="Times New Roman" w:hAnsi="Times New Roman"/>
          <w:b/>
          <w:sz w:val="28"/>
          <w:szCs w:val="28"/>
        </w:rPr>
        <w:t xml:space="preserve"> 2200</w:t>
      </w:r>
    </w:p>
    <w:p w:rsidR="005A2A72" w:rsidRDefault="005A2A72" w:rsidP="005A2A72">
      <w:pPr>
        <w:pStyle w:val="Header"/>
        <w:jc w:val="center"/>
        <w:rPr>
          <w:rFonts w:ascii="Times New Roman" w:hAnsi="Times New Roman"/>
          <w:b/>
          <w:sz w:val="28"/>
          <w:szCs w:val="28"/>
        </w:rPr>
      </w:pPr>
    </w:p>
    <w:p w:rsidR="006A5E1F" w:rsidRDefault="006A5E1F" w:rsidP="001336E8">
      <w:pPr>
        <w:pStyle w:val="Header"/>
        <w:rPr>
          <w:rFonts w:ascii="Times New Roman" w:hAnsi="Times New Roman"/>
          <w:b/>
          <w:szCs w:val="24"/>
        </w:rPr>
      </w:pPr>
    </w:p>
    <w:p w:rsidR="001336E8" w:rsidRDefault="001336E8" w:rsidP="001336E8">
      <w:pPr>
        <w:pStyle w:val="Header"/>
        <w:rPr>
          <w:rFonts w:ascii="Times New Roman" w:hAnsi="Times New Roman"/>
          <w:b/>
          <w:szCs w:val="24"/>
        </w:rPr>
      </w:pPr>
      <w:proofErr w:type="spellStart"/>
      <w:r>
        <w:rPr>
          <w:rFonts w:ascii="Times New Roman" w:hAnsi="Times New Roman"/>
          <w:b/>
          <w:szCs w:val="24"/>
        </w:rPr>
        <w:t>ToRC</w:t>
      </w:r>
      <w:proofErr w:type="spellEnd"/>
      <w:r>
        <w:rPr>
          <w:rFonts w:ascii="Times New Roman" w:hAnsi="Times New Roman"/>
          <w:b/>
          <w:szCs w:val="24"/>
        </w:rPr>
        <w:t>-</w:t>
      </w:r>
      <w:proofErr w:type="gramStart"/>
      <w:r>
        <w:rPr>
          <w:rFonts w:ascii="Times New Roman" w:hAnsi="Times New Roman"/>
          <w:b/>
          <w:szCs w:val="24"/>
        </w:rPr>
        <w:t xml:space="preserve">M </w:t>
      </w:r>
      <w:r w:rsidRPr="00C02BCE">
        <w:rPr>
          <w:rFonts w:ascii="Times New Roman" w:hAnsi="Times New Roman"/>
          <w:b/>
          <w:szCs w:val="24"/>
        </w:rPr>
        <w:t xml:space="preserve"> panel</w:t>
      </w:r>
      <w:proofErr w:type="gramEnd"/>
      <w:r w:rsidRPr="00C02BCE">
        <w:rPr>
          <w:rFonts w:ascii="Times New Roman" w:hAnsi="Times New Roman"/>
          <w:b/>
          <w:szCs w:val="24"/>
        </w:rPr>
        <w:t xml:space="preserve"> includes :</w:t>
      </w:r>
    </w:p>
    <w:p w:rsidR="001336E8" w:rsidRDefault="001336E8" w:rsidP="006A5E1F">
      <w:pPr>
        <w:pStyle w:val="Header"/>
        <w:ind w:left="4320" w:hanging="4320"/>
        <w:rPr>
          <w:rFonts w:ascii="Times New Roman" w:hAnsi="Times New Roman"/>
          <w:b/>
          <w:szCs w:val="24"/>
        </w:rPr>
      </w:pPr>
      <w:r>
        <w:rPr>
          <w:rFonts w:ascii="Times New Roman" w:hAnsi="Times New Roman"/>
          <w:b/>
          <w:szCs w:val="24"/>
        </w:rPr>
        <w:t xml:space="preserve">           </w:t>
      </w:r>
      <w:r w:rsidR="006A5E1F">
        <w:rPr>
          <w:rFonts w:ascii="Times New Roman" w:hAnsi="Times New Roman"/>
          <w:b/>
          <w:szCs w:val="24"/>
        </w:rPr>
        <w:t xml:space="preserve"> </w:t>
      </w:r>
      <w:r>
        <w:rPr>
          <w:rFonts w:ascii="Times New Roman" w:hAnsi="Times New Roman"/>
          <w:b/>
          <w:szCs w:val="24"/>
        </w:rPr>
        <w:t xml:space="preserve"> </w:t>
      </w:r>
      <w:r w:rsidR="006A5E1F">
        <w:rPr>
          <w:rFonts w:ascii="Times New Roman" w:hAnsi="Times New Roman"/>
          <w:b/>
          <w:szCs w:val="24"/>
        </w:rPr>
        <w:t>T</w:t>
      </w:r>
      <w:r w:rsidR="009E6508">
        <w:rPr>
          <w:rFonts w:ascii="Times New Roman" w:hAnsi="Times New Roman"/>
          <w:b/>
          <w:szCs w:val="24"/>
        </w:rPr>
        <w:t>OXOABM (</w:t>
      </w:r>
      <w:proofErr w:type="spellStart"/>
      <w:r w:rsidR="009E6508">
        <w:rPr>
          <w:rFonts w:ascii="Times New Roman" w:hAnsi="Times New Roman"/>
          <w:b/>
          <w:szCs w:val="24"/>
        </w:rPr>
        <w:t>Toxo</w:t>
      </w:r>
      <w:proofErr w:type="spellEnd"/>
      <w:r w:rsidR="009E6508">
        <w:rPr>
          <w:rFonts w:ascii="Times New Roman" w:hAnsi="Times New Roman"/>
          <w:b/>
          <w:szCs w:val="24"/>
        </w:rPr>
        <w:t xml:space="preserve"> IgM)</w:t>
      </w:r>
    </w:p>
    <w:p w:rsidR="009E6508" w:rsidRDefault="009E6508" w:rsidP="006A5E1F">
      <w:pPr>
        <w:pStyle w:val="Header"/>
        <w:ind w:left="4320" w:hanging="4320"/>
        <w:rPr>
          <w:rFonts w:ascii="Times New Roman" w:hAnsi="Times New Roman"/>
          <w:b/>
          <w:szCs w:val="24"/>
        </w:rPr>
      </w:pPr>
      <w:r>
        <w:rPr>
          <w:rFonts w:ascii="Times New Roman" w:hAnsi="Times New Roman"/>
          <w:b/>
          <w:szCs w:val="24"/>
        </w:rPr>
        <w:t xml:space="preserve">             TOXO (</w:t>
      </w:r>
      <w:proofErr w:type="spellStart"/>
      <w:r>
        <w:rPr>
          <w:rFonts w:ascii="Times New Roman" w:hAnsi="Times New Roman"/>
          <w:b/>
          <w:szCs w:val="24"/>
        </w:rPr>
        <w:t>Toxo</w:t>
      </w:r>
      <w:proofErr w:type="spellEnd"/>
      <w:r>
        <w:rPr>
          <w:rFonts w:ascii="Times New Roman" w:hAnsi="Times New Roman"/>
          <w:b/>
          <w:szCs w:val="24"/>
        </w:rPr>
        <w:t xml:space="preserve"> IgG/IgM)</w:t>
      </w:r>
    </w:p>
    <w:p w:rsidR="006A5E1F" w:rsidRPr="00C02BCE" w:rsidRDefault="006A5E1F" w:rsidP="006A5E1F">
      <w:pPr>
        <w:pStyle w:val="Header"/>
        <w:ind w:left="4320" w:hanging="4320"/>
        <w:rPr>
          <w:rFonts w:ascii="Times New Roman" w:hAnsi="Times New Roman"/>
          <w:b/>
          <w:szCs w:val="24"/>
        </w:rPr>
      </w:pPr>
      <w:r>
        <w:rPr>
          <w:rFonts w:ascii="Times New Roman" w:hAnsi="Times New Roman"/>
          <w:b/>
          <w:szCs w:val="24"/>
        </w:rPr>
        <w:t xml:space="preserve">             </w:t>
      </w:r>
      <w:r w:rsidRPr="00B04242">
        <w:rPr>
          <w:rFonts w:ascii="Times New Roman" w:hAnsi="Times New Roman"/>
          <w:b/>
          <w:sz w:val="28"/>
          <w:szCs w:val="28"/>
        </w:rPr>
        <w:t>CMIGM</w:t>
      </w:r>
      <w:r>
        <w:rPr>
          <w:rFonts w:ascii="Times New Roman" w:hAnsi="Times New Roman"/>
          <w:b/>
          <w:szCs w:val="24"/>
        </w:rPr>
        <w:tab/>
      </w:r>
    </w:p>
    <w:p w:rsidR="005A2A72" w:rsidRPr="0050716E" w:rsidRDefault="006A5E1F" w:rsidP="005A2A72">
      <w:pPr>
        <w:tabs>
          <w:tab w:val="left" w:pos="-720"/>
        </w:tabs>
        <w:suppressAutoHyphens/>
        <w:jc w:val="both"/>
        <w:rPr>
          <w:rFonts w:ascii="Times New Roman" w:hAnsi="Times New Roman"/>
          <w:sz w:val="22"/>
          <w:szCs w:val="22"/>
        </w:rPr>
      </w:pPr>
      <w:r>
        <w:rPr>
          <w:rFonts w:ascii="Times New Roman" w:hAnsi="Times New Roman"/>
          <w:sz w:val="22"/>
          <w:szCs w:val="22"/>
        </w:rPr>
        <w:t xml:space="preserve">               </w:t>
      </w:r>
      <w:r w:rsidRPr="00B04242">
        <w:rPr>
          <w:rFonts w:ascii="Times New Roman" w:hAnsi="Times New Roman"/>
          <w:b/>
          <w:sz w:val="28"/>
          <w:szCs w:val="28"/>
        </w:rPr>
        <w:t>RUBM</w:t>
      </w:r>
    </w:p>
    <w:p w:rsidR="005A2A72" w:rsidRDefault="005A2A72" w:rsidP="005A2A72">
      <w:pPr>
        <w:pStyle w:val="Header"/>
        <w:jc w:val="center"/>
        <w:rPr>
          <w:rFonts w:ascii="Times New Roman" w:hAnsi="Times New Roman"/>
          <w:b/>
          <w:sz w:val="28"/>
          <w:szCs w:val="28"/>
        </w:rPr>
      </w:pPr>
    </w:p>
    <w:p w:rsidR="005A2A72" w:rsidRPr="0050716E" w:rsidRDefault="005A2A72" w:rsidP="005A2A72">
      <w:pPr>
        <w:tabs>
          <w:tab w:val="left" w:pos="-720"/>
        </w:tabs>
        <w:suppressAutoHyphens/>
        <w:jc w:val="both"/>
        <w:rPr>
          <w:rFonts w:ascii="Times New Roman" w:hAnsi="Times New Roman"/>
          <w:sz w:val="22"/>
          <w:szCs w:val="22"/>
        </w:rPr>
      </w:pPr>
    </w:p>
    <w:p w:rsidR="005A2A72" w:rsidRPr="0028626F" w:rsidRDefault="005A2A72" w:rsidP="005A2A72">
      <w:pPr>
        <w:numPr>
          <w:ilvl w:val="0"/>
          <w:numId w:val="1"/>
        </w:numPr>
        <w:tabs>
          <w:tab w:val="clear" w:pos="1080"/>
          <w:tab w:val="left" w:pos="-720"/>
          <w:tab w:val="num" w:pos="810"/>
        </w:tabs>
        <w:suppressAutoHyphens/>
        <w:ind w:hanging="1080"/>
        <w:jc w:val="both"/>
        <w:rPr>
          <w:rFonts w:ascii="Arial" w:hAnsi="Arial" w:cs="Arial"/>
          <w:b/>
          <w:szCs w:val="24"/>
        </w:rPr>
      </w:pPr>
      <w:r w:rsidRPr="0028626F">
        <w:rPr>
          <w:rFonts w:ascii="Arial" w:hAnsi="Arial" w:cs="Arial"/>
          <w:b/>
          <w:szCs w:val="24"/>
        </w:rPr>
        <w:t>PRINCIPLE</w:t>
      </w:r>
    </w:p>
    <w:p w:rsidR="005A2A72" w:rsidRPr="0028626F" w:rsidRDefault="005A2A72" w:rsidP="005A2A72">
      <w:pPr>
        <w:pStyle w:val="CLSI-text"/>
        <w:ind w:left="1080"/>
        <w:jc w:val="both"/>
        <w:rPr>
          <w:color w:val="000000"/>
          <w:sz w:val="24"/>
          <w:szCs w:val="24"/>
        </w:rPr>
      </w:pPr>
      <w:r w:rsidRPr="0028626F">
        <w:rPr>
          <w:color w:val="000000"/>
          <w:sz w:val="24"/>
          <w:szCs w:val="24"/>
        </w:rPr>
        <w:t xml:space="preserve">The </w:t>
      </w:r>
      <w:proofErr w:type="spellStart"/>
      <w:r w:rsidRPr="0028626F">
        <w:rPr>
          <w:color w:val="000000"/>
          <w:sz w:val="24"/>
          <w:szCs w:val="24"/>
        </w:rPr>
        <w:t>BioPlex</w:t>
      </w:r>
      <w:proofErr w:type="spellEnd"/>
      <w:r w:rsidRPr="0028626F">
        <w:rPr>
          <w:color w:val="000000"/>
          <w:sz w:val="24"/>
          <w:szCs w:val="24"/>
        </w:rPr>
        <w:t xml:space="preserve"> 2200 </w:t>
      </w:r>
      <w:proofErr w:type="spellStart"/>
      <w:r w:rsidR="002626CD" w:rsidRPr="0028626F">
        <w:rPr>
          <w:color w:val="000000"/>
          <w:sz w:val="24"/>
          <w:szCs w:val="24"/>
        </w:rPr>
        <w:t>ToRC</w:t>
      </w:r>
      <w:proofErr w:type="spellEnd"/>
      <w:r w:rsidR="002626CD" w:rsidRPr="0028626F">
        <w:rPr>
          <w:color w:val="000000"/>
          <w:sz w:val="24"/>
          <w:szCs w:val="24"/>
        </w:rPr>
        <w:t xml:space="preserve"> IgM assay </w:t>
      </w:r>
      <w:r w:rsidRPr="0028626F">
        <w:rPr>
          <w:color w:val="000000"/>
          <w:sz w:val="24"/>
          <w:szCs w:val="24"/>
        </w:rPr>
        <w:t xml:space="preserve">employs a panel of three antigen-coated </w:t>
      </w:r>
      <w:proofErr w:type="spellStart"/>
      <w:r w:rsidRPr="0028626F">
        <w:rPr>
          <w:color w:val="000000"/>
          <w:sz w:val="24"/>
          <w:szCs w:val="24"/>
        </w:rPr>
        <w:t>fluoromagnetic</w:t>
      </w:r>
      <w:proofErr w:type="spellEnd"/>
      <w:r w:rsidRPr="0028626F">
        <w:rPr>
          <w:color w:val="000000"/>
          <w:sz w:val="24"/>
          <w:szCs w:val="24"/>
        </w:rPr>
        <w:t xml:space="preserve"> beads with unique fluorescent signatures to identify the presence of IgM class antibodies to T</w:t>
      </w:r>
      <w:r w:rsidR="009E6508">
        <w:rPr>
          <w:color w:val="000000"/>
          <w:sz w:val="24"/>
          <w:szCs w:val="24"/>
        </w:rPr>
        <w:t>oxoplasma</w:t>
      </w:r>
      <w:r w:rsidRPr="0028626F">
        <w:rPr>
          <w:color w:val="000000"/>
          <w:sz w:val="24"/>
          <w:szCs w:val="24"/>
        </w:rPr>
        <w:t xml:space="preserve"> </w:t>
      </w:r>
      <w:proofErr w:type="spellStart"/>
      <w:r w:rsidRPr="0028626F">
        <w:rPr>
          <w:color w:val="000000"/>
          <w:sz w:val="24"/>
          <w:szCs w:val="24"/>
        </w:rPr>
        <w:t>gondii</w:t>
      </w:r>
      <w:proofErr w:type="spellEnd"/>
      <w:r w:rsidRPr="0028626F">
        <w:rPr>
          <w:color w:val="000000"/>
          <w:sz w:val="24"/>
          <w:szCs w:val="24"/>
        </w:rPr>
        <w:t xml:space="preserve"> ,Rubella and CMV antigens in a two- step assay format. In the first step, the system combines an aliquot of patient sample with sample diluent and bead reagent then agitates the mixture at 37°C. In the second step, immobilized IgM is identified indirectly using a fluorescent anti-human IgM reporter conjugate in a manner similar to antibody detection using an enzyme-linked reporter in an EIA. The assay is calibrated using a set of two distinct calibrator vials, supplied separately by Bio-Rad Laboratories. One vial containing negative sample, one multi-analyte vial containing. </w:t>
      </w:r>
      <w:proofErr w:type="spellStart"/>
      <w:proofErr w:type="gramStart"/>
      <w:r w:rsidRPr="0028626F">
        <w:rPr>
          <w:color w:val="000000"/>
          <w:sz w:val="24"/>
          <w:szCs w:val="24"/>
        </w:rPr>
        <w:t>gondii</w:t>
      </w:r>
      <w:proofErr w:type="spellEnd"/>
      <w:proofErr w:type="gramEnd"/>
      <w:r w:rsidRPr="0028626F">
        <w:rPr>
          <w:color w:val="000000"/>
          <w:sz w:val="24"/>
          <w:szCs w:val="24"/>
        </w:rPr>
        <w:t xml:space="preserve"> IgM, Rubella IgM and CMV IgM, are used for qualitative calibration of the assays. </w:t>
      </w:r>
    </w:p>
    <w:p w:rsidR="005A2A72" w:rsidRPr="0028626F" w:rsidRDefault="005A2A72" w:rsidP="005A2A72">
      <w:pPr>
        <w:pStyle w:val="CLSI-text"/>
        <w:ind w:left="1080"/>
        <w:jc w:val="both"/>
        <w:rPr>
          <w:color w:val="000000"/>
          <w:sz w:val="24"/>
          <w:szCs w:val="24"/>
        </w:rPr>
      </w:pPr>
      <w:r w:rsidRPr="0028626F">
        <w:rPr>
          <w:color w:val="000000"/>
          <w:sz w:val="24"/>
          <w:szCs w:val="24"/>
        </w:rPr>
        <w:t xml:space="preserve">Two control beads are used to normalize assay output for fluctuations in detector function (internal standard bead, ISB), </w:t>
      </w:r>
      <w:r w:rsidR="008C7114" w:rsidRPr="0028626F">
        <w:rPr>
          <w:color w:val="000000"/>
          <w:sz w:val="24"/>
          <w:szCs w:val="24"/>
        </w:rPr>
        <w:t xml:space="preserve">and the other control bead is </w:t>
      </w:r>
      <w:r w:rsidR="008C7114" w:rsidRPr="0028626F">
        <w:rPr>
          <w:color w:val="000000"/>
          <w:sz w:val="24"/>
          <w:szCs w:val="24"/>
        </w:rPr>
        <w:lastRenderedPageBreak/>
        <w:t xml:space="preserve">used </w:t>
      </w:r>
      <w:r w:rsidRPr="0028626F">
        <w:rPr>
          <w:color w:val="000000"/>
          <w:sz w:val="24"/>
          <w:szCs w:val="24"/>
        </w:rPr>
        <w:t xml:space="preserve">to verify the sample is serum or plasma (serum verification bead, SVB) and does not bind non-specifically to the antigen-coated beads (reagent blank bead, RBB). Refer to the </w:t>
      </w:r>
      <w:proofErr w:type="spellStart"/>
      <w:r w:rsidRPr="0028626F">
        <w:rPr>
          <w:color w:val="000000"/>
          <w:sz w:val="24"/>
          <w:szCs w:val="24"/>
        </w:rPr>
        <w:t>BioPlex</w:t>
      </w:r>
      <w:proofErr w:type="spellEnd"/>
      <w:r w:rsidRPr="0028626F">
        <w:rPr>
          <w:color w:val="000000"/>
          <w:sz w:val="24"/>
          <w:szCs w:val="24"/>
        </w:rPr>
        <w:t xml:space="preserve"> 2200 System Operation Manual for more information about control beads. The fluorescent properties of the beads allow multi-analyte data to be acquired simultaneously from a single sample and segregated based upon the fluorescent codes embedded in the antigen-coated and control beads. The magnetic properties of the beads allow rapid washing to remove unbound molecules in between assay steps. Bead classification and reporter data are acquired in flow using a dual laser detector employing the same principles utilized by fluorescence activated cell sorters. Raw data are reported as relative fluorescent intensity (RFI). </w:t>
      </w:r>
    </w:p>
    <w:p w:rsidR="006A5E1F" w:rsidRPr="0028626F" w:rsidRDefault="006A5E1F" w:rsidP="005A2A72">
      <w:pPr>
        <w:pStyle w:val="CLSI-text"/>
        <w:ind w:left="1080"/>
        <w:jc w:val="both"/>
        <w:rPr>
          <w:color w:val="000000"/>
          <w:sz w:val="24"/>
          <w:szCs w:val="24"/>
        </w:rPr>
      </w:pPr>
    </w:p>
    <w:p w:rsidR="006A5E1F" w:rsidRPr="0028626F" w:rsidRDefault="006A5E1F" w:rsidP="006A5E1F">
      <w:pPr>
        <w:numPr>
          <w:ilvl w:val="0"/>
          <w:numId w:val="1"/>
        </w:numPr>
        <w:tabs>
          <w:tab w:val="clear" w:pos="1080"/>
          <w:tab w:val="left" w:pos="-720"/>
          <w:tab w:val="num" w:pos="810"/>
        </w:tabs>
        <w:suppressAutoHyphens/>
        <w:ind w:hanging="1080"/>
        <w:jc w:val="both"/>
        <w:rPr>
          <w:rFonts w:ascii="Arial" w:hAnsi="Arial" w:cs="Arial"/>
          <w:b/>
          <w:szCs w:val="24"/>
        </w:rPr>
      </w:pPr>
      <w:r w:rsidRPr="0028626F">
        <w:rPr>
          <w:rFonts w:ascii="Arial" w:hAnsi="Arial" w:cs="Arial"/>
          <w:b/>
          <w:szCs w:val="24"/>
        </w:rPr>
        <w:t>CLINICAL SIGNIFICANCE</w:t>
      </w:r>
    </w:p>
    <w:p w:rsidR="006A5E1F" w:rsidRPr="0028626F" w:rsidRDefault="006A5E1F" w:rsidP="006A5E1F">
      <w:pPr>
        <w:pStyle w:val="ListParagraph"/>
        <w:ind w:left="1080"/>
        <w:rPr>
          <w:rFonts w:ascii="Arial" w:hAnsi="Arial" w:cs="Arial"/>
          <w:b/>
          <w:color w:val="000000"/>
          <w:szCs w:val="24"/>
        </w:rPr>
      </w:pPr>
    </w:p>
    <w:p w:rsidR="006A5E1F" w:rsidRPr="0028626F" w:rsidRDefault="006A5E1F" w:rsidP="006A5E1F">
      <w:pPr>
        <w:rPr>
          <w:rFonts w:ascii="Arial" w:hAnsi="Arial" w:cs="Arial"/>
          <w:b/>
          <w:color w:val="000000"/>
          <w:szCs w:val="24"/>
        </w:rPr>
      </w:pPr>
      <w:r w:rsidRPr="0028626F">
        <w:rPr>
          <w:rFonts w:ascii="Arial" w:hAnsi="Arial" w:cs="Arial"/>
          <w:b/>
          <w:color w:val="000000"/>
          <w:szCs w:val="24"/>
        </w:rPr>
        <w:t xml:space="preserve">                 Toxoplasmosis</w:t>
      </w:r>
    </w:p>
    <w:p w:rsidR="006A5E1F" w:rsidRPr="006A5E1F" w:rsidRDefault="006A5E1F" w:rsidP="006A5E1F">
      <w:pPr>
        <w:pStyle w:val="ListParagraph"/>
        <w:ind w:left="1080"/>
        <w:rPr>
          <w:rFonts w:ascii="Times New Roman" w:hAnsi="Times New Roman"/>
          <w:color w:val="000000"/>
          <w:szCs w:val="24"/>
        </w:rPr>
      </w:pPr>
      <w:r w:rsidRPr="0028626F">
        <w:rPr>
          <w:rFonts w:ascii="Arial" w:hAnsi="Arial" w:cs="Arial"/>
          <w:color w:val="000000"/>
          <w:szCs w:val="24"/>
        </w:rPr>
        <w:t xml:space="preserve">Toxoplasma </w:t>
      </w:r>
      <w:proofErr w:type="spellStart"/>
      <w:proofErr w:type="gramStart"/>
      <w:r w:rsidRPr="0028626F">
        <w:rPr>
          <w:rFonts w:ascii="Arial" w:hAnsi="Arial" w:cs="Arial"/>
          <w:color w:val="000000"/>
          <w:szCs w:val="24"/>
        </w:rPr>
        <w:t>gondii</w:t>
      </w:r>
      <w:proofErr w:type="spellEnd"/>
      <w:r w:rsidRPr="0028626F">
        <w:rPr>
          <w:rFonts w:ascii="Arial" w:hAnsi="Arial" w:cs="Arial"/>
          <w:color w:val="000000"/>
          <w:szCs w:val="24"/>
        </w:rPr>
        <w:t xml:space="preserve">  (</w:t>
      </w:r>
      <w:proofErr w:type="gramEnd"/>
      <w:r w:rsidRPr="0028626F">
        <w:rPr>
          <w:rFonts w:ascii="Arial" w:hAnsi="Arial" w:cs="Arial"/>
          <w:color w:val="000000"/>
          <w:szCs w:val="24"/>
        </w:rPr>
        <w:t xml:space="preserve">T. </w:t>
      </w:r>
      <w:proofErr w:type="spellStart"/>
      <w:r w:rsidRPr="0028626F">
        <w:rPr>
          <w:rFonts w:ascii="Arial" w:hAnsi="Arial" w:cs="Arial"/>
          <w:color w:val="000000"/>
          <w:szCs w:val="24"/>
        </w:rPr>
        <w:t>gondii</w:t>
      </w:r>
      <w:proofErr w:type="spellEnd"/>
      <w:r w:rsidRPr="0028626F">
        <w:rPr>
          <w:rFonts w:ascii="Arial" w:hAnsi="Arial" w:cs="Arial"/>
          <w:color w:val="000000"/>
          <w:szCs w:val="24"/>
        </w:rPr>
        <w:t>) is a protozoan that causes toxoplasmosis in numerous mammalian and avian species.  Toxoplasmosis during pregnancy has been implicated in serious congenital abnormalities including impaired brain function and stillbirth.</w:t>
      </w:r>
      <w:r>
        <w:rPr>
          <w:rFonts w:ascii="Times New Roman" w:hAnsi="Times New Roman"/>
          <w:color w:val="000000"/>
          <w:szCs w:val="24"/>
        </w:rPr>
        <w:t xml:space="preserve">  Identification of T. </w:t>
      </w:r>
      <w:proofErr w:type="spellStart"/>
      <w:r>
        <w:rPr>
          <w:rFonts w:ascii="Times New Roman" w:hAnsi="Times New Roman"/>
          <w:color w:val="000000"/>
          <w:szCs w:val="24"/>
        </w:rPr>
        <w:t>gondii</w:t>
      </w:r>
      <w:proofErr w:type="spellEnd"/>
      <w:r>
        <w:rPr>
          <w:rFonts w:ascii="Times New Roman" w:hAnsi="Times New Roman"/>
          <w:color w:val="000000"/>
          <w:szCs w:val="24"/>
        </w:rPr>
        <w:t xml:space="preserve"> antibodies in women prior to conception provides assurance of fetal protection from possible infection during pregnancy.</w:t>
      </w:r>
    </w:p>
    <w:p w:rsidR="006A5E1F" w:rsidRDefault="006A5E1F" w:rsidP="006A5E1F">
      <w:pPr>
        <w:pStyle w:val="ListParagraph"/>
        <w:ind w:left="1080"/>
        <w:rPr>
          <w:rFonts w:ascii="Times New Roman" w:hAnsi="Times New Roman"/>
          <w:b/>
          <w:color w:val="000000"/>
          <w:szCs w:val="24"/>
        </w:rPr>
      </w:pPr>
    </w:p>
    <w:p w:rsidR="006A5E1F" w:rsidRPr="0028626F" w:rsidRDefault="006A5E1F" w:rsidP="006A5E1F">
      <w:pPr>
        <w:pStyle w:val="ListParagraph"/>
        <w:ind w:left="1080"/>
        <w:rPr>
          <w:rFonts w:ascii="Arial" w:hAnsi="Arial" w:cs="Arial"/>
          <w:b/>
          <w:color w:val="000000"/>
          <w:szCs w:val="24"/>
        </w:rPr>
      </w:pPr>
      <w:r w:rsidRPr="0028626F">
        <w:rPr>
          <w:rFonts w:ascii="Arial" w:hAnsi="Arial" w:cs="Arial"/>
          <w:b/>
          <w:color w:val="000000"/>
          <w:szCs w:val="24"/>
        </w:rPr>
        <w:t xml:space="preserve">Rubella </w:t>
      </w:r>
    </w:p>
    <w:p w:rsidR="006A5E1F" w:rsidRPr="0028626F" w:rsidRDefault="006A5E1F" w:rsidP="006A5E1F">
      <w:pPr>
        <w:pStyle w:val="CLSI-text"/>
        <w:ind w:left="1080"/>
        <w:jc w:val="both"/>
        <w:rPr>
          <w:color w:val="000000"/>
          <w:sz w:val="24"/>
          <w:szCs w:val="24"/>
        </w:rPr>
      </w:pPr>
      <w:r w:rsidRPr="0028626F">
        <w:rPr>
          <w:color w:val="000000"/>
          <w:sz w:val="24"/>
          <w:szCs w:val="24"/>
        </w:rPr>
        <w:t>Rubella (German measles) is a viral infection with clinical manifestations including low-grade fever, headache, sore throat, and generalized skin rash. A serological test showing a positive Rubella IgM titer is indicative of recent exposure even when symptoms are not present.</w:t>
      </w:r>
      <w:r w:rsidRPr="0028626F">
        <w:rPr>
          <w:color w:val="000000"/>
          <w:spacing w:val="0"/>
          <w:sz w:val="24"/>
          <w:szCs w:val="24"/>
          <w:vertAlign w:val="superscript"/>
        </w:rPr>
        <w:t>2</w:t>
      </w:r>
      <w:r w:rsidRPr="0028626F">
        <w:rPr>
          <w:color w:val="000000"/>
          <w:sz w:val="24"/>
          <w:szCs w:val="24"/>
        </w:rPr>
        <w:t xml:space="preserve"> </w:t>
      </w:r>
    </w:p>
    <w:p w:rsidR="006A5E1F" w:rsidRPr="0028626F" w:rsidRDefault="006A5E1F" w:rsidP="006A5E1F">
      <w:pPr>
        <w:pStyle w:val="CLSI-text"/>
        <w:ind w:left="1080"/>
        <w:jc w:val="both"/>
        <w:rPr>
          <w:color w:val="000000"/>
          <w:sz w:val="24"/>
          <w:szCs w:val="24"/>
        </w:rPr>
      </w:pPr>
      <w:r w:rsidRPr="0028626F">
        <w:rPr>
          <w:color w:val="000000"/>
          <w:sz w:val="24"/>
          <w:szCs w:val="24"/>
        </w:rPr>
        <w:t>A Rubella infection during first trimester pregnancy is serious and may present multiple congenital complications including deafness, cataracts and/or mental retardation or fetal death.</w:t>
      </w:r>
      <w:r w:rsidRPr="0028626F">
        <w:rPr>
          <w:color w:val="000000"/>
          <w:spacing w:val="0"/>
          <w:sz w:val="24"/>
          <w:szCs w:val="24"/>
          <w:vertAlign w:val="superscript"/>
        </w:rPr>
        <w:t>3</w:t>
      </w:r>
      <w:r w:rsidRPr="0028626F">
        <w:rPr>
          <w:color w:val="000000"/>
          <w:sz w:val="24"/>
          <w:szCs w:val="24"/>
        </w:rPr>
        <w:t xml:space="preserve"> </w:t>
      </w:r>
    </w:p>
    <w:p w:rsidR="006A5E1F" w:rsidRPr="0028626F" w:rsidRDefault="006A5E1F" w:rsidP="006A5E1F">
      <w:pPr>
        <w:pStyle w:val="CLSI-SUBSUBHead"/>
        <w:ind w:left="1080"/>
        <w:rPr>
          <w:rFonts w:hAnsi="Arial" w:cs="Arial"/>
          <w:color w:val="000000"/>
        </w:rPr>
      </w:pPr>
      <w:r w:rsidRPr="0028626F">
        <w:rPr>
          <w:rFonts w:hAnsi="Arial" w:cs="Arial"/>
          <w:color w:val="000000"/>
        </w:rPr>
        <w:t xml:space="preserve">Cytomegalovirus </w:t>
      </w:r>
    </w:p>
    <w:p w:rsidR="006A5E1F" w:rsidRPr="0028626F" w:rsidRDefault="006A5E1F" w:rsidP="006A5E1F">
      <w:pPr>
        <w:pStyle w:val="CLSI-text"/>
        <w:ind w:left="1080"/>
        <w:jc w:val="both"/>
        <w:rPr>
          <w:color w:val="000000"/>
          <w:sz w:val="24"/>
          <w:szCs w:val="24"/>
        </w:rPr>
      </w:pPr>
      <w:r w:rsidRPr="0028626F">
        <w:rPr>
          <w:color w:val="000000"/>
          <w:sz w:val="24"/>
          <w:szCs w:val="24"/>
        </w:rPr>
        <w:t xml:space="preserve">Cytomegalovirus (CMV) is a member of the </w:t>
      </w:r>
      <w:proofErr w:type="spellStart"/>
      <w:r w:rsidRPr="0028626F">
        <w:rPr>
          <w:color w:val="000000"/>
          <w:sz w:val="24"/>
          <w:szCs w:val="24"/>
        </w:rPr>
        <w:t>Herpesviridae</w:t>
      </w:r>
      <w:proofErr w:type="spellEnd"/>
      <w:r w:rsidRPr="0028626F">
        <w:rPr>
          <w:color w:val="000000"/>
          <w:sz w:val="24"/>
          <w:szCs w:val="24"/>
        </w:rPr>
        <w:t xml:space="preserve"> family. Transmission of CMV is associated with close interpersonal contact or the introduction of cells or body fluids.</w:t>
      </w:r>
      <w:r w:rsidRPr="0028626F">
        <w:rPr>
          <w:color w:val="000000"/>
          <w:spacing w:val="0"/>
          <w:sz w:val="24"/>
          <w:szCs w:val="24"/>
          <w:vertAlign w:val="superscript"/>
        </w:rPr>
        <w:t xml:space="preserve">4 </w:t>
      </w:r>
      <w:r w:rsidRPr="0028626F">
        <w:rPr>
          <w:color w:val="000000"/>
          <w:sz w:val="24"/>
          <w:szCs w:val="24"/>
        </w:rPr>
        <w:t>Primary CMV infection can present like infectious mononucleosis in adults with symptoms including fever, lethargy and atypical lymphocytosis.</w:t>
      </w:r>
      <w:r w:rsidRPr="0028626F">
        <w:rPr>
          <w:color w:val="000000"/>
          <w:spacing w:val="0"/>
          <w:sz w:val="24"/>
          <w:szCs w:val="24"/>
          <w:vertAlign w:val="superscript"/>
        </w:rPr>
        <w:t>5</w:t>
      </w:r>
      <w:r w:rsidRPr="0028626F">
        <w:rPr>
          <w:color w:val="000000"/>
          <w:sz w:val="24"/>
          <w:szCs w:val="24"/>
        </w:rPr>
        <w:t xml:space="preserve"> Major clinical manifestations include CMV retinitis and bowel disease. </w:t>
      </w:r>
    </w:p>
    <w:p w:rsidR="006A5E1F" w:rsidRPr="0028626F" w:rsidRDefault="006A5E1F" w:rsidP="006A5E1F">
      <w:pPr>
        <w:pStyle w:val="CLSI-text"/>
        <w:ind w:left="1080"/>
        <w:jc w:val="both"/>
        <w:rPr>
          <w:color w:val="000000"/>
          <w:sz w:val="24"/>
          <w:szCs w:val="24"/>
        </w:rPr>
      </w:pPr>
      <w:r w:rsidRPr="0028626F">
        <w:rPr>
          <w:color w:val="000000"/>
          <w:sz w:val="24"/>
          <w:szCs w:val="24"/>
        </w:rPr>
        <w:t xml:space="preserve">Congenital CMV infection may result in a severe generalized cytomegalic inclusion disease (CID) in the neonate, characterized by hepatosplenomegaly, jaundice, microcephaly, intracerebral calcification, psychomotor retardation, deafness, </w:t>
      </w:r>
      <w:proofErr w:type="spellStart"/>
      <w:r w:rsidRPr="0028626F">
        <w:rPr>
          <w:color w:val="000000"/>
          <w:sz w:val="24"/>
          <w:szCs w:val="24"/>
        </w:rPr>
        <w:t>chorioretinitis</w:t>
      </w:r>
      <w:proofErr w:type="spellEnd"/>
      <w:r w:rsidRPr="0028626F">
        <w:rPr>
          <w:color w:val="000000"/>
          <w:sz w:val="24"/>
          <w:szCs w:val="24"/>
        </w:rPr>
        <w:t>, thrombocytopenia and hemolytic anemia.</w:t>
      </w:r>
      <w:r w:rsidRPr="0028626F">
        <w:rPr>
          <w:color w:val="000000"/>
          <w:spacing w:val="0"/>
          <w:sz w:val="24"/>
          <w:szCs w:val="24"/>
          <w:vertAlign w:val="superscript"/>
        </w:rPr>
        <w:t>6</w:t>
      </w:r>
      <w:r w:rsidRPr="0028626F">
        <w:rPr>
          <w:color w:val="000000"/>
          <w:sz w:val="24"/>
          <w:szCs w:val="24"/>
        </w:rPr>
        <w:t xml:space="preserve"> Although </w:t>
      </w:r>
      <w:proofErr w:type="spellStart"/>
      <w:r w:rsidRPr="0028626F">
        <w:rPr>
          <w:color w:val="000000"/>
          <w:sz w:val="24"/>
          <w:szCs w:val="24"/>
        </w:rPr>
        <w:t>transplacental</w:t>
      </w:r>
      <w:proofErr w:type="spellEnd"/>
      <w:r w:rsidRPr="0028626F">
        <w:rPr>
          <w:color w:val="000000"/>
          <w:sz w:val="24"/>
          <w:szCs w:val="24"/>
        </w:rPr>
        <w:t xml:space="preserve"> infection occurs in about 1% of deliveries, about 1 in 2000 infants are born expressing classical CID. The fetus is only at risk of acquiring CID if the mother is acutely infected with CMV. The fetus can be damaged by </w:t>
      </w:r>
      <w:r w:rsidRPr="0028626F">
        <w:rPr>
          <w:color w:val="000000"/>
          <w:sz w:val="24"/>
          <w:szCs w:val="24"/>
        </w:rPr>
        <w:lastRenderedPageBreak/>
        <w:t>infection in any trimester of pregnancy.</w:t>
      </w:r>
      <w:r w:rsidRPr="0028626F">
        <w:rPr>
          <w:color w:val="000000"/>
          <w:spacing w:val="0"/>
          <w:sz w:val="24"/>
          <w:szCs w:val="24"/>
          <w:vertAlign w:val="superscript"/>
        </w:rPr>
        <w:t>7</w:t>
      </w:r>
      <w:r w:rsidRPr="0028626F">
        <w:rPr>
          <w:rStyle w:val="A8"/>
          <w:rFonts w:cs="Arial"/>
          <w:sz w:val="24"/>
          <w:szCs w:val="24"/>
        </w:rPr>
        <w:t xml:space="preserve"> </w:t>
      </w:r>
    </w:p>
    <w:p w:rsidR="006A5E1F" w:rsidRPr="0028626F" w:rsidRDefault="006A5E1F" w:rsidP="006A5E1F">
      <w:pPr>
        <w:pStyle w:val="CLSI-text"/>
        <w:ind w:left="1080"/>
        <w:jc w:val="both"/>
        <w:rPr>
          <w:color w:val="000000"/>
          <w:sz w:val="24"/>
          <w:szCs w:val="24"/>
        </w:rPr>
      </w:pPr>
      <w:r w:rsidRPr="0028626F">
        <w:rPr>
          <w:color w:val="000000"/>
          <w:sz w:val="24"/>
          <w:szCs w:val="24"/>
        </w:rPr>
        <w:t>The detection of CMV IgM antibodies in the blood is a valuable tool for determining current or recent infection.</w:t>
      </w:r>
      <w:r w:rsidRPr="0028626F">
        <w:rPr>
          <w:color w:val="000000"/>
          <w:spacing w:val="0"/>
          <w:sz w:val="24"/>
          <w:szCs w:val="24"/>
          <w:vertAlign w:val="superscript"/>
        </w:rPr>
        <w:t>1</w:t>
      </w:r>
    </w:p>
    <w:p w:rsidR="006A5E1F" w:rsidRPr="0028626F" w:rsidRDefault="006A5E1F" w:rsidP="005A2A72">
      <w:pPr>
        <w:pStyle w:val="CLSI-text"/>
        <w:ind w:left="1080"/>
        <w:jc w:val="both"/>
        <w:rPr>
          <w:color w:val="000000"/>
          <w:sz w:val="24"/>
          <w:szCs w:val="24"/>
        </w:rPr>
      </w:pPr>
    </w:p>
    <w:p w:rsidR="00BF7436" w:rsidRPr="0028626F" w:rsidRDefault="00BF7436" w:rsidP="00BF7436">
      <w:pPr>
        <w:pStyle w:val="CLSI-text"/>
        <w:ind w:left="1080"/>
        <w:jc w:val="both"/>
        <w:rPr>
          <w:color w:val="000000"/>
          <w:sz w:val="24"/>
          <w:szCs w:val="24"/>
        </w:rPr>
      </w:pPr>
      <w:r w:rsidRPr="0028626F">
        <w:rPr>
          <w:color w:val="000000"/>
          <w:sz w:val="24"/>
          <w:szCs w:val="24"/>
        </w:rPr>
        <w:t xml:space="preserve">Congenital CMV infection may result in a severe generalized cytomegalic inclusion disease (CID) in the neonate, characterized by hepatosplenomegaly, jaundice, microcephaly, intracerebral calcification, psychomotor retardation, deafness, </w:t>
      </w:r>
      <w:proofErr w:type="spellStart"/>
      <w:r w:rsidRPr="0028626F">
        <w:rPr>
          <w:color w:val="000000"/>
          <w:sz w:val="24"/>
          <w:szCs w:val="24"/>
        </w:rPr>
        <w:t>chorioretinitis</w:t>
      </w:r>
      <w:proofErr w:type="spellEnd"/>
      <w:r w:rsidRPr="0028626F">
        <w:rPr>
          <w:color w:val="000000"/>
          <w:sz w:val="24"/>
          <w:szCs w:val="24"/>
        </w:rPr>
        <w:t>, thrombocytopenia and hemolytic anemia.</w:t>
      </w:r>
      <w:r w:rsidRPr="0028626F">
        <w:rPr>
          <w:color w:val="000000"/>
          <w:spacing w:val="0"/>
          <w:sz w:val="24"/>
          <w:szCs w:val="24"/>
          <w:vertAlign w:val="superscript"/>
        </w:rPr>
        <w:t>6</w:t>
      </w:r>
      <w:r w:rsidRPr="0028626F">
        <w:rPr>
          <w:color w:val="000000"/>
          <w:sz w:val="24"/>
          <w:szCs w:val="24"/>
        </w:rPr>
        <w:t xml:space="preserve"> Although </w:t>
      </w:r>
      <w:proofErr w:type="spellStart"/>
      <w:r w:rsidRPr="0028626F">
        <w:rPr>
          <w:color w:val="000000"/>
          <w:sz w:val="24"/>
          <w:szCs w:val="24"/>
        </w:rPr>
        <w:t>transplacental</w:t>
      </w:r>
      <w:proofErr w:type="spellEnd"/>
      <w:r w:rsidRPr="0028626F">
        <w:rPr>
          <w:color w:val="000000"/>
          <w:sz w:val="24"/>
          <w:szCs w:val="24"/>
        </w:rPr>
        <w:t xml:space="preserve"> infection occurs in about 1% of deliveries, about 1 in 2000 infants are born expressing classical CID. The fetus is only at risk of acquiring CID if the mother is acutely infected with CMV. The fetus can be damaged by infection in any trimester of pregnancy.</w:t>
      </w:r>
      <w:r w:rsidRPr="0028626F">
        <w:rPr>
          <w:color w:val="000000"/>
          <w:spacing w:val="0"/>
          <w:sz w:val="24"/>
          <w:szCs w:val="24"/>
          <w:vertAlign w:val="superscript"/>
        </w:rPr>
        <w:t>7</w:t>
      </w:r>
      <w:r w:rsidRPr="0028626F">
        <w:rPr>
          <w:rStyle w:val="A8"/>
          <w:rFonts w:cs="Arial"/>
          <w:sz w:val="24"/>
          <w:szCs w:val="24"/>
        </w:rPr>
        <w:t xml:space="preserve"> </w:t>
      </w:r>
    </w:p>
    <w:p w:rsidR="00BF7436" w:rsidRPr="0028626F" w:rsidRDefault="00BF7436" w:rsidP="00BF7436">
      <w:pPr>
        <w:pStyle w:val="CLSI-text"/>
        <w:ind w:left="1080"/>
        <w:jc w:val="both"/>
        <w:rPr>
          <w:color w:val="000000"/>
          <w:spacing w:val="0"/>
          <w:sz w:val="24"/>
          <w:szCs w:val="24"/>
          <w:vertAlign w:val="superscript"/>
        </w:rPr>
      </w:pPr>
      <w:r w:rsidRPr="0028626F">
        <w:rPr>
          <w:color w:val="000000"/>
          <w:sz w:val="24"/>
          <w:szCs w:val="24"/>
        </w:rPr>
        <w:t>The detection of CMV IgM antibodies in the blood is a valuable tool for determining current or recent infection.</w:t>
      </w:r>
      <w:r w:rsidRPr="0028626F">
        <w:rPr>
          <w:color w:val="000000"/>
          <w:spacing w:val="0"/>
          <w:sz w:val="24"/>
          <w:szCs w:val="24"/>
          <w:vertAlign w:val="superscript"/>
        </w:rPr>
        <w:t>1</w:t>
      </w:r>
    </w:p>
    <w:p w:rsidR="00BF7436" w:rsidRDefault="00BF7436" w:rsidP="00BF7436">
      <w:pPr>
        <w:pStyle w:val="CLSI-text"/>
        <w:ind w:left="1080"/>
        <w:jc w:val="both"/>
        <w:rPr>
          <w:rFonts w:ascii="Times New Roman" w:hAnsi="Times New Roman" w:cs="Times New Roman"/>
          <w:color w:val="000000"/>
          <w:spacing w:val="0"/>
          <w:sz w:val="24"/>
          <w:szCs w:val="24"/>
          <w:vertAlign w:val="superscript"/>
        </w:rPr>
      </w:pPr>
    </w:p>
    <w:p w:rsidR="00BF7436" w:rsidRPr="00653DB7" w:rsidRDefault="00BF7436" w:rsidP="00BF7436">
      <w:pPr>
        <w:numPr>
          <w:ilvl w:val="0"/>
          <w:numId w:val="1"/>
        </w:numPr>
        <w:tabs>
          <w:tab w:val="clear" w:pos="1080"/>
          <w:tab w:val="left" w:pos="-720"/>
          <w:tab w:val="num" w:pos="810"/>
        </w:tabs>
        <w:suppressAutoHyphens/>
        <w:ind w:hanging="1080"/>
        <w:jc w:val="both"/>
        <w:rPr>
          <w:rFonts w:ascii="Arial" w:hAnsi="Arial" w:cs="Arial"/>
          <w:b/>
          <w:szCs w:val="24"/>
        </w:rPr>
      </w:pPr>
      <w:r w:rsidRPr="00653DB7">
        <w:rPr>
          <w:rFonts w:ascii="Arial" w:hAnsi="Arial" w:cs="Arial"/>
          <w:b/>
          <w:szCs w:val="24"/>
        </w:rPr>
        <w:t>POLICY SCOPE</w:t>
      </w:r>
    </w:p>
    <w:p w:rsidR="00BF7436" w:rsidRPr="00653DB7" w:rsidRDefault="00BF7436" w:rsidP="00132A26">
      <w:pPr>
        <w:pStyle w:val="CLSI-text"/>
        <w:ind w:left="810"/>
        <w:jc w:val="both"/>
        <w:rPr>
          <w:color w:val="000000"/>
          <w:sz w:val="24"/>
          <w:szCs w:val="24"/>
        </w:rPr>
      </w:pPr>
      <w:r w:rsidRPr="00653DB7">
        <w:rPr>
          <w:color w:val="000000"/>
          <w:sz w:val="24"/>
          <w:szCs w:val="24"/>
        </w:rPr>
        <w:t>The scope of this policy applies to all Laboratory staff that prepares or performs testing on laboratory specimens at UnityPoint Methodist.</w:t>
      </w:r>
    </w:p>
    <w:p w:rsidR="00BF7436" w:rsidRPr="00653DB7" w:rsidRDefault="00BF7436" w:rsidP="00BF7436">
      <w:pPr>
        <w:pStyle w:val="CLSI-text"/>
        <w:ind w:left="1080"/>
        <w:jc w:val="both"/>
        <w:rPr>
          <w:color w:val="000000"/>
          <w:sz w:val="24"/>
          <w:szCs w:val="24"/>
        </w:rPr>
      </w:pPr>
    </w:p>
    <w:p w:rsidR="00BF7436" w:rsidRPr="00653DB7" w:rsidRDefault="00BF7436" w:rsidP="00BF7436">
      <w:pPr>
        <w:numPr>
          <w:ilvl w:val="0"/>
          <w:numId w:val="1"/>
        </w:numPr>
        <w:tabs>
          <w:tab w:val="clear" w:pos="1080"/>
          <w:tab w:val="left" w:pos="-720"/>
          <w:tab w:val="num" w:pos="810"/>
        </w:tabs>
        <w:suppressAutoHyphens/>
        <w:ind w:hanging="1080"/>
        <w:jc w:val="both"/>
        <w:rPr>
          <w:rFonts w:ascii="Arial" w:hAnsi="Arial" w:cs="Arial"/>
          <w:b/>
          <w:szCs w:val="24"/>
        </w:rPr>
      </w:pPr>
      <w:r w:rsidRPr="00653DB7">
        <w:rPr>
          <w:rFonts w:ascii="Arial" w:hAnsi="Arial" w:cs="Arial"/>
          <w:b/>
          <w:szCs w:val="24"/>
        </w:rPr>
        <w:t>SPECIMEN</w:t>
      </w:r>
    </w:p>
    <w:p w:rsidR="00BF7436" w:rsidRPr="00653DB7" w:rsidRDefault="00BF7436" w:rsidP="00BF7436">
      <w:pPr>
        <w:tabs>
          <w:tab w:val="left" w:pos="-720"/>
        </w:tabs>
        <w:suppressAutoHyphens/>
        <w:ind w:left="1080"/>
        <w:jc w:val="both"/>
        <w:rPr>
          <w:rFonts w:ascii="Arial" w:hAnsi="Arial" w:cs="Arial"/>
          <w:b/>
          <w:szCs w:val="24"/>
        </w:rPr>
      </w:pPr>
      <w:r w:rsidRPr="00653DB7">
        <w:rPr>
          <w:rFonts w:ascii="Arial" w:hAnsi="Arial" w:cs="Arial"/>
          <w:b/>
          <w:szCs w:val="24"/>
        </w:rPr>
        <w:t xml:space="preserve"> </w:t>
      </w:r>
    </w:p>
    <w:p w:rsidR="00BF7436" w:rsidRPr="00653DB7" w:rsidRDefault="00BF7436" w:rsidP="00BF7436">
      <w:pPr>
        <w:tabs>
          <w:tab w:val="left" w:pos="-720"/>
        </w:tabs>
        <w:suppressAutoHyphens/>
        <w:ind w:left="1080"/>
        <w:jc w:val="both"/>
        <w:rPr>
          <w:rFonts w:ascii="Arial" w:hAnsi="Arial" w:cs="Arial"/>
          <w:b/>
          <w:szCs w:val="24"/>
        </w:rPr>
      </w:pPr>
      <w:r w:rsidRPr="00653DB7">
        <w:rPr>
          <w:rFonts w:ascii="Arial" w:hAnsi="Arial" w:cs="Arial"/>
          <w:b/>
          <w:szCs w:val="24"/>
        </w:rPr>
        <w:t xml:space="preserve">Specimen volume: </w:t>
      </w:r>
      <w:r w:rsidRPr="00653DB7">
        <w:rPr>
          <w:rFonts w:ascii="Arial" w:hAnsi="Arial" w:cs="Arial"/>
          <w:szCs w:val="24"/>
        </w:rPr>
        <w:t xml:space="preserve">5 uL </w:t>
      </w:r>
      <w:proofErr w:type="gramStart"/>
      <w:r w:rsidRPr="00653DB7">
        <w:rPr>
          <w:rFonts w:ascii="Arial" w:hAnsi="Arial" w:cs="Arial"/>
          <w:szCs w:val="24"/>
        </w:rPr>
        <w:t>( plus</w:t>
      </w:r>
      <w:proofErr w:type="gramEnd"/>
      <w:r w:rsidRPr="00653DB7">
        <w:rPr>
          <w:rFonts w:ascii="Arial" w:hAnsi="Arial" w:cs="Arial"/>
          <w:szCs w:val="24"/>
        </w:rPr>
        <w:t xml:space="preserve"> dead space, approx. 400 uL)</w:t>
      </w:r>
    </w:p>
    <w:p w:rsidR="00BF7436" w:rsidRPr="00653DB7" w:rsidRDefault="00BF7436" w:rsidP="00BF7436">
      <w:pPr>
        <w:tabs>
          <w:tab w:val="left" w:pos="-720"/>
        </w:tabs>
        <w:suppressAutoHyphens/>
        <w:ind w:left="1080"/>
        <w:jc w:val="both"/>
        <w:rPr>
          <w:rFonts w:ascii="Arial" w:hAnsi="Arial" w:cs="Arial"/>
          <w:b/>
          <w:szCs w:val="24"/>
        </w:rPr>
      </w:pPr>
    </w:p>
    <w:p w:rsidR="00BF7436" w:rsidRPr="00653DB7" w:rsidRDefault="00BF7436" w:rsidP="00BF7436">
      <w:pPr>
        <w:pStyle w:val="CLSI-SUBSUBHead"/>
        <w:ind w:left="1080"/>
        <w:rPr>
          <w:rFonts w:hAnsi="Arial" w:cs="Arial"/>
          <w:color w:val="000000"/>
        </w:rPr>
      </w:pPr>
      <w:r w:rsidRPr="00653DB7">
        <w:rPr>
          <w:rFonts w:hAnsi="Arial" w:cs="Arial"/>
          <w:color w:val="000000"/>
        </w:rPr>
        <w:t xml:space="preserve">Specimen Collection Precaution </w:t>
      </w:r>
    </w:p>
    <w:p w:rsidR="00BF7436" w:rsidRPr="00653DB7" w:rsidRDefault="00BF7436" w:rsidP="00BF7436">
      <w:pPr>
        <w:pStyle w:val="CLSI-text"/>
        <w:ind w:left="1080"/>
        <w:jc w:val="both"/>
        <w:rPr>
          <w:color w:val="000000"/>
          <w:sz w:val="24"/>
          <w:szCs w:val="24"/>
        </w:rPr>
      </w:pPr>
      <w:r w:rsidRPr="00653DB7">
        <w:rPr>
          <w:color w:val="000000"/>
          <w:sz w:val="24"/>
          <w:szCs w:val="24"/>
        </w:rPr>
        <w:t xml:space="preserve">Consider any materials of human origin as infectious and handle them using typical biosafety procedures. </w:t>
      </w:r>
    </w:p>
    <w:p w:rsidR="00BF7436" w:rsidRPr="00653DB7" w:rsidRDefault="00BF7436" w:rsidP="00BF7436">
      <w:pPr>
        <w:pStyle w:val="CLSI-text"/>
        <w:ind w:left="1080"/>
        <w:jc w:val="both"/>
        <w:rPr>
          <w:color w:val="000000"/>
          <w:sz w:val="24"/>
          <w:szCs w:val="24"/>
        </w:rPr>
      </w:pPr>
      <w:r w:rsidRPr="00653DB7">
        <w:rPr>
          <w:b/>
          <w:color w:val="000000"/>
          <w:sz w:val="24"/>
          <w:szCs w:val="24"/>
        </w:rPr>
        <w:t>Patient preparation</w:t>
      </w:r>
      <w:r w:rsidRPr="00653DB7">
        <w:rPr>
          <w:color w:val="000000"/>
          <w:sz w:val="24"/>
          <w:szCs w:val="24"/>
        </w:rPr>
        <w:t>: none</w:t>
      </w:r>
    </w:p>
    <w:p w:rsidR="00BF7436" w:rsidRPr="00653DB7" w:rsidRDefault="00BF7436" w:rsidP="00BF7436">
      <w:pPr>
        <w:pStyle w:val="CLSI-SUBSUBHead"/>
        <w:ind w:left="1080"/>
        <w:rPr>
          <w:rFonts w:hAnsi="Arial" w:cs="Arial"/>
          <w:color w:val="000000"/>
        </w:rPr>
      </w:pPr>
      <w:r w:rsidRPr="00653DB7">
        <w:rPr>
          <w:rFonts w:hAnsi="Arial" w:cs="Arial"/>
          <w:color w:val="000000"/>
        </w:rPr>
        <w:t xml:space="preserve">Specimen Type </w:t>
      </w:r>
    </w:p>
    <w:p w:rsidR="00BF7436" w:rsidRPr="00653DB7" w:rsidRDefault="00F61EA8" w:rsidP="00BF7436">
      <w:pPr>
        <w:pStyle w:val="CLSI-text"/>
        <w:ind w:left="1080"/>
        <w:jc w:val="both"/>
        <w:rPr>
          <w:color w:val="000000"/>
          <w:sz w:val="24"/>
          <w:szCs w:val="24"/>
        </w:rPr>
      </w:pPr>
      <w:r>
        <w:rPr>
          <w:color w:val="000000"/>
          <w:sz w:val="24"/>
          <w:szCs w:val="24"/>
        </w:rPr>
        <w:t>Serum and plasma (K3</w:t>
      </w:r>
      <w:r w:rsidR="00BF7436" w:rsidRPr="00653DB7">
        <w:rPr>
          <w:color w:val="000000"/>
          <w:sz w:val="24"/>
          <w:szCs w:val="24"/>
        </w:rPr>
        <w:t xml:space="preserve"> EDTA</w:t>
      </w:r>
      <w:r>
        <w:rPr>
          <w:color w:val="000000"/>
          <w:sz w:val="24"/>
          <w:szCs w:val="24"/>
        </w:rPr>
        <w:t>, lithium heparin</w:t>
      </w:r>
      <w:r w:rsidR="00BF7436" w:rsidRPr="00653DB7">
        <w:rPr>
          <w:color w:val="000000"/>
          <w:sz w:val="24"/>
          <w:szCs w:val="24"/>
        </w:rPr>
        <w:t xml:space="preserve"> or sodium Heparin) are the recommended samples. Avoid hemolysis. </w:t>
      </w:r>
    </w:p>
    <w:p w:rsidR="00BF7436" w:rsidRPr="00653DB7" w:rsidRDefault="00BF7436" w:rsidP="00BF7436">
      <w:pPr>
        <w:pStyle w:val="CLSI-SUBSUBHead"/>
        <w:ind w:left="1080"/>
        <w:rPr>
          <w:rFonts w:hAnsi="Arial" w:cs="Arial"/>
          <w:color w:val="000000"/>
        </w:rPr>
      </w:pPr>
      <w:r w:rsidRPr="00653DB7">
        <w:rPr>
          <w:rFonts w:hAnsi="Arial" w:cs="Arial"/>
          <w:color w:val="000000"/>
        </w:rPr>
        <w:t xml:space="preserve">Specimen Storage </w:t>
      </w:r>
    </w:p>
    <w:p w:rsidR="00BF7436" w:rsidRPr="00653DB7" w:rsidRDefault="00BF7436" w:rsidP="00BF7436">
      <w:pPr>
        <w:pStyle w:val="CLSI-text"/>
        <w:ind w:left="1080"/>
        <w:jc w:val="both"/>
        <w:rPr>
          <w:color w:val="000000"/>
          <w:sz w:val="24"/>
          <w:szCs w:val="24"/>
        </w:rPr>
      </w:pPr>
      <w:r w:rsidRPr="00653DB7">
        <w:rPr>
          <w:color w:val="000000"/>
          <w:sz w:val="24"/>
          <w:szCs w:val="24"/>
        </w:rPr>
        <w:t xml:space="preserve">Serum or plasma may be stored </w:t>
      </w:r>
      <w:r w:rsidR="0028626F" w:rsidRPr="00653DB7">
        <w:rPr>
          <w:color w:val="000000"/>
          <w:sz w:val="24"/>
          <w:szCs w:val="24"/>
        </w:rPr>
        <w:t xml:space="preserve">at room temperature for up to 3 days and </w:t>
      </w:r>
      <w:r w:rsidRPr="00653DB7">
        <w:rPr>
          <w:color w:val="000000"/>
          <w:sz w:val="24"/>
          <w:szCs w:val="24"/>
        </w:rPr>
        <w:t xml:space="preserve">under refrigeration (2-8°C) for up to 7 days. For longer storage of samples, keep at -20°C or colder. </w:t>
      </w:r>
    </w:p>
    <w:p w:rsidR="00BF7436" w:rsidRPr="00653DB7" w:rsidRDefault="00BF7436" w:rsidP="00BF7436">
      <w:pPr>
        <w:pStyle w:val="CLSI-SUBSUBHead"/>
        <w:ind w:left="1080"/>
        <w:rPr>
          <w:rFonts w:hAnsi="Arial" w:cs="Arial"/>
          <w:color w:val="000000"/>
        </w:rPr>
      </w:pPr>
      <w:r w:rsidRPr="00653DB7">
        <w:rPr>
          <w:rFonts w:hAnsi="Arial" w:cs="Arial"/>
          <w:color w:val="000000"/>
        </w:rPr>
        <w:t xml:space="preserve">Specimen Preparation </w:t>
      </w:r>
    </w:p>
    <w:p w:rsidR="00BF7436" w:rsidRPr="00653DB7" w:rsidRDefault="00BF7436" w:rsidP="00BF7436">
      <w:pPr>
        <w:pStyle w:val="CLSI-text"/>
        <w:ind w:left="1080"/>
        <w:jc w:val="both"/>
        <w:rPr>
          <w:color w:val="000000"/>
          <w:sz w:val="24"/>
          <w:szCs w:val="24"/>
        </w:rPr>
      </w:pPr>
      <w:r w:rsidRPr="00653DB7">
        <w:rPr>
          <w:color w:val="000000"/>
          <w:sz w:val="24"/>
          <w:szCs w:val="24"/>
        </w:rPr>
        <w:t xml:space="preserve">Thoroughly mix thawed specimens; it is also recommended to centrifuge thawed specimens to remove gross particulate matter. Avoid multiple freeze/thaw cycles (up to 3 cycles is acceptable). </w:t>
      </w:r>
    </w:p>
    <w:p w:rsidR="00BF7436" w:rsidRPr="00653DB7" w:rsidRDefault="00BF7436" w:rsidP="00BF7436">
      <w:pPr>
        <w:ind w:left="360" w:firstLine="720"/>
        <w:jc w:val="both"/>
        <w:rPr>
          <w:rFonts w:ascii="Arial" w:hAnsi="Arial" w:cs="Arial"/>
          <w:b/>
          <w:color w:val="000000"/>
          <w:szCs w:val="24"/>
        </w:rPr>
      </w:pPr>
      <w:r w:rsidRPr="00653DB7">
        <w:rPr>
          <w:rFonts w:ascii="Arial" w:hAnsi="Arial" w:cs="Arial"/>
          <w:b/>
          <w:color w:val="000000"/>
          <w:szCs w:val="24"/>
        </w:rPr>
        <w:t>Interfering Substances</w:t>
      </w:r>
    </w:p>
    <w:p w:rsidR="00BF7436" w:rsidRPr="00653DB7" w:rsidRDefault="00BF7436" w:rsidP="00BF7436">
      <w:pPr>
        <w:ind w:left="1080"/>
        <w:jc w:val="both"/>
        <w:rPr>
          <w:rFonts w:ascii="Arial" w:hAnsi="Arial" w:cs="Arial"/>
          <w:color w:val="000000"/>
          <w:szCs w:val="24"/>
        </w:rPr>
      </w:pPr>
      <w:r w:rsidRPr="00653DB7">
        <w:rPr>
          <w:rFonts w:ascii="Arial" w:hAnsi="Arial" w:cs="Arial"/>
          <w:color w:val="000000"/>
          <w:szCs w:val="24"/>
        </w:rPr>
        <w:t xml:space="preserve">Testing for interfering substances was conducted according to CLSI Protocol </w:t>
      </w:r>
      <w:r w:rsidRPr="00653DB7">
        <w:rPr>
          <w:rFonts w:ascii="Arial" w:hAnsi="Arial" w:cs="Arial"/>
          <w:color w:val="000000"/>
          <w:szCs w:val="24"/>
        </w:rPr>
        <w:lastRenderedPageBreak/>
        <w:t xml:space="preserve">EP7-A2 (Vol. 25, No. 27). Samples were prepared by blending a pool of negative human serum with samples positive for T. </w:t>
      </w:r>
      <w:proofErr w:type="spellStart"/>
      <w:r w:rsidRPr="00653DB7">
        <w:rPr>
          <w:rFonts w:ascii="Arial" w:hAnsi="Arial" w:cs="Arial"/>
          <w:color w:val="000000"/>
          <w:szCs w:val="24"/>
        </w:rPr>
        <w:t>gondii</w:t>
      </w:r>
      <w:proofErr w:type="spellEnd"/>
      <w:r w:rsidRPr="00653DB7">
        <w:rPr>
          <w:rFonts w:ascii="Arial" w:hAnsi="Arial" w:cs="Arial"/>
          <w:color w:val="000000"/>
          <w:szCs w:val="24"/>
        </w:rPr>
        <w:t xml:space="preserve">, Rubella and CMV IgM to achieve values of 0.4 to 0.7 AI (high negative) 1.5 to 2.4 AI (low positive) and 2.5 to 4.0 AI (positive). </w:t>
      </w:r>
      <w:proofErr w:type="spellStart"/>
      <w:r w:rsidRPr="00653DB7">
        <w:rPr>
          <w:rFonts w:ascii="Arial" w:hAnsi="Arial" w:cs="Arial"/>
          <w:color w:val="000000"/>
          <w:szCs w:val="24"/>
        </w:rPr>
        <w:t>Interferent</w:t>
      </w:r>
      <w:proofErr w:type="spellEnd"/>
      <w:r w:rsidRPr="00653DB7">
        <w:rPr>
          <w:rFonts w:ascii="Arial" w:hAnsi="Arial" w:cs="Arial"/>
          <w:color w:val="000000"/>
          <w:szCs w:val="24"/>
        </w:rPr>
        <w:t xml:space="preserve"> or solvent was added exogenously at levels indicated in Table R below. No significant interference was observed in any of the substances tested.  The following substances, listed in Table R, were tested (N=13) at maximum levels on one reagent lot.</w:t>
      </w:r>
    </w:p>
    <w:p w:rsidR="00885A20" w:rsidRPr="00653DB7" w:rsidRDefault="00885A20" w:rsidP="00BF7436">
      <w:pPr>
        <w:ind w:left="1080"/>
        <w:jc w:val="both"/>
        <w:rPr>
          <w:rFonts w:ascii="Arial" w:hAnsi="Arial" w:cs="Arial"/>
          <w:color w:val="000000"/>
          <w:szCs w:val="24"/>
        </w:rPr>
      </w:pPr>
    </w:p>
    <w:p w:rsidR="0087172B" w:rsidRDefault="0087172B" w:rsidP="0087172B">
      <w:pPr>
        <w:numPr>
          <w:ilvl w:val="0"/>
          <w:numId w:val="1"/>
        </w:numPr>
        <w:tabs>
          <w:tab w:val="clear" w:pos="1080"/>
          <w:tab w:val="left" w:pos="-720"/>
          <w:tab w:val="num" w:pos="810"/>
        </w:tabs>
        <w:suppressAutoHyphens/>
        <w:ind w:hanging="1080"/>
        <w:jc w:val="both"/>
        <w:rPr>
          <w:rFonts w:ascii="Times New Roman" w:hAnsi="Times New Roman"/>
          <w:b/>
          <w:sz w:val="28"/>
          <w:szCs w:val="28"/>
        </w:rPr>
      </w:pPr>
      <w:r w:rsidRPr="00B04242">
        <w:rPr>
          <w:rFonts w:ascii="Times New Roman" w:hAnsi="Times New Roman"/>
          <w:b/>
          <w:sz w:val="28"/>
          <w:szCs w:val="28"/>
        </w:rPr>
        <w:t>REAGENTS</w:t>
      </w:r>
    </w:p>
    <w:p w:rsidR="00653DB7" w:rsidRPr="00B04242" w:rsidRDefault="00653DB7" w:rsidP="00132A26">
      <w:pPr>
        <w:pStyle w:val="CLSI-text"/>
        <w:jc w:val="both"/>
        <w:rPr>
          <w:rFonts w:ascii="Times New Roman" w:hAnsi="Times New Roman" w:cs="Times New Roman"/>
          <w:color w:val="000000"/>
          <w:sz w:val="24"/>
          <w:szCs w:val="24"/>
        </w:rPr>
      </w:pPr>
    </w:p>
    <w:tbl>
      <w:tblPr>
        <w:tblW w:w="0" w:type="auto"/>
        <w:tblInd w:w="1349" w:type="dxa"/>
        <w:tblLayout w:type="fixed"/>
        <w:tblCellMar>
          <w:left w:w="0" w:type="dxa"/>
          <w:right w:w="0" w:type="dxa"/>
        </w:tblCellMar>
        <w:tblLook w:val="0000" w:firstRow="0" w:lastRow="0" w:firstColumn="0" w:lastColumn="0" w:noHBand="0" w:noVBand="0"/>
      </w:tblPr>
      <w:tblGrid>
        <w:gridCol w:w="1295"/>
        <w:gridCol w:w="6733"/>
      </w:tblGrid>
      <w:tr w:rsidR="00991136" w:rsidRPr="00B04242" w:rsidTr="00132A26">
        <w:trPr>
          <w:trHeight w:val="59"/>
        </w:trPr>
        <w:tc>
          <w:tcPr>
            <w:tcW w:w="12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991136" w:rsidP="0028626F">
            <w:pPr>
              <w:pStyle w:val="Text"/>
              <w:ind w:left="1080"/>
              <w:rPr>
                <w:rFonts w:ascii="Arial" w:hAnsi="Arial" w:cs="Arial"/>
                <w:b/>
                <w:bCs/>
                <w:sz w:val="22"/>
                <w:szCs w:val="22"/>
              </w:rPr>
            </w:pPr>
          </w:p>
          <w:p w:rsidR="00991136" w:rsidRPr="00653DB7" w:rsidRDefault="00991136" w:rsidP="0028626F">
            <w:pPr>
              <w:pStyle w:val="Text"/>
              <w:ind w:left="1080"/>
              <w:rPr>
                <w:rFonts w:ascii="Arial" w:hAnsi="Arial" w:cs="Arial"/>
                <w:b/>
                <w:bCs/>
                <w:sz w:val="22"/>
                <w:szCs w:val="22"/>
              </w:rPr>
            </w:pPr>
          </w:p>
          <w:p w:rsidR="00991136" w:rsidRPr="00653DB7" w:rsidRDefault="00991136" w:rsidP="0028626F">
            <w:pPr>
              <w:pStyle w:val="Text"/>
              <w:ind w:left="1080"/>
              <w:rPr>
                <w:rFonts w:ascii="Arial" w:hAnsi="Arial" w:cs="Arial"/>
                <w:b/>
                <w:bCs/>
                <w:sz w:val="22"/>
                <w:szCs w:val="22"/>
              </w:rPr>
            </w:pPr>
          </w:p>
        </w:tc>
        <w:tc>
          <w:tcPr>
            <w:tcW w:w="67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991136" w:rsidP="00083894">
            <w:pPr>
              <w:pStyle w:val="Text"/>
              <w:rPr>
                <w:rFonts w:ascii="Arial" w:hAnsi="Arial" w:cs="Arial"/>
                <w:b/>
                <w:bCs/>
                <w:sz w:val="22"/>
                <w:szCs w:val="22"/>
              </w:rPr>
            </w:pPr>
            <w:r w:rsidRPr="00653DB7">
              <w:rPr>
                <w:rStyle w:val="Bold"/>
                <w:rFonts w:ascii="Arial" w:hAnsi="Arial" w:cs="Arial"/>
                <w:sz w:val="22"/>
                <w:szCs w:val="22"/>
              </w:rPr>
              <w:t>Description</w:t>
            </w:r>
          </w:p>
        </w:tc>
      </w:tr>
      <w:tr w:rsidR="00991136" w:rsidRPr="00B04242" w:rsidTr="00132A26">
        <w:trPr>
          <w:trHeight w:val="1240"/>
        </w:trPr>
        <w:tc>
          <w:tcPr>
            <w:tcW w:w="12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991136" w:rsidP="00083894">
            <w:pPr>
              <w:autoSpaceDE w:val="0"/>
              <w:autoSpaceDN w:val="0"/>
              <w:adjustRightInd w:val="0"/>
              <w:spacing w:line="220" w:lineRule="atLeast"/>
              <w:textAlignment w:val="baseline"/>
              <w:rPr>
                <w:rFonts w:ascii="Arial" w:hAnsi="Arial" w:cs="Arial"/>
                <w:color w:val="000000"/>
                <w:spacing w:val="-2"/>
                <w:sz w:val="22"/>
                <w:szCs w:val="22"/>
              </w:rPr>
            </w:pPr>
            <w:r w:rsidRPr="00653DB7">
              <w:rPr>
                <w:rFonts w:ascii="Arial" w:hAnsi="Arial" w:cs="Arial"/>
                <w:color w:val="000000"/>
                <w:spacing w:val="-2"/>
                <w:sz w:val="22"/>
                <w:szCs w:val="22"/>
              </w:rPr>
              <w:t xml:space="preserve">Bead Set </w:t>
            </w:r>
          </w:p>
          <w:p w:rsidR="00991136" w:rsidRPr="00653DB7" w:rsidRDefault="00991136" w:rsidP="00083894">
            <w:pPr>
              <w:autoSpaceDE w:val="0"/>
              <w:autoSpaceDN w:val="0"/>
              <w:adjustRightInd w:val="0"/>
              <w:spacing w:after="144" w:line="220" w:lineRule="atLeast"/>
              <w:textAlignment w:val="baseline"/>
              <w:rPr>
                <w:rFonts w:ascii="Arial" w:hAnsi="Arial" w:cs="Arial"/>
                <w:color w:val="000000"/>
                <w:spacing w:val="-2"/>
                <w:sz w:val="22"/>
                <w:szCs w:val="22"/>
              </w:rPr>
            </w:pPr>
            <w:r w:rsidRPr="00653DB7">
              <w:rPr>
                <w:rFonts w:ascii="Arial" w:hAnsi="Arial" w:cs="Arial"/>
                <w:noProof/>
                <w:snapToGrid/>
                <w:color w:val="000000"/>
                <w:sz w:val="22"/>
                <w:szCs w:val="22"/>
              </w:rPr>
              <w:drawing>
                <wp:inline distT="0" distB="0" distL="0" distR="0" wp14:anchorId="18AB2AC9" wp14:editId="799511CB">
                  <wp:extent cx="26670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p>
        </w:tc>
        <w:tc>
          <w:tcPr>
            <w:tcW w:w="67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991136" w:rsidP="00083894">
            <w:pPr>
              <w:pStyle w:val="CLSI-text"/>
              <w:jc w:val="both"/>
              <w:rPr>
                <w:color w:val="000000"/>
                <w:sz w:val="22"/>
                <w:szCs w:val="22"/>
              </w:rPr>
            </w:pPr>
            <w:r w:rsidRPr="00653DB7">
              <w:rPr>
                <w:color w:val="000000"/>
                <w:sz w:val="22"/>
                <w:szCs w:val="22"/>
              </w:rPr>
              <w:t xml:space="preserve">One (1) 10 mL vial, containing dyed beads coated with lysates of Rubella and CMV plus an Internal Standard bead (ISB), a Serum Verification bead (SVB), and a Reagent Blank bead (RBB) in buffer with Glycerol and protein stabilizers (bovine). </w:t>
            </w:r>
            <w:proofErr w:type="spellStart"/>
            <w:r w:rsidRPr="00653DB7">
              <w:rPr>
                <w:color w:val="000000"/>
                <w:sz w:val="22"/>
                <w:szCs w:val="22"/>
              </w:rPr>
              <w:t>ProClin</w:t>
            </w:r>
            <w:proofErr w:type="spellEnd"/>
            <w:r w:rsidRPr="00653DB7">
              <w:rPr>
                <w:color w:val="000000"/>
                <w:sz w:val="22"/>
                <w:szCs w:val="22"/>
              </w:rPr>
              <w:t xml:space="preserve"> 300 (≤ 0.3%), sodium benzoate (≤ 0.1%) and sodium azide (&lt; 0.1%) as preservatives. </w:t>
            </w:r>
          </w:p>
        </w:tc>
      </w:tr>
      <w:tr w:rsidR="00991136" w:rsidRPr="00B04242" w:rsidTr="00132A26">
        <w:trPr>
          <w:trHeight w:val="949"/>
        </w:trPr>
        <w:tc>
          <w:tcPr>
            <w:tcW w:w="12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991136" w:rsidP="00083894">
            <w:pPr>
              <w:autoSpaceDE w:val="0"/>
              <w:autoSpaceDN w:val="0"/>
              <w:adjustRightInd w:val="0"/>
              <w:spacing w:line="220" w:lineRule="atLeast"/>
              <w:textAlignment w:val="baseline"/>
              <w:rPr>
                <w:rFonts w:ascii="Arial" w:hAnsi="Arial" w:cs="Arial"/>
                <w:color w:val="000000"/>
                <w:spacing w:val="-2"/>
                <w:sz w:val="22"/>
                <w:szCs w:val="22"/>
              </w:rPr>
            </w:pPr>
            <w:r w:rsidRPr="00653DB7">
              <w:rPr>
                <w:rFonts w:ascii="Arial" w:hAnsi="Arial" w:cs="Arial"/>
                <w:color w:val="000000"/>
                <w:spacing w:val="-2"/>
                <w:sz w:val="22"/>
                <w:szCs w:val="22"/>
              </w:rPr>
              <w:t xml:space="preserve">Conjugate </w:t>
            </w:r>
          </w:p>
          <w:p w:rsidR="00991136" w:rsidRPr="00653DB7" w:rsidRDefault="00991136" w:rsidP="00083894">
            <w:pPr>
              <w:pStyle w:val="Textnospaceunder"/>
              <w:rPr>
                <w:rFonts w:ascii="Arial" w:hAnsi="Arial" w:cs="Arial"/>
                <w:sz w:val="22"/>
                <w:szCs w:val="22"/>
              </w:rPr>
            </w:pPr>
            <w:r w:rsidRPr="00653DB7">
              <w:rPr>
                <w:rFonts w:ascii="Arial" w:hAnsi="Arial" w:cs="Arial"/>
                <w:noProof/>
                <w:sz w:val="22"/>
                <w:szCs w:val="22"/>
              </w:rPr>
              <w:drawing>
                <wp:inline distT="0" distB="0" distL="0" distR="0" wp14:anchorId="665DC9F2" wp14:editId="37193317">
                  <wp:extent cx="323850" cy="123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123825"/>
                          </a:xfrm>
                          <a:prstGeom prst="rect">
                            <a:avLst/>
                          </a:prstGeom>
                          <a:noFill/>
                          <a:ln>
                            <a:noFill/>
                          </a:ln>
                        </pic:spPr>
                      </pic:pic>
                    </a:graphicData>
                  </a:graphic>
                </wp:inline>
              </w:drawing>
            </w:r>
          </w:p>
        </w:tc>
        <w:tc>
          <w:tcPr>
            <w:tcW w:w="67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991136" w:rsidP="00083894">
            <w:pPr>
              <w:pStyle w:val="CLSI-text"/>
              <w:jc w:val="both"/>
              <w:rPr>
                <w:color w:val="000000"/>
                <w:sz w:val="22"/>
                <w:szCs w:val="22"/>
              </w:rPr>
            </w:pPr>
            <w:r w:rsidRPr="00653DB7">
              <w:rPr>
                <w:color w:val="000000"/>
                <w:sz w:val="22"/>
                <w:szCs w:val="22"/>
              </w:rPr>
              <w:t xml:space="preserve">One (1) 5 mL vial, containing </w:t>
            </w:r>
            <w:proofErr w:type="spellStart"/>
            <w:r w:rsidRPr="00653DB7">
              <w:rPr>
                <w:color w:val="000000"/>
                <w:sz w:val="22"/>
                <w:szCs w:val="22"/>
              </w:rPr>
              <w:t>phycoerythrin</w:t>
            </w:r>
            <w:proofErr w:type="spellEnd"/>
            <w:r w:rsidRPr="00653DB7">
              <w:rPr>
                <w:color w:val="000000"/>
                <w:sz w:val="22"/>
                <w:szCs w:val="22"/>
              </w:rPr>
              <w:t>-conjugated donkey polyclonal anti</w:t>
            </w:r>
            <w:r w:rsidRPr="00653DB7">
              <w:rPr>
                <w:color w:val="000000"/>
                <w:sz w:val="22"/>
                <w:szCs w:val="22"/>
              </w:rPr>
              <w:noBreakHyphen/>
              <w:t xml:space="preserve">human IgM antibody and </w:t>
            </w:r>
            <w:proofErr w:type="spellStart"/>
            <w:r w:rsidRPr="00653DB7">
              <w:rPr>
                <w:color w:val="000000"/>
                <w:sz w:val="22"/>
                <w:szCs w:val="22"/>
              </w:rPr>
              <w:t>phycoerythrin</w:t>
            </w:r>
            <w:proofErr w:type="spellEnd"/>
            <w:r w:rsidRPr="00653DB7">
              <w:rPr>
                <w:color w:val="000000"/>
                <w:sz w:val="22"/>
                <w:szCs w:val="22"/>
              </w:rPr>
              <w:t>-conjugated murine monoclonal anti</w:t>
            </w:r>
            <w:r w:rsidRPr="00653DB7">
              <w:rPr>
                <w:color w:val="000000"/>
                <w:sz w:val="22"/>
                <w:szCs w:val="22"/>
              </w:rPr>
              <w:noBreakHyphen/>
              <w:t xml:space="preserve">human FXIII antibody, in buffer with protein stabilizers (bovine and equine). </w:t>
            </w:r>
            <w:proofErr w:type="spellStart"/>
            <w:r w:rsidRPr="00653DB7">
              <w:rPr>
                <w:color w:val="000000"/>
                <w:sz w:val="22"/>
                <w:szCs w:val="22"/>
              </w:rPr>
              <w:t>ProClin</w:t>
            </w:r>
            <w:proofErr w:type="spellEnd"/>
            <w:r w:rsidRPr="00653DB7">
              <w:rPr>
                <w:color w:val="000000"/>
                <w:sz w:val="22"/>
                <w:szCs w:val="22"/>
              </w:rPr>
              <w:t xml:space="preserve"> 300 (≤ 0.3%), sodium benzoate (≤ 0.1%) and sodium azide (&lt; 0.1%) as preservatives. </w:t>
            </w:r>
          </w:p>
        </w:tc>
      </w:tr>
      <w:tr w:rsidR="00991136" w:rsidRPr="00B04242" w:rsidTr="00132A26">
        <w:trPr>
          <w:trHeight w:val="59"/>
        </w:trPr>
        <w:tc>
          <w:tcPr>
            <w:tcW w:w="12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991136" w:rsidP="00083894">
            <w:pPr>
              <w:autoSpaceDE w:val="0"/>
              <w:autoSpaceDN w:val="0"/>
              <w:adjustRightInd w:val="0"/>
              <w:spacing w:line="220" w:lineRule="atLeast"/>
              <w:textAlignment w:val="baseline"/>
              <w:rPr>
                <w:rFonts w:ascii="Arial" w:hAnsi="Arial" w:cs="Arial"/>
                <w:color w:val="000000"/>
                <w:spacing w:val="-2"/>
                <w:sz w:val="22"/>
                <w:szCs w:val="22"/>
              </w:rPr>
            </w:pPr>
            <w:r w:rsidRPr="00653DB7">
              <w:rPr>
                <w:rFonts w:ascii="Arial" w:hAnsi="Arial" w:cs="Arial"/>
                <w:color w:val="000000"/>
                <w:spacing w:val="-2"/>
                <w:sz w:val="22"/>
                <w:szCs w:val="22"/>
              </w:rPr>
              <w:t xml:space="preserve">Sample Diluent  </w:t>
            </w:r>
          </w:p>
          <w:p w:rsidR="00991136" w:rsidRPr="00653DB7" w:rsidRDefault="00991136" w:rsidP="00083894">
            <w:pPr>
              <w:pStyle w:val="Textnospaceunder"/>
              <w:rPr>
                <w:rFonts w:ascii="Arial" w:hAnsi="Arial" w:cs="Arial"/>
                <w:sz w:val="22"/>
                <w:szCs w:val="22"/>
              </w:rPr>
            </w:pPr>
            <w:r w:rsidRPr="00653DB7">
              <w:rPr>
                <w:rFonts w:ascii="Arial" w:hAnsi="Arial" w:cs="Arial"/>
                <w:noProof/>
                <w:sz w:val="22"/>
                <w:szCs w:val="22"/>
              </w:rPr>
              <w:drawing>
                <wp:inline distT="0" distB="0" distL="0" distR="0" wp14:anchorId="1C69D749" wp14:editId="2374DEC4">
                  <wp:extent cx="2667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p>
        </w:tc>
        <w:tc>
          <w:tcPr>
            <w:tcW w:w="67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991136" w:rsidP="00083894">
            <w:pPr>
              <w:pStyle w:val="CLSI-text"/>
              <w:jc w:val="both"/>
              <w:rPr>
                <w:color w:val="000000"/>
                <w:sz w:val="22"/>
                <w:szCs w:val="22"/>
              </w:rPr>
            </w:pPr>
            <w:r w:rsidRPr="00653DB7">
              <w:rPr>
                <w:color w:val="000000"/>
                <w:sz w:val="22"/>
                <w:szCs w:val="22"/>
              </w:rPr>
              <w:t xml:space="preserve">One (1) 10 mL vial, containing goat anti-human IgG antibody and protein stabilizers (bovine and equine) in buffer. </w:t>
            </w:r>
            <w:proofErr w:type="spellStart"/>
            <w:r w:rsidRPr="00653DB7">
              <w:rPr>
                <w:color w:val="000000"/>
                <w:sz w:val="22"/>
                <w:szCs w:val="22"/>
              </w:rPr>
              <w:t>ProClin</w:t>
            </w:r>
            <w:proofErr w:type="spellEnd"/>
            <w:r w:rsidRPr="00653DB7">
              <w:rPr>
                <w:color w:val="000000"/>
                <w:sz w:val="22"/>
                <w:szCs w:val="22"/>
              </w:rPr>
              <w:t xml:space="preserve"> 300 (≤ 0.3%), sodium benzoate (≤ 0.1%) and sodium azide (&lt; 0.1%) as preservatives. </w:t>
            </w:r>
          </w:p>
        </w:tc>
      </w:tr>
      <w:tr w:rsidR="00991136" w:rsidRPr="00B04242" w:rsidTr="00132A26">
        <w:trPr>
          <w:trHeight w:val="59"/>
        </w:trPr>
        <w:tc>
          <w:tcPr>
            <w:tcW w:w="12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991136" w:rsidP="00991136">
            <w:pPr>
              <w:rPr>
                <w:rFonts w:ascii="Arial" w:hAnsi="Arial" w:cs="Arial"/>
                <w:color w:val="000000"/>
                <w:spacing w:val="-2"/>
                <w:sz w:val="22"/>
                <w:szCs w:val="22"/>
              </w:rPr>
            </w:pPr>
            <w:r w:rsidRPr="00653DB7">
              <w:rPr>
                <w:rFonts w:ascii="Arial" w:hAnsi="Arial" w:cs="Arial"/>
                <w:color w:val="000000"/>
                <w:spacing w:val="-2"/>
                <w:sz w:val="22"/>
                <w:szCs w:val="22"/>
              </w:rPr>
              <w:t>12000677</w:t>
            </w:r>
          </w:p>
          <w:p w:rsidR="00991136" w:rsidRPr="00653DB7" w:rsidRDefault="00991136" w:rsidP="00991136">
            <w:pPr>
              <w:rPr>
                <w:rFonts w:ascii="Arial" w:hAnsi="Arial" w:cs="Arial"/>
                <w:color w:val="000000"/>
                <w:spacing w:val="-2"/>
                <w:sz w:val="22"/>
                <w:szCs w:val="22"/>
              </w:rPr>
            </w:pPr>
          </w:p>
        </w:tc>
        <w:tc>
          <w:tcPr>
            <w:tcW w:w="67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991136" w:rsidP="00991136">
            <w:pPr>
              <w:pStyle w:val="CLSI-text"/>
              <w:jc w:val="both"/>
              <w:rPr>
                <w:color w:val="000000"/>
                <w:sz w:val="22"/>
                <w:szCs w:val="22"/>
              </w:rPr>
            </w:pPr>
            <w:proofErr w:type="spellStart"/>
            <w:r w:rsidRPr="00653DB7">
              <w:rPr>
                <w:color w:val="000000"/>
                <w:sz w:val="22"/>
                <w:szCs w:val="22"/>
              </w:rPr>
              <w:t>BioPlex</w:t>
            </w:r>
            <w:proofErr w:type="spellEnd"/>
            <w:r w:rsidRPr="00653DB7">
              <w:rPr>
                <w:color w:val="000000"/>
                <w:sz w:val="22"/>
                <w:szCs w:val="22"/>
              </w:rPr>
              <w:t xml:space="preserve"> 2200 </w:t>
            </w:r>
            <w:proofErr w:type="spellStart"/>
            <w:r w:rsidRPr="00653DB7">
              <w:rPr>
                <w:color w:val="000000"/>
                <w:sz w:val="22"/>
                <w:szCs w:val="22"/>
              </w:rPr>
              <w:t>ToRC</w:t>
            </w:r>
            <w:proofErr w:type="spellEnd"/>
            <w:r w:rsidRPr="00653DB7">
              <w:rPr>
                <w:color w:val="000000"/>
                <w:sz w:val="22"/>
                <w:szCs w:val="22"/>
              </w:rPr>
              <w:t xml:space="preserve">-M Calibrator Set: Two (2) 0.5 mL vials. The calibrators are provided in a human serum matrix made from </w:t>
            </w:r>
            <w:proofErr w:type="spellStart"/>
            <w:r w:rsidRPr="00653DB7">
              <w:rPr>
                <w:color w:val="000000"/>
                <w:sz w:val="22"/>
                <w:szCs w:val="22"/>
              </w:rPr>
              <w:t>defibrinated</w:t>
            </w:r>
            <w:proofErr w:type="spellEnd"/>
            <w:r w:rsidRPr="00653DB7">
              <w:rPr>
                <w:color w:val="000000"/>
                <w:sz w:val="22"/>
                <w:szCs w:val="22"/>
              </w:rPr>
              <w:t xml:space="preserve"> plasma with added known analyte concentration consisting of </w:t>
            </w:r>
            <w:proofErr w:type="spellStart"/>
            <w:r w:rsidRPr="00653DB7">
              <w:rPr>
                <w:color w:val="000000"/>
                <w:sz w:val="22"/>
                <w:szCs w:val="22"/>
              </w:rPr>
              <w:t>HuCAL</w:t>
            </w:r>
            <w:proofErr w:type="spellEnd"/>
            <w:r w:rsidRPr="00653DB7">
              <w:rPr>
                <w:color w:val="000000"/>
                <w:sz w:val="22"/>
                <w:szCs w:val="22"/>
              </w:rPr>
              <w:t xml:space="preserve"> recombinant IgM antibodies for rubella and human disease state plasma derived antibodies for T </w:t>
            </w:r>
            <w:proofErr w:type="spellStart"/>
            <w:r w:rsidRPr="00653DB7">
              <w:rPr>
                <w:color w:val="000000"/>
                <w:sz w:val="22"/>
                <w:szCs w:val="22"/>
              </w:rPr>
              <w:t>gondii</w:t>
            </w:r>
            <w:proofErr w:type="spellEnd"/>
            <w:r w:rsidRPr="00653DB7">
              <w:rPr>
                <w:color w:val="000000"/>
                <w:sz w:val="22"/>
                <w:szCs w:val="22"/>
              </w:rPr>
              <w:t xml:space="preserve"> and CMV.  All calibrators contain </w:t>
            </w:r>
            <w:proofErr w:type="spellStart"/>
            <w:r w:rsidRPr="00653DB7">
              <w:rPr>
                <w:color w:val="000000"/>
                <w:sz w:val="22"/>
                <w:szCs w:val="22"/>
              </w:rPr>
              <w:t>ProClin</w:t>
            </w:r>
            <w:proofErr w:type="spellEnd"/>
            <w:r w:rsidRPr="00653DB7">
              <w:rPr>
                <w:color w:val="000000"/>
                <w:sz w:val="22"/>
                <w:szCs w:val="22"/>
              </w:rPr>
              <w:t xml:space="preserve"> 300 (≤ 0.3%), sodium benzoate (≤ 0.1%) and sodium azide (&lt; 0.1%) as preservatives. </w:t>
            </w:r>
          </w:p>
        </w:tc>
      </w:tr>
      <w:tr w:rsidR="00991136" w:rsidRPr="00B04242" w:rsidTr="00132A26">
        <w:trPr>
          <w:trHeight w:val="59"/>
        </w:trPr>
        <w:tc>
          <w:tcPr>
            <w:tcW w:w="12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3469C4" w:rsidP="00991136">
            <w:pPr>
              <w:rPr>
                <w:rFonts w:ascii="Arial" w:hAnsi="Arial" w:cs="Arial"/>
                <w:color w:val="000000"/>
                <w:spacing w:val="-2"/>
                <w:sz w:val="22"/>
                <w:szCs w:val="22"/>
              </w:rPr>
            </w:pPr>
            <w:r w:rsidRPr="00653DB7">
              <w:rPr>
                <w:rFonts w:ascii="Arial" w:hAnsi="Arial" w:cs="Arial"/>
                <w:color w:val="000000"/>
                <w:spacing w:val="-2"/>
                <w:sz w:val="22"/>
                <w:szCs w:val="22"/>
              </w:rPr>
              <w:t>12000678</w:t>
            </w:r>
          </w:p>
          <w:p w:rsidR="00991136" w:rsidRPr="00653DB7" w:rsidRDefault="00991136" w:rsidP="00991136">
            <w:pPr>
              <w:rPr>
                <w:rFonts w:ascii="Arial" w:hAnsi="Arial" w:cs="Arial"/>
                <w:color w:val="000000"/>
                <w:spacing w:val="-2"/>
                <w:sz w:val="22"/>
                <w:szCs w:val="22"/>
              </w:rPr>
            </w:pPr>
          </w:p>
        </w:tc>
        <w:tc>
          <w:tcPr>
            <w:tcW w:w="67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991136" w:rsidP="003469C4">
            <w:pPr>
              <w:pStyle w:val="CLSI-text"/>
              <w:jc w:val="both"/>
              <w:rPr>
                <w:color w:val="000000"/>
                <w:sz w:val="22"/>
                <w:szCs w:val="22"/>
              </w:rPr>
            </w:pPr>
            <w:proofErr w:type="spellStart"/>
            <w:r w:rsidRPr="00653DB7">
              <w:rPr>
                <w:color w:val="000000"/>
                <w:sz w:val="22"/>
                <w:szCs w:val="22"/>
              </w:rPr>
              <w:t>BioPlex</w:t>
            </w:r>
            <w:proofErr w:type="spellEnd"/>
            <w:r w:rsidRPr="00653DB7">
              <w:rPr>
                <w:color w:val="000000"/>
                <w:sz w:val="22"/>
                <w:szCs w:val="22"/>
              </w:rPr>
              <w:t xml:space="preserve"> 2200 </w:t>
            </w:r>
            <w:proofErr w:type="spellStart"/>
            <w:r w:rsidR="00B60994" w:rsidRPr="00653DB7">
              <w:rPr>
                <w:color w:val="000000"/>
                <w:sz w:val="22"/>
                <w:szCs w:val="22"/>
              </w:rPr>
              <w:t>ToRC</w:t>
            </w:r>
            <w:proofErr w:type="spellEnd"/>
            <w:r w:rsidRPr="00653DB7">
              <w:rPr>
                <w:color w:val="000000"/>
                <w:sz w:val="22"/>
                <w:szCs w:val="22"/>
              </w:rPr>
              <w:t xml:space="preserve"> IgM Control Set: Two (2) 1.5 mL Positive Control serum vials, containing human</w:t>
            </w:r>
            <w:r w:rsidR="003469C4" w:rsidRPr="00653DB7">
              <w:rPr>
                <w:color w:val="000000"/>
                <w:sz w:val="22"/>
                <w:szCs w:val="22"/>
              </w:rPr>
              <w:t xml:space="preserve"> disease state</w:t>
            </w:r>
            <w:r w:rsidRPr="00653DB7">
              <w:rPr>
                <w:color w:val="000000"/>
                <w:sz w:val="22"/>
                <w:szCs w:val="22"/>
              </w:rPr>
              <w:t xml:space="preserve"> IgM antibodies</w:t>
            </w:r>
            <w:r w:rsidR="003469C4" w:rsidRPr="00653DB7">
              <w:rPr>
                <w:color w:val="000000"/>
                <w:sz w:val="22"/>
                <w:szCs w:val="22"/>
              </w:rPr>
              <w:t xml:space="preserve"> T. </w:t>
            </w:r>
            <w:proofErr w:type="spellStart"/>
            <w:r w:rsidR="003469C4" w:rsidRPr="00653DB7">
              <w:rPr>
                <w:color w:val="000000"/>
                <w:sz w:val="22"/>
                <w:szCs w:val="22"/>
              </w:rPr>
              <w:t>gondii</w:t>
            </w:r>
            <w:proofErr w:type="spellEnd"/>
            <w:r w:rsidR="003469C4" w:rsidRPr="00653DB7">
              <w:rPr>
                <w:color w:val="000000"/>
                <w:sz w:val="22"/>
                <w:szCs w:val="22"/>
              </w:rPr>
              <w:t xml:space="preserve"> and </w:t>
            </w:r>
            <w:r w:rsidRPr="00653DB7">
              <w:rPr>
                <w:color w:val="000000"/>
                <w:sz w:val="22"/>
                <w:szCs w:val="22"/>
              </w:rPr>
              <w:t>CMV</w:t>
            </w:r>
            <w:r w:rsidR="003469C4" w:rsidRPr="00653DB7">
              <w:rPr>
                <w:color w:val="000000"/>
                <w:sz w:val="22"/>
                <w:szCs w:val="22"/>
              </w:rPr>
              <w:t xml:space="preserve">, and </w:t>
            </w:r>
            <w:proofErr w:type="spellStart"/>
            <w:r w:rsidR="003469C4" w:rsidRPr="00653DB7">
              <w:rPr>
                <w:color w:val="000000"/>
                <w:sz w:val="22"/>
                <w:szCs w:val="22"/>
              </w:rPr>
              <w:t>HuCAL</w:t>
            </w:r>
            <w:proofErr w:type="spellEnd"/>
            <w:r w:rsidR="003469C4" w:rsidRPr="00653DB7">
              <w:rPr>
                <w:color w:val="000000"/>
                <w:sz w:val="22"/>
                <w:szCs w:val="22"/>
              </w:rPr>
              <w:t xml:space="preserve"> recombinant IgM antibodies to Rubella in a human serum matrix made from </w:t>
            </w:r>
            <w:proofErr w:type="spellStart"/>
            <w:r w:rsidR="003469C4" w:rsidRPr="00653DB7">
              <w:rPr>
                <w:color w:val="000000"/>
                <w:sz w:val="22"/>
                <w:szCs w:val="22"/>
              </w:rPr>
              <w:t>defibrinated</w:t>
            </w:r>
            <w:proofErr w:type="spellEnd"/>
            <w:r w:rsidR="003469C4" w:rsidRPr="00653DB7">
              <w:rPr>
                <w:color w:val="000000"/>
                <w:sz w:val="22"/>
                <w:szCs w:val="22"/>
              </w:rPr>
              <w:t xml:space="preserve"> plasma; and </w:t>
            </w:r>
            <w:r w:rsidRPr="00653DB7">
              <w:rPr>
                <w:color w:val="000000"/>
                <w:sz w:val="22"/>
                <w:szCs w:val="22"/>
              </w:rPr>
              <w:t xml:space="preserve">two (2) 1.5 mL Negative Control serum vials, in a human serum matrix made from </w:t>
            </w:r>
            <w:proofErr w:type="spellStart"/>
            <w:r w:rsidRPr="00653DB7">
              <w:rPr>
                <w:color w:val="000000"/>
                <w:sz w:val="22"/>
                <w:szCs w:val="22"/>
              </w:rPr>
              <w:t>defibrinated</w:t>
            </w:r>
            <w:proofErr w:type="spellEnd"/>
            <w:r w:rsidRPr="00653DB7">
              <w:rPr>
                <w:color w:val="000000"/>
                <w:sz w:val="22"/>
                <w:szCs w:val="22"/>
              </w:rPr>
              <w:t xml:space="preserve"> plasma. All controls contain Amikacin (0.003%), </w:t>
            </w:r>
            <w:proofErr w:type="spellStart"/>
            <w:r w:rsidRPr="00653DB7">
              <w:rPr>
                <w:color w:val="000000"/>
                <w:sz w:val="22"/>
                <w:szCs w:val="22"/>
              </w:rPr>
              <w:t>Cycloheximide</w:t>
            </w:r>
            <w:proofErr w:type="spellEnd"/>
            <w:r w:rsidRPr="00653DB7">
              <w:rPr>
                <w:color w:val="000000"/>
                <w:sz w:val="22"/>
                <w:szCs w:val="22"/>
              </w:rPr>
              <w:t xml:space="preserve"> (C15H23NO4) (0.009%), Amphotericin B (0.002%), Cefotaxime Sodium (0.002%), Ciprofloxacin (0.005%), </w:t>
            </w:r>
            <w:proofErr w:type="spellStart"/>
            <w:r w:rsidRPr="00653DB7">
              <w:rPr>
                <w:color w:val="000000"/>
                <w:sz w:val="22"/>
                <w:szCs w:val="22"/>
              </w:rPr>
              <w:lastRenderedPageBreak/>
              <w:t>ProClin</w:t>
            </w:r>
            <w:proofErr w:type="spellEnd"/>
            <w:r w:rsidRPr="00653DB7">
              <w:rPr>
                <w:color w:val="000000"/>
                <w:sz w:val="22"/>
                <w:szCs w:val="22"/>
              </w:rPr>
              <w:t xml:space="preserve"> 300 (≤ 0.3%), sodium benzoate (</w:t>
            </w:r>
            <w:r w:rsidRPr="00653DB7">
              <w:rPr>
                <w:color w:val="000000"/>
                <w:sz w:val="22"/>
                <w:szCs w:val="22"/>
              </w:rPr>
              <w:sym w:font="Symbol" w:char="F0A3"/>
            </w:r>
            <w:r w:rsidRPr="00653DB7">
              <w:rPr>
                <w:color w:val="000000"/>
                <w:sz w:val="22"/>
                <w:szCs w:val="22"/>
              </w:rPr>
              <w:t xml:space="preserve"> 0.1%) and sodium azide (&lt; 0.1%). </w:t>
            </w:r>
          </w:p>
        </w:tc>
      </w:tr>
      <w:tr w:rsidR="00991136" w:rsidRPr="00B04242" w:rsidTr="00132A26">
        <w:trPr>
          <w:trHeight w:val="59"/>
        </w:trPr>
        <w:tc>
          <w:tcPr>
            <w:tcW w:w="12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991136" w:rsidP="00991136">
            <w:pPr>
              <w:rPr>
                <w:rFonts w:ascii="Arial" w:hAnsi="Arial" w:cs="Arial"/>
                <w:color w:val="000000"/>
                <w:spacing w:val="-2"/>
                <w:sz w:val="22"/>
                <w:szCs w:val="22"/>
              </w:rPr>
            </w:pPr>
            <w:r w:rsidRPr="00653DB7">
              <w:rPr>
                <w:rFonts w:ascii="Arial" w:hAnsi="Arial" w:cs="Arial"/>
                <w:color w:val="000000"/>
                <w:spacing w:val="-2"/>
                <w:sz w:val="22"/>
                <w:szCs w:val="22"/>
              </w:rPr>
              <w:lastRenderedPageBreak/>
              <w:t>660-0817</w:t>
            </w:r>
          </w:p>
          <w:p w:rsidR="00991136" w:rsidRPr="00653DB7" w:rsidRDefault="00991136" w:rsidP="00991136">
            <w:pPr>
              <w:rPr>
                <w:rFonts w:ascii="Arial" w:hAnsi="Arial" w:cs="Arial"/>
                <w:color w:val="000000"/>
                <w:spacing w:val="-2"/>
                <w:sz w:val="22"/>
                <w:szCs w:val="22"/>
              </w:rPr>
            </w:pPr>
          </w:p>
        </w:tc>
        <w:tc>
          <w:tcPr>
            <w:tcW w:w="67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991136" w:rsidP="00083894">
            <w:pPr>
              <w:pStyle w:val="CLSI-text"/>
              <w:jc w:val="both"/>
              <w:rPr>
                <w:color w:val="000000"/>
                <w:sz w:val="22"/>
                <w:szCs w:val="22"/>
              </w:rPr>
            </w:pPr>
            <w:proofErr w:type="spellStart"/>
            <w:r w:rsidRPr="00653DB7">
              <w:rPr>
                <w:color w:val="000000"/>
                <w:sz w:val="22"/>
                <w:szCs w:val="22"/>
              </w:rPr>
              <w:t>BioPlex</w:t>
            </w:r>
            <w:proofErr w:type="spellEnd"/>
            <w:r w:rsidRPr="00653DB7">
              <w:rPr>
                <w:color w:val="000000"/>
                <w:sz w:val="22"/>
                <w:szCs w:val="22"/>
              </w:rPr>
              <w:t xml:space="preserve"> 2200 Sheath Fluid: Two (2) 4 L bottles containing Phosphate Buffered Saline (PBS). </w:t>
            </w:r>
            <w:proofErr w:type="spellStart"/>
            <w:r w:rsidRPr="00653DB7">
              <w:rPr>
                <w:color w:val="000000"/>
                <w:sz w:val="22"/>
                <w:szCs w:val="22"/>
              </w:rPr>
              <w:t>ProClin</w:t>
            </w:r>
            <w:proofErr w:type="spellEnd"/>
            <w:r w:rsidRPr="00653DB7">
              <w:rPr>
                <w:color w:val="000000"/>
                <w:sz w:val="22"/>
                <w:szCs w:val="22"/>
              </w:rPr>
              <w:t xml:space="preserve"> 300 (0.03%) and sodium azide (&lt; 0.1%) as preservatives. </w:t>
            </w:r>
          </w:p>
        </w:tc>
      </w:tr>
      <w:tr w:rsidR="00991136" w:rsidRPr="00B04242" w:rsidTr="00132A26">
        <w:trPr>
          <w:trHeight w:val="59"/>
        </w:trPr>
        <w:tc>
          <w:tcPr>
            <w:tcW w:w="12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991136" w:rsidP="00991136">
            <w:pPr>
              <w:rPr>
                <w:rFonts w:ascii="Arial" w:hAnsi="Arial" w:cs="Arial"/>
                <w:color w:val="000000"/>
                <w:spacing w:val="-2"/>
                <w:sz w:val="22"/>
                <w:szCs w:val="22"/>
              </w:rPr>
            </w:pPr>
            <w:r w:rsidRPr="00653DB7">
              <w:rPr>
                <w:rFonts w:ascii="Arial" w:hAnsi="Arial" w:cs="Arial"/>
                <w:color w:val="000000"/>
                <w:spacing w:val="-2"/>
                <w:sz w:val="22"/>
                <w:szCs w:val="22"/>
              </w:rPr>
              <w:t>660-0818</w:t>
            </w:r>
          </w:p>
          <w:p w:rsidR="00991136" w:rsidRPr="00653DB7" w:rsidRDefault="00991136" w:rsidP="00991136">
            <w:pPr>
              <w:rPr>
                <w:rFonts w:ascii="Arial" w:hAnsi="Arial" w:cs="Arial"/>
                <w:color w:val="000000"/>
                <w:spacing w:val="-2"/>
                <w:sz w:val="22"/>
                <w:szCs w:val="22"/>
              </w:rPr>
            </w:pPr>
          </w:p>
        </w:tc>
        <w:tc>
          <w:tcPr>
            <w:tcW w:w="67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991136" w:rsidP="00083894">
            <w:pPr>
              <w:pStyle w:val="CLSI-text"/>
              <w:jc w:val="both"/>
              <w:rPr>
                <w:color w:val="000000"/>
                <w:sz w:val="22"/>
                <w:szCs w:val="22"/>
              </w:rPr>
            </w:pPr>
            <w:proofErr w:type="spellStart"/>
            <w:r w:rsidRPr="00653DB7">
              <w:rPr>
                <w:color w:val="000000"/>
                <w:sz w:val="22"/>
                <w:szCs w:val="22"/>
              </w:rPr>
              <w:t>BioPlex</w:t>
            </w:r>
            <w:proofErr w:type="spellEnd"/>
            <w:r w:rsidRPr="00653DB7">
              <w:rPr>
                <w:color w:val="000000"/>
                <w:sz w:val="22"/>
                <w:szCs w:val="22"/>
              </w:rPr>
              <w:t xml:space="preserve"> 2200 Wash Solution: One (1) 10 L bottle containing Phosphate Buffered Saline (PBS) and Tween 20. </w:t>
            </w:r>
            <w:proofErr w:type="spellStart"/>
            <w:r w:rsidRPr="00653DB7">
              <w:rPr>
                <w:color w:val="000000"/>
                <w:sz w:val="22"/>
                <w:szCs w:val="22"/>
              </w:rPr>
              <w:t>ProClin</w:t>
            </w:r>
            <w:proofErr w:type="spellEnd"/>
            <w:r w:rsidRPr="00653DB7">
              <w:rPr>
                <w:color w:val="000000"/>
                <w:sz w:val="22"/>
                <w:szCs w:val="22"/>
              </w:rPr>
              <w:t xml:space="preserve"> 300 (0.03%) and sodium azide (&lt; 0.1%) as preservatives. </w:t>
            </w:r>
          </w:p>
        </w:tc>
      </w:tr>
      <w:tr w:rsidR="00991136" w:rsidRPr="00B04242" w:rsidTr="00132A26">
        <w:trPr>
          <w:trHeight w:val="59"/>
        </w:trPr>
        <w:tc>
          <w:tcPr>
            <w:tcW w:w="12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991136" w:rsidP="00991136">
            <w:pPr>
              <w:rPr>
                <w:rFonts w:ascii="Arial" w:hAnsi="Arial" w:cs="Arial"/>
                <w:color w:val="000000"/>
                <w:spacing w:val="-2"/>
                <w:szCs w:val="24"/>
              </w:rPr>
            </w:pPr>
            <w:r w:rsidRPr="00653DB7">
              <w:rPr>
                <w:rFonts w:ascii="Arial" w:hAnsi="Arial" w:cs="Arial"/>
                <w:color w:val="000000"/>
                <w:spacing w:val="-2"/>
                <w:szCs w:val="24"/>
              </w:rPr>
              <w:t>660-0000</w:t>
            </w:r>
          </w:p>
        </w:tc>
        <w:tc>
          <w:tcPr>
            <w:tcW w:w="67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1136" w:rsidRPr="00653DB7" w:rsidRDefault="00991136" w:rsidP="00083894">
            <w:pPr>
              <w:pStyle w:val="CLSI-text"/>
              <w:jc w:val="both"/>
              <w:rPr>
                <w:color w:val="000000"/>
                <w:sz w:val="24"/>
                <w:szCs w:val="24"/>
              </w:rPr>
            </w:pPr>
            <w:proofErr w:type="spellStart"/>
            <w:r w:rsidRPr="00653DB7">
              <w:rPr>
                <w:color w:val="000000"/>
                <w:sz w:val="24"/>
                <w:szCs w:val="24"/>
              </w:rPr>
              <w:t>BioPlex</w:t>
            </w:r>
            <w:proofErr w:type="spellEnd"/>
            <w:r w:rsidRPr="00653DB7">
              <w:rPr>
                <w:color w:val="000000"/>
                <w:sz w:val="24"/>
                <w:szCs w:val="24"/>
              </w:rPr>
              <w:t xml:space="preserve"> 2200 Instrument and Software System.</w:t>
            </w:r>
          </w:p>
        </w:tc>
      </w:tr>
    </w:tbl>
    <w:p w:rsidR="00653DB7" w:rsidRDefault="00653DB7" w:rsidP="00653DB7">
      <w:pPr>
        <w:keepNext/>
        <w:spacing w:before="60"/>
        <w:ind w:firstLine="720"/>
        <w:rPr>
          <w:rFonts w:ascii="Arial" w:hAnsi="Arial" w:cs="Arial"/>
          <w:b/>
          <w:color w:val="000000"/>
          <w:szCs w:val="24"/>
        </w:rPr>
      </w:pPr>
    </w:p>
    <w:p w:rsidR="00653DB7" w:rsidRPr="00132A26" w:rsidRDefault="00653DB7" w:rsidP="00132A26">
      <w:pPr>
        <w:pStyle w:val="ListParagraph"/>
        <w:keepNext/>
        <w:numPr>
          <w:ilvl w:val="0"/>
          <w:numId w:val="15"/>
        </w:numPr>
        <w:spacing w:before="60"/>
        <w:ind w:left="1080" w:hanging="450"/>
        <w:rPr>
          <w:rFonts w:ascii="Arial" w:hAnsi="Arial" w:cs="Arial"/>
          <w:color w:val="000000"/>
          <w:szCs w:val="24"/>
        </w:rPr>
      </w:pPr>
      <w:r w:rsidRPr="00132A26">
        <w:rPr>
          <w:rFonts w:ascii="Arial" w:hAnsi="Arial" w:cs="Arial"/>
          <w:color w:val="000000"/>
          <w:szCs w:val="24"/>
        </w:rPr>
        <w:t>PREPARATION AND STORAGE OF REAGENTS</w:t>
      </w:r>
    </w:p>
    <w:p w:rsidR="00653DB7" w:rsidRPr="00653DB7" w:rsidRDefault="00653DB7" w:rsidP="00653DB7">
      <w:pPr>
        <w:pStyle w:val="ListParagraph"/>
        <w:keepNext/>
        <w:numPr>
          <w:ilvl w:val="1"/>
          <w:numId w:val="2"/>
        </w:numPr>
        <w:spacing w:before="60"/>
        <w:rPr>
          <w:rFonts w:ascii="Arial" w:hAnsi="Arial" w:cs="Arial"/>
          <w:b/>
          <w:color w:val="000000"/>
          <w:szCs w:val="24"/>
        </w:rPr>
      </w:pPr>
      <w:r w:rsidRPr="00653DB7">
        <w:rPr>
          <w:rFonts w:ascii="Arial" w:hAnsi="Arial" w:cs="Arial"/>
          <w:b/>
          <w:color w:val="000000"/>
          <w:szCs w:val="24"/>
        </w:rPr>
        <w:t xml:space="preserve">Do not freeze the </w:t>
      </w:r>
      <w:proofErr w:type="spellStart"/>
      <w:r w:rsidRPr="00653DB7">
        <w:rPr>
          <w:rFonts w:ascii="Arial" w:hAnsi="Arial" w:cs="Arial"/>
          <w:b/>
          <w:color w:val="000000"/>
          <w:szCs w:val="24"/>
        </w:rPr>
        <w:t>ToRC</w:t>
      </w:r>
      <w:proofErr w:type="spellEnd"/>
      <w:r w:rsidRPr="00653DB7">
        <w:rPr>
          <w:rFonts w:ascii="Arial" w:hAnsi="Arial" w:cs="Arial"/>
          <w:b/>
          <w:color w:val="000000"/>
          <w:szCs w:val="24"/>
        </w:rPr>
        <w:t xml:space="preserve"> IgM Reagent Pack. </w:t>
      </w:r>
    </w:p>
    <w:p w:rsidR="00653DB7" w:rsidRPr="00653DB7" w:rsidRDefault="00653DB7" w:rsidP="00653DB7">
      <w:pPr>
        <w:pStyle w:val="CLSINumbered"/>
        <w:numPr>
          <w:ilvl w:val="1"/>
          <w:numId w:val="2"/>
        </w:numPr>
        <w:tabs>
          <w:tab w:val="clear" w:pos="360"/>
          <w:tab w:val="num" w:pos="2880"/>
        </w:tabs>
        <w:rPr>
          <w:color w:val="000000"/>
          <w:sz w:val="24"/>
          <w:szCs w:val="24"/>
        </w:rPr>
      </w:pPr>
      <w:r w:rsidRPr="00653DB7">
        <w:rPr>
          <w:color w:val="000000"/>
          <w:sz w:val="24"/>
          <w:szCs w:val="24"/>
        </w:rPr>
        <w:t xml:space="preserve">Reagents in the ToRC IgM kit are ready to use. After initial use, the reagents are stable for 60 days or until the date of expiration when stored unopened on the instrument or refrigerated at 2-8ºC. </w:t>
      </w:r>
    </w:p>
    <w:p w:rsidR="00653DB7" w:rsidRPr="00653DB7" w:rsidRDefault="00653DB7" w:rsidP="00653DB7">
      <w:pPr>
        <w:pStyle w:val="CLSINumbered"/>
        <w:numPr>
          <w:ilvl w:val="1"/>
          <w:numId w:val="2"/>
        </w:numPr>
        <w:tabs>
          <w:tab w:val="num" w:pos="2880"/>
        </w:tabs>
        <w:rPr>
          <w:color w:val="000000"/>
          <w:sz w:val="24"/>
          <w:szCs w:val="24"/>
        </w:rPr>
      </w:pPr>
      <w:r w:rsidRPr="00653DB7">
        <w:rPr>
          <w:color w:val="000000"/>
          <w:sz w:val="24"/>
          <w:szCs w:val="24"/>
        </w:rPr>
        <w:t>Do not use reagents beyond expiration dates.</w:t>
      </w:r>
    </w:p>
    <w:p w:rsidR="00653DB7" w:rsidRPr="00653DB7" w:rsidRDefault="00653DB7" w:rsidP="00132A26">
      <w:pPr>
        <w:pStyle w:val="ListParagraph"/>
        <w:keepNext/>
        <w:numPr>
          <w:ilvl w:val="0"/>
          <w:numId w:val="15"/>
        </w:numPr>
        <w:spacing w:before="60"/>
        <w:ind w:left="1080" w:hanging="450"/>
        <w:rPr>
          <w:color w:val="000000"/>
          <w:szCs w:val="24"/>
        </w:rPr>
      </w:pPr>
      <w:r w:rsidRPr="00653DB7">
        <w:rPr>
          <w:color w:val="000000"/>
          <w:szCs w:val="24"/>
        </w:rPr>
        <w:t xml:space="preserve">INDICATIONS OF INSTABILITY OR DETERIORATION OF REAGENTS </w:t>
      </w:r>
    </w:p>
    <w:p w:rsidR="00653DB7" w:rsidRPr="00653DB7" w:rsidRDefault="00653DB7" w:rsidP="00653DB7">
      <w:pPr>
        <w:pStyle w:val="CLSI-text"/>
        <w:numPr>
          <w:ilvl w:val="1"/>
          <w:numId w:val="3"/>
        </w:numPr>
        <w:jc w:val="both"/>
        <w:rPr>
          <w:color w:val="000000"/>
          <w:sz w:val="24"/>
          <w:szCs w:val="24"/>
        </w:rPr>
      </w:pPr>
      <w:r w:rsidRPr="00653DB7">
        <w:rPr>
          <w:color w:val="000000"/>
          <w:sz w:val="24"/>
          <w:szCs w:val="24"/>
        </w:rPr>
        <w:t xml:space="preserve">Store all reagents at the labeled temperature and do not use past their expiration dates. </w:t>
      </w:r>
    </w:p>
    <w:p w:rsidR="00653DB7" w:rsidRPr="00653DB7" w:rsidRDefault="00653DB7" w:rsidP="00653DB7">
      <w:pPr>
        <w:pStyle w:val="CLSI-text"/>
        <w:numPr>
          <w:ilvl w:val="1"/>
          <w:numId w:val="3"/>
        </w:numPr>
        <w:jc w:val="both"/>
        <w:rPr>
          <w:color w:val="000000"/>
          <w:sz w:val="24"/>
          <w:szCs w:val="24"/>
        </w:rPr>
      </w:pPr>
      <w:r w:rsidRPr="00653DB7">
        <w:rPr>
          <w:color w:val="000000"/>
          <w:sz w:val="24"/>
          <w:szCs w:val="24"/>
        </w:rPr>
        <w:t>Do not use any reagents which have any indications of discoloration, cloudiness or excessive precipitation.</w:t>
      </w:r>
    </w:p>
    <w:p w:rsidR="00653DB7" w:rsidRPr="00653DB7" w:rsidRDefault="00653DB7" w:rsidP="00653DB7">
      <w:pPr>
        <w:pStyle w:val="CLSI-text"/>
        <w:numPr>
          <w:ilvl w:val="1"/>
          <w:numId w:val="3"/>
        </w:numPr>
        <w:jc w:val="both"/>
        <w:rPr>
          <w:color w:val="000000"/>
          <w:sz w:val="24"/>
          <w:szCs w:val="24"/>
        </w:rPr>
      </w:pPr>
      <w:r w:rsidRPr="00653DB7">
        <w:rPr>
          <w:color w:val="000000"/>
          <w:sz w:val="24"/>
          <w:szCs w:val="24"/>
        </w:rPr>
        <w:t xml:space="preserve">Do not use any reagents that show any signs of leakage. </w:t>
      </w:r>
    </w:p>
    <w:p w:rsidR="00653DB7" w:rsidRPr="00132A26" w:rsidRDefault="00653DB7" w:rsidP="00132A26">
      <w:pPr>
        <w:pStyle w:val="ListParagraph"/>
        <w:keepNext/>
        <w:numPr>
          <w:ilvl w:val="0"/>
          <w:numId w:val="15"/>
        </w:numPr>
        <w:tabs>
          <w:tab w:val="left" w:pos="1080"/>
        </w:tabs>
        <w:spacing w:before="60"/>
        <w:ind w:left="1080" w:hanging="450"/>
        <w:rPr>
          <w:color w:val="000000"/>
          <w:szCs w:val="24"/>
        </w:rPr>
      </w:pPr>
      <w:r w:rsidRPr="00132A26">
        <w:rPr>
          <w:szCs w:val="24"/>
        </w:rPr>
        <w:t>Precautions /Warnings</w:t>
      </w:r>
    </w:p>
    <w:p w:rsidR="00653DB7" w:rsidRDefault="00653DB7" w:rsidP="00132A26">
      <w:pPr>
        <w:pStyle w:val="CLSI-text"/>
        <w:tabs>
          <w:tab w:val="left" w:pos="1080"/>
        </w:tabs>
        <w:ind w:left="720"/>
        <w:jc w:val="both"/>
        <w:rPr>
          <w:color w:val="000000"/>
          <w:sz w:val="24"/>
          <w:szCs w:val="24"/>
        </w:rPr>
      </w:pPr>
      <w:r>
        <w:rPr>
          <w:b/>
          <w:color w:val="000000"/>
          <w:sz w:val="24"/>
          <w:szCs w:val="24"/>
        </w:rPr>
        <w:tab/>
      </w:r>
      <w:proofErr w:type="gramStart"/>
      <w:r>
        <w:rPr>
          <w:color w:val="000000"/>
          <w:sz w:val="24"/>
          <w:szCs w:val="24"/>
        </w:rPr>
        <w:t>May cause an allergic skin reaction.</w:t>
      </w:r>
      <w:proofErr w:type="gramEnd"/>
    </w:p>
    <w:p w:rsidR="00653DB7" w:rsidRDefault="00653DB7" w:rsidP="00132A26">
      <w:pPr>
        <w:pStyle w:val="CLSI-text"/>
        <w:tabs>
          <w:tab w:val="left" w:pos="1080"/>
        </w:tabs>
        <w:ind w:left="720"/>
        <w:jc w:val="both"/>
        <w:rPr>
          <w:color w:val="000000"/>
          <w:sz w:val="24"/>
          <w:szCs w:val="24"/>
        </w:rPr>
      </w:pPr>
      <w:r>
        <w:rPr>
          <w:color w:val="000000"/>
          <w:sz w:val="24"/>
          <w:szCs w:val="24"/>
        </w:rPr>
        <w:tab/>
        <w:t>If on skin:  Wash with plenty of soap and water.</w:t>
      </w:r>
    </w:p>
    <w:p w:rsidR="00653DB7" w:rsidRPr="00653DB7" w:rsidRDefault="00653DB7" w:rsidP="00132A26">
      <w:pPr>
        <w:pStyle w:val="CLSI-text"/>
        <w:tabs>
          <w:tab w:val="left" w:pos="1080"/>
        </w:tabs>
        <w:ind w:left="720"/>
        <w:jc w:val="both"/>
        <w:rPr>
          <w:color w:val="000000"/>
          <w:sz w:val="24"/>
          <w:szCs w:val="24"/>
        </w:rPr>
      </w:pPr>
      <w:r>
        <w:rPr>
          <w:color w:val="000000"/>
          <w:sz w:val="24"/>
          <w:szCs w:val="24"/>
        </w:rPr>
        <w:tab/>
        <w:t>If skin irritation or rash occurs:  Get medical advice/attention.</w:t>
      </w:r>
    </w:p>
    <w:p w:rsidR="00BF7436" w:rsidRDefault="00BF7436" w:rsidP="00BF7436">
      <w:pPr>
        <w:ind w:left="-720"/>
        <w:jc w:val="both"/>
        <w:rPr>
          <w:rFonts w:ascii="Times New Roman" w:hAnsi="Times New Roman"/>
          <w:color w:val="000000"/>
          <w:szCs w:val="24"/>
        </w:rPr>
      </w:pPr>
    </w:p>
    <w:p w:rsidR="00E37325" w:rsidRDefault="00E37325" w:rsidP="00BF7436">
      <w:pPr>
        <w:ind w:left="-720"/>
        <w:jc w:val="both"/>
        <w:rPr>
          <w:rFonts w:ascii="Times New Roman" w:hAnsi="Times New Roman"/>
          <w:color w:val="000000"/>
          <w:szCs w:val="24"/>
        </w:rPr>
      </w:pPr>
    </w:p>
    <w:p w:rsidR="00E37325" w:rsidRPr="00653DB7" w:rsidRDefault="00E37325" w:rsidP="00E37325">
      <w:pPr>
        <w:numPr>
          <w:ilvl w:val="0"/>
          <w:numId w:val="1"/>
        </w:numPr>
        <w:tabs>
          <w:tab w:val="clear" w:pos="1080"/>
          <w:tab w:val="left" w:pos="-720"/>
          <w:tab w:val="num" w:pos="810"/>
        </w:tabs>
        <w:suppressAutoHyphens/>
        <w:ind w:hanging="1080"/>
        <w:jc w:val="both"/>
        <w:rPr>
          <w:rFonts w:ascii="Arial" w:hAnsi="Arial" w:cs="Arial"/>
          <w:b/>
          <w:sz w:val="28"/>
          <w:szCs w:val="28"/>
        </w:rPr>
      </w:pPr>
      <w:r w:rsidRPr="00653DB7">
        <w:rPr>
          <w:rFonts w:ascii="Arial" w:hAnsi="Arial" w:cs="Arial"/>
          <w:b/>
          <w:sz w:val="28"/>
          <w:szCs w:val="28"/>
        </w:rPr>
        <w:t xml:space="preserve">INSTRUMENTATION/EQUIPMENT </w:t>
      </w:r>
    </w:p>
    <w:p w:rsidR="00E37325" w:rsidRPr="00653DB7" w:rsidRDefault="0028626F" w:rsidP="00E37325">
      <w:pPr>
        <w:tabs>
          <w:tab w:val="left" w:pos="-720"/>
          <w:tab w:val="num" w:pos="810"/>
        </w:tabs>
        <w:suppressAutoHyphens/>
        <w:ind w:left="1080"/>
        <w:jc w:val="both"/>
        <w:rPr>
          <w:rFonts w:ascii="Arial" w:hAnsi="Arial" w:cs="Arial"/>
          <w:szCs w:val="24"/>
        </w:rPr>
      </w:pPr>
      <w:proofErr w:type="spellStart"/>
      <w:proofErr w:type="gramStart"/>
      <w:r w:rsidRPr="00653DB7">
        <w:rPr>
          <w:rFonts w:ascii="Arial" w:hAnsi="Arial" w:cs="Arial"/>
          <w:szCs w:val="24"/>
        </w:rPr>
        <w:t>B</w:t>
      </w:r>
      <w:r w:rsidR="00E37325" w:rsidRPr="00653DB7">
        <w:rPr>
          <w:rFonts w:ascii="Arial" w:hAnsi="Arial" w:cs="Arial"/>
          <w:szCs w:val="24"/>
        </w:rPr>
        <w:t>ioPlex</w:t>
      </w:r>
      <w:proofErr w:type="spellEnd"/>
      <w:r w:rsidR="00E37325" w:rsidRPr="00653DB7">
        <w:rPr>
          <w:rFonts w:ascii="Arial" w:hAnsi="Arial" w:cs="Arial"/>
          <w:szCs w:val="24"/>
        </w:rPr>
        <w:t xml:space="preserve"> 2200, manufactured by Bio-Rad Laboratories.</w:t>
      </w:r>
      <w:proofErr w:type="gramEnd"/>
    </w:p>
    <w:p w:rsidR="00E37325" w:rsidRPr="00653DB7" w:rsidRDefault="00E37325" w:rsidP="00E37325">
      <w:pPr>
        <w:tabs>
          <w:tab w:val="left" w:pos="-720"/>
          <w:tab w:val="num" w:pos="810"/>
        </w:tabs>
        <w:suppressAutoHyphens/>
        <w:ind w:left="1080"/>
        <w:jc w:val="both"/>
        <w:rPr>
          <w:rFonts w:ascii="Arial" w:hAnsi="Arial" w:cs="Arial"/>
          <w:b/>
          <w:szCs w:val="24"/>
        </w:rPr>
      </w:pPr>
    </w:p>
    <w:p w:rsidR="00E37325" w:rsidRPr="00653DB7" w:rsidRDefault="00E37325" w:rsidP="00E37325">
      <w:pPr>
        <w:numPr>
          <w:ilvl w:val="0"/>
          <w:numId w:val="1"/>
        </w:numPr>
        <w:tabs>
          <w:tab w:val="clear" w:pos="1080"/>
          <w:tab w:val="left" w:pos="-720"/>
          <w:tab w:val="num" w:pos="810"/>
        </w:tabs>
        <w:suppressAutoHyphens/>
        <w:ind w:hanging="1080"/>
        <w:jc w:val="both"/>
        <w:rPr>
          <w:rFonts w:ascii="Arial" w:hAnsi="Arial" w:cs="Arial"/>
          <w:b/>
          <w:sz w:val="28"/>
          <w:szCs w:val="28"/>
        </w:rPr>
      </w:pPr>
      <w:r w:rsidRPr="00653DB7">
        <w:rPr>
          <w:rFonts w:ascii="Arial" w:hAnsi="Arial" w:cs="Arial"/>
          <w:b/>
          <w:sz w:val="28"/>
          <w:szCs w:val="28"/>
        </w:rPr>
        <w:t>CALIBRATION</w:t>
      </w:r>
    </w:p>
    <w:p w:rsidR="00E37325" w:rsidRPr="00653DB7" w:rsidRDefault="00E37325" w:rsidP="00E37325">
      <w:pPr>
        <w:pStyle w:val="CLSI-text"/>
        <w:ind w:left="1080"/>
        <w:jc w:val="both"/>
        <w:rPr>
          <w:color w:val="000000"/>
          <w:sz w:val="24"/>
          <w:szCs w:val="24"/>
        </w:rPr>
      </w:pPr>
      <w:proofErr w:type="spellStart"/>
      <w:r w:rsidRPr="00653DB7">
        <w:rPr>
          <w:color w:val="000000"/>
          <w:sz w:val="24"/>
          <w:szCs w:val="24"/>
        </w:rPr>
        <w:t>ToRC</w:t>
      </w:r>
      <w:proofErr w:type="spellEnd"/>
      <w:r w:rsidRPr="00653DB7">
        <w:rPr>
          <w:color w:val="000000"/>
          <w:sz w:val="24"/>
          <w:szCs w:val="24"/>
        </w:rPr>
        <w:t xml:space="preserve"> IgM Calibrator Set should be loaded and assayed at minimum in duplicate every 30 days or with each new Reagent Pack lot. For all assays, a two-point curve is used to calculate qualitative results. Refer to the </w:t>
      </w:r>
      <w:proofErr w:type="spellStart"/>
      <w:r w:rsidRPr="00653DB7">
        <w:rPr>
          <w:color w:val="000000"/>
          <w:sz w:val="24"/>
          <w:szCs w:val="24"/>
        </w:rPr>
        <w:t>BioPlex</w:t>
      </w:r>
      <w:proofErr w:type="spellEnd"/>
      <w:r w:rsidRPr="00653DB7">
        <w:rPr>
          <w:color w:val="000000"/>
          <w:sz w:val="24"/>
          <w:szCs w:val="24"/>
        </w:rPr>
        <w:t xml:space="preserve"> 2200 System Operation Manual for more information. </w:t>
      </w:r>
    </w:p>
    <w:p w:rsidR="00E37325" w:rsidRPr="00653DB7" w:rsidRDefault="00E37325" w:rsidP="00E37325">
      <w:pPr>
        <w:tabs>
          <w:tab w:val="left" w:pos="-720"/>
          <w:tab w:val="num" w:pos="810"/>
        </w:tabs>
        <w:suppressAutoHyphens/>
        <w:ind w:left="1080"/>
        <w:jc w:val="both"/>
        <w:rPr>
          <w:rFonts w:ascii="Arial" w:hAnsi="Arial" w:cs="Arial"/>
          <w:b/>
          <w:szCs w:val="24"/>
        </w:rPr>
      </w:pPr>
    </w:p>
    <w:p w:rsidR="00E37325" w:rsidRPr="00653DB7" w:rsidRDefault="00E37325" w:rsidP="00E37325">
      <w:pPr>
        <w:numPr>
          <w:ilvl w:val="0"/>
          <w:numId w:val="1"/>
        </w:numPr>
        <w:tabs>
          <w:tab w:val="clear" w:pos="1080"/>
          <w:tab w:val="left" w:pos="-720"/>
          <w:tab w:val="num" w:pos="810"/>
        </w:tabs>
        <w:suppressAutoHyphens/>
        <w:ind w:hanging="1080"/>
        <w:jc w:val="both"/>
        <w:rPr>
          <w:rFonts w:ascii="Arial" w:hAnsi="Arial" w:cs="Arial"/>
          <w:b/>
          <w:sz w:val="28"/>
          <w:szCs w:val="28"/>
        </w:rPr>
      </w:pPr>
      <w:r w:rsidRPr="00653DB7">
        <w:rPr>
          <w:rFonts w:ascii="Arial" w:hAnsi="Arial" w:cs="Arial"/>
          <w:b/>
          <w:sz w:val="28"/>
          <w:szCs w:val="28"/>
        </w:rPr>
        <w:lastRenderedPageBreak/>
        <w:t>QUALITY CONTROL</w:t>
      </w:r>
    </w:p>
    <w:p w:rsidR="00E37325" w:rsidRPr="00653DB7" w:rsidRDefault="00E37325" w:rsidP="00E37325">
      <w:pPr>
        <w:pStyle w:val="CLSI-text"/>
        <w:ind w:left="1080"/>
        <w:jc w:val="both"/>
        <w:rPr>
          <w:color w:val="000000"/>
          <w:sz w:val="24"/>
          <w:szCs w:val="24"/>
        </w:rPr>
      </w:pPr>
      <w:r w:rsidRPr="00653DB7">
        <w:rPr>
          <w:color w:val="000000"/>
          <w:sz w:val="24"/>
          <w:szCs w:val="24"/>
        </w:rPr>
        <w:t xml:space="preserve">For each reagent pack and once per day testing is performed, load and process the </w:t>
      </w:r>
      <w:proofErr w:type="spellStart"/>
      <w:r w:rsidRPr="00653DB7">
        <w:rPr>
          <w:color w:val="000000"/>
          <w:sz w:val="24"/>
          <w:szCs w:val="24"/>
        </w:rPr>
        <w:t>BioPlex</w:t>
      </w:r>
      <w:proofErr w:type="spellEnd"/>
      <w:r w:rsidRPr="00653DB7">
        <w:rPr>
          <w:color w:val="000000"/>
          <w:sz w:val="24"/>
          <w:szCs w:val="24"/>
        </w:rPr>
        <w:t xml:space="preserve"> 2200 </w:t>
      </w:r>
      <w:proofErr w:type="spellStart"/>
      <w:r w:rsidRPr="00653DB7">
        <w:rPr>
          <w:color w:val="000000"/>
          <w:sz w:val="24"/>
          <w:szCs w:val="24"/>
        </w:rPr>
        <w:t>ToRC</w:t>
      </w:r>
      <w:proofErr w:type="spellEnd"/>
      <w:r w:rsidRPr="00653DB7">
        <w:rPr>
          <w:color w:val="000000"/>
          <w:sz w:val="24"/>
          <w:szCs w:val="24"/>
        </w:rPr>
        <w:t xml:space="preserve"> IgM Control Set as indicated in the </w:t>
      </w:r>
      <w:proofErr w:type="spellStart"/>
      <w:r w:rsidRPr="00653DB7">
        <w:rPr>
          <w:color w:val="000000"/>
          <w:sz w:val="24"/>
          <w:szCs w:val="24"/>
        </w:rPr>
        <w:t>BioPlex</w:t>
      </w:r>
      <w:proofErr w:type="spellEnd"/>
      <w:r w:rsidRPr="00653DB7">
        <w:rPr>
          <w:color w:val="000000"/>
          <w:sz w:val="24"/>
          <w:szCs w:val="24"/>
        </w:rPr>
        <w:t xml:space="preserve"> 2200 System Operation Manual. </w:t>
      </w:r>
    </w:p>
    <w:p w:rsidR="00E37325" w:rsidRPr="00653DB7" w:rsidRDefault="00E37325" w:rsidP="00E37325">
      <w:pPr>
        <w:pStyle w:val="CLSI-text"/>
        <w:ind w:left="1080"/>
        <w:jc w:val="both"/>
        <w:rPr>
          <w:color w:val="000000"/>
          <w:sz w:val="24"/>
          <w:szCs w:val="24"/>
        </w:rPr>
      </w:pPr>
      <w:r w:rsidRPr="00653DB7">
        <w:rPr>
          <w:color w:val="000000"/>
          <w:sz w:val="24"/>
          <w:szCs w:val="24"/>
        </w:rPr>
        <w:t xml:space="preserve">The </w:t>
      </w:r>
      <w:proofErr w:type="spellStart"/>
      <w:r w:rsidRPr="00653DB7">
        <w:rPr>
          <w:color w:val="000000"/>
          <w:sz w:val="24"/>
          <w:szCs w:val="24"/>
        </w:rPr>
        <w:t>ToRC</w:t>
      </w:r>
      <w:proofErr w:type="spellEnd"/>
      <w:r w:rsidRPr="00653DB7">
        <w:rPr>
          <w:color w:val="000000"/>
          <w:sz w:val="24"/>
          <w:szCs w:val="24"/>
        </w:rPr>
        <w:t xml:space="preserve"> IgM Control Set includes a negative control as well as multi analyte</w:t>
      </w:r>
      <w:r w:rsidR="00357C2B" w:rsidRPr="00653DB7">
        <w:rPr>
          <w:color w:val="000000"/>
          <w:sz w:val="24"/>
          <w:szCs w:val="24"/>
        </w:rPr>
        <w:t xml:space="preserve"> positive control </w:t>
      </w:r>
      <w:r w:rsidRPr="00653DB7">
        <w:rPr>
          <w:color w:val="000000"/>
          <w:sz w:val="24"/>
          <w:szCs w:val="24"/>
        </w:rPr>
        <w:t xml:space="preserve">in a human serum matrix made from </w:t>
      </w:r>
      <w:proofErr w:type="spellStart"/>
      <w:r w:rsidRPr="00653DB7">
        <w:rPr>
          <w:color w:val="000000"/>
          <w:sz w:val="24"/>
          <w:szCs w:val="24"/>
        </w:rPr>
        <w:t>defibrinated</w:t>
      </w:r>
      <w:proofErr w:type="spellEnd"/>
      <w:r w:rsidRPr="00653DB7">
        <w:rPr>
          <w:color w:val="000000"/>
          <w:sz w:val="24"/>
          <w:szCs w:val="24"/>
        </w:rPr>
        <w:t xml:space="preserve"> plasma, containing antibodies to </w:t>
      </w:r>
      <w:proofErr w:type="spellStart"/>
      <w:r w:rsidR="00357C2B" w:rsidRPr="00653DB7">
        <w:rPr>
          <w:color w:val="000000"/>
          <w:sz w:val="24"/>
          <w:szCs w:val="24"/>
        </w:rPr>
        <w:t>ToRC</w:t>
      </w:r>
      <w:proofErr w:type="spellEnd"/>
      <w:r w:rsidR="00357C2B" w:rsidRPr="00653DB7">
        <w:rPr>
          <w:color w:val="000000"/>
          <w:sz w:val="24"/>
          <w:szCs w:val="24"/>
        </w:rPr>
        <w:t xml:space="preserve"> </w:t>
      </w:r>
      <w:r w:rsidRPr="00653DB7">
        <w:rPr>
          <w:color w:val="000000"/>
          <w:sz w:val="24"/>
          <w:szCs w:val="24"/>
        </w:rPr>
        <w:t xml:space="preserve">antigens within the </w:t>
      </w:r>
      <w:proofErr w:type="spellStart"/>
      <w:r w:rsidRPr="00653DB7">
        <w:rPr>
          <w:color w:val="000000"/>
          <w:sz w:val="24"/>
          <w:szCs w:val="24"/>
        </w:rPr>
        <w:t>BioPlex</w:t>
      </w:r>
      <w:proofErr w:type="spellEnd"/>
      <w:r w:rsidRPr="00653DB7">
        <w:rPr>
          <w:color w:val="000000"/>
          <w:sz w:val="24"/>
          <w:szCs w:val="24"/>
        </w:rPr>
        <w:t xml:space="preserve"> 2200 </w:t>
      </w:r>
      <w:proofErr w:type="spellStart"/>
      <w:r w:rsidR="00357C2B" w:rsidRPr="00653DB7">
        <w:rPr>
          <w:color w:val="000000"/>
          <w:sz w:val="24"/>
          <w:szCs w:val="24"/>
        </w:rPr>
        <w:t>ToRC</w:t>
      </w:r>
      <w:proofErr w:type="spellEnd"/>
      <w:r w:rsidRPr="00653DB7">
        <w:rPr>
          <w:color w:val="000000"/>
          <w:sz w:val="24"/>
          <w:szCs w:val="24"/>
        </w:rPr>
        <w:t xml:space="preserve"> IgM kit. The positive controls are manufactured to give positive results, with values above the cut-off for each specific bead. The negative control is manufactured to give negative results, with</w:t>
      </w:r>
      <w:r w:rsidR="00357C2B" w:rsidRPr="00653DB7">
        <w:rPr>
          <w:color w:val="000000"/>
          <w:sz w:val="24"/>
          <w:szCs w:val="24"/>
        </w:rPr>
        <w:t xml:space="preserve"> </w:t>
      </w:r>
      <w:r w:rsidRPr="00653DB7">
        <w:rPr>
          <w:color w:val="000000"/>
          <w:sz w:val="24"/>
          <w:szCs w:val="24"/>
        </w:rPr>
        <w:t>values</w:t>
      </w:r>
      <w:r w:rsidR="00357C2B" w:rsidRPr="00653DB7">
        <w:rPr>
          <w:color w:val="000000"/>
          <w:sz w:val="24"/>
          <w:szCs w:val="24"/>
        </w:rPr>
        <w:t xml:space="preserve"> </w:t>
      </w:r>
      <w:r w:rsidRPr="00653DB7">
        <w:rPr>
          <w:color w:val="000000"/>
          <w:sz w:val="24"/>
          <w:szCs w:val="24"/>
        </w:rPr>
        <w:t>below</w:t>
      </w:r>
      <w:r w:rsidR="00357C2B" w:rsidRPr="00653DB7">
        <w:rPr>
          <w:color w:val="000000"/>
          <w:sz w:val="24"/>
          <w:szCs w:val="24"/>
        </w:rPr>
        <w:t xml:space="preserve"> </w:t>
      </w:r>
      <w:r w:rsidRPr="00653DB7">
        <w:rPr>
          <w:color w:val="000000"/>
          <w:sz w:val="24"/>
          <w:szCs w:val="24"/>
        </w:rPr>
        <w:t>the</w:t>
      </w:r>
      <w:r w:rsidR="00357C2B" w:rsidRPr="00653DB7">
        <w:rPr>
          <w:color w:val="000000"/>
          <w:sz w:val="24"/>
          <w:szCs w:val="24"/>
        </w:rPr>
        <w:t xml:space="preserve"> </w:t>
      </w:r>
      <w:r w:rsidRPr="00653DB7">
        <w:rPr>
          <w:color w:val="000000"/>
          <w:sz w:val="24"/>
          <w:szCs w:val="24"/>
        </w:rPr>
        <w:t xml:space="preserve">cut-off for each specific bead. The negative control must have a negative result, and the positive control must have a positive result. </w:t>
      </w:r>
    </w:p>
    <w:p w:rsidR="00E37325" w:rsidRPr="00B04242" w:rsidRDefault="00E37325" w:rsidP="00E37325">
      <w:pPr>
        <w:pStyle w:val="CLSI-text"/>
        <w:ind w:left="1080"/>
        <w:jc w:val="both"/>
        <w:rPr>
          <w:rFonts w:ascii="Times New Roman" w:hAnsi="Times New Roman" w:cs="Times New Roman"/>
          <w:color w:val="000000"/>
          <w:sz w:val="24"/>
          <w:szCs w:val="24"/>
        </w:rPr>
      </w:pPr>
      <w:r w:rsidRPr="00653DB7">
        <w:rPr>
          <w:b/>
          <w:color w:val="000000"/>
          <w:sz w:val="24"/>
          <w:szCs w:val="24"/>
        </w:rPr>
        <w:t>Note</w:t>
      </w:r>
      <w:r w:rsidRPr="00653DB7">
        <w:rPr>
          <w:color w:val="000000"/>
          <w:sz w:val="24"/>
          <w:szCs w:val="24"/>
        </w:rPr>
        <w:t xml:space="preserve">: The Negative and Positive Controls of the </w:t>
      </w:r>
      <w:proofErr w:type="spellStart"/>
      <w:r w:rsidR="00357C2B" w:rsidRPr="00653DB7">
        <w:rPr>
          <w:color w:val="000000"/>
          <w:sz w:val="24"/>
          <w:szCs w:val="24"/>
        </w:rPr>
        <w:t>ToRC</w:t>
      </w:r>
      <w:proofErr w:type="spellEnd"/>
      <w:r w:rsidRPr="00653DB7">
        <w:rPr>
          <w:color w:val="000000"/>
          <w:sz w:val="24"/>
          <w:szCs w:val="24"/>
        </w:rPr>
        <w:t xml:space="preserve"> IgM Control Set are intended to monitor for substantial reagent failure. The Positive Control will not ensure precision at</w:t>
      </w:r>
      <w:r w:rsidRPr="00B04242">
        <w:rPr>
          <w:rFonts w:ascii="Times New Roman" w:hAnsi="Times New Roman" w:cs="Times New Roman"/>
          <w:color w:val="000000"/>
          <w:sz w:val="24"/>
          <w:szCs w:val="24"/>
        </w:rPr>
        <w:t xml:space="preserve"> the assay cutoff. </w:t>
      </w:r>
    </w:p>
    <w:p w:rsidR="00E37325" w:rsidRPr="00653DB7" w:rsidRDefault="00E37325" w:rsidP="00E37325">
      <w:pPr>
        <w:pStyle w:val="CLSI-text"/>
        <w:ind w:left="1080"/>
        <w:jc w:val="both"/>
        <w:rPr>
          <w:color w:val="000000"/>
          <w:sz w:val="24"/>
          <w:szCs w:val="24"/>
        </w:rPr>
      </w:pPr>
      <w:r w:rsidRPr="00653DB7">
        <w:rPr>
          <w:color w:val="000000"/>
          <w:sz w:val="24"/>
          <w:szCs w:val="24"/>
        </w:rPr>
        <w:t xml:space="preserve">Lot specific values for the positive controls are loaded into the </w:t>
      </w:r>
      <w:proofErr w:type="spellStart"/>
      <w:r w:rsidRPr="00653DB7">
        <w:rPr>
          <w:color w:val="000000"/>
          <w:sz w:val="24"/>
          <w:szCs w:val="24"/>
        </w:rPr>
        <w:t>BioPlex</w:t>
      </w:r>
      <w:proofErr w:type="spellEnd"/>
      <w:r w:rsidRPr="00653DB7">
        <w:rPr>
          <w:color w:val="000000"/>
          <w:sz w:val="24"/>
          <w:szCs w:val="24"/>
        </w:rPr>
        <w:t xml:space="preserve"> 2200 System database via the provided media or by manual input. After identifying the control via the barcoded vial, the </w:t>
      </w:r>
      <w:proofErr w:type="spellStart"/>
      <w:r w:rsidRPr="00653DB7">
        <w:rPr>
          <w:color w:val="000000"/>
          <w:sz w:val="24"/>
          <w:szCs w:val="24"/>
        </w:rPr>
        <w:t>BioPlex</w:t>
      </w:r>
      <w:proofErr w:type="spellEnd"/>
      <w:r w:rsidRPr="00653DB7">
        <w:rPr>
          <w:color w:val="000000"/>
          <w:sz w:val="24"/>
          <w:szCs w:val="24"/>
        </w:rPr>
        <w:t xml:space="preserve"> 2200 System compares the control results to the expected lot specific control values stored in the </w:t>
      </w:r>
      <w:proofErr w:type="spellStart"/>
      <w:r w:rsidRPr="00653DB7">
        <w:rPr>
          <w:color w:val="000000"/>
          <w:sz w:val="24"/>
          <w:szCs w:val="24"/>
        </w:rPr>
        <w:t>BioPlex</w:t>
      </w:r>
      <w:proofErr w:type="spellEnd"/>
      <w:r w:rsidRPr="00653DB7">
        <w:rPr>
          <w:color w:val="000000"/>
          <w:sz w:val="24"/>
          <w:szCs w:val="24"/>
        </w:rPr>
        <w:t xml:space="preserve"> 2200 System database. </w:t>
      </w:r>
    </w:p>
    <w:p w:rsidR="00DD6FF1" w:rsidRPr="00653DB7" w:rsidRDefault="00DD6FF1" w:rsidP="00DD6FF1">
      <w:pPr>
        <w:pStyle w:val="CLSI-text"/>
        <w:widowControl/>
        <w:ind w:left="1080"/>
        <w:jc w:val="both"/>
        <w:rPr>
          <w:color w:val="000000"/>
          <w:sz w:val="24"/>
          <w:szCs w:val="24"/>
        </w:rPr>
      </w:pPr>
      <w:r w:rsidRPr="00653DB7">
        <w:rPr>
          <w:color w:val="000000"/>
          <w:sz w:val="24"/>
          <w:szCs w:val="24"/>
        </w:rPr>
        <w:t>Failure to obtain the appropriate values for controls will invalidate the assay and indicates procedural error, improper sample handling or deterioration of reagents. Additional controls may be tested in accordance with local, state and/or federal regulations or accreditation requirements and your laboratory’s quality control policy.</w:t>
      </w:r>
    </w:p>
    <w:p w:rsidR="00DD6FF1" w:rsidRPr="00653DB7" w:rsidRDefault="00DD6FF1" w:rsidP="00E37325">
      <w:pPr>
        <w:pStyle w:val="CLSI-text"/>
        <w:ind w:left="1080"/>
        <w:jc w:val="both"/>
        <w:rPr>
          <w:color w:val="000000"/>
          <w:sz w:val="24"/>
          <w:szCs w:val="24"/>
        </w:rPr>
      </w:pPr>
    </w:p>
    <w:p w:rsidR="00DD6FF1" w:rsidRPr="00653DB7" w:rsidRDefault="00DD6FF1" w:rsidP="00DD6FF1">
      <w:pPr>
        <w:pStyle w:val="TextwithPPSpace"/>
        <w:ind w:left="1080"/>
        <w:jc w:val="both"/>
        <w:rPr>
          <w:rFonts w:ascii="Arial" w:hAnsi="Arial" w:cs="Arial"/>
          <w:sz w:val="24"/>
          <w:szCs w:val="24"/>
        </w:rPr>
      </w:pPr>
      <w:r w:rsidRPr="00653DB7">
        <w:rPr>
          <w:rStyle w:val="Bold"/>
          <w:rFonts w:ascii="Arial" w:hAnsi="Arial" w:cs="Arial"/>
          <w:sz w:val="24"/>
          <w:szCs w:val="24"/>
        </w:rPr>
        <w:t>IMPORTANT QC TROUBLESHOOTING:</w:t>
      </w:r>
      <w:r w:rsidRPr="00653DB7">
        <w:rPr>
          <w:rFonts w:ascii="Arial" w:hAnsi="Arial" w:cs="Arial"/>
          <w:sz w:val="24"/>
          <w:szCs w:val="24"/>
        </w:rPr>
        <w:t xml:space="preserve"> At low frequency, reagent packs may exhibit falsely low signals for any one of the two analytes and generate QC errors. The following troubleshooting steps should be followed when observing the noted QC behavior:</w:t>
      </w:r>
    </w:p>
    <w:p w:rsidR="00DD6FF1" w:rsidRPr="00653DB7" w:rsidRDefault="00DD6FF1" w:rsidP="00DD6FF1">
      <w:pPr>
        <w:pStyle w:val="NumberedQC"/>
        <w:ind w:left="1080" w:firstLine="0"/>
        <w:rPr>
          <w:rFonts w:ascii="Arial" w:hAnsi="Arial" w:cs="Arial"/>
          <w:b/>
          <w:bCs/>
          <w:sz w:val="24"/>
          <w:szCs w:val="24"/>
        </w:rPr>
      </w:pPr>
      <w:r w:rsidRPr="00653DB7">
        <w:rPr>
          <w:rStyle w:val="Bold"/>
          <w:rFonts w:ascii="Arial" w:hAnsi="Arial" w:cs="Arial"/>
          <w:sz w:val="24"/>
          <w:szCs w:val="24"/>
        </w:rPr>
        <w:t>1.</w:t>
      </w:r>
      <w:r w:rsidRPr="00653DB7">
        <w:rPr>
          <w:rStyle w:val="Bold"/>
          <w:rFonts w:ascii="Arial" w:hAnsi="Arial" w:cs="Arial"/>
          <w:sz w:val="24"/>
          <w:szCs w:val="24"/>
        </w:rPr>
        <w:tab/>
        <w:t>QC Warning - LOW for only some analytes:</w:t>
      </w:r>
      <w:r w:rsidRPr="00653DB7">
        <w:rPr>
          <w:rFonts w:ascii="Arial" w:hAnsi="Arial" w:cs="Arial"/>
          <w:sz w:val="24"/>
          <w:szCs w:val="24"/>
        </w:rPr>
        <w:t xml:space="preserve"> </w:t>
      </w:r>
    </w:p>
    <w:p w:rsidR="00DD6FF1" w:rsidRPr="00653DB7" w:rsidRDefault="00DD6FF1" w:rsidP="00DD6FF1">
      <w:pPr>
        <w:pStyle w:val="NumberedQC"/>
        <w:spacing w:after="115" w:line="240" w:lineRule="auto"/>
        <w:ind w:left="1080" w:firstLine="0"/>
        <w:jc w:val="both"/>
        <w:rPr>
          <w:rFonts w:ascii="Arial" w:hAnsi="Arial" w:cs="Arial"/>
          <w:spacing w:val="-2"/>
          <w:sz w:val="24"/>
          <w:szCs w:val="24"/>
        </w:rPr>
      </w:pPr>
      <w:r w:rsidRPr="00653DB7">
        <w:rPr>
          <w:rFonts w:ascii="Arial" w:hAnsi="Arial" w:cs="Arial"/>
          <w:spacing w:val="-2"/>
          <w:sz w:val="24"/>
          <w:szCs w:val="24"/>
        </w:rPr>
        <w:t xml:space="preserve">Repeat QC testing. If the QC Warning repeats, remove the pack with the flagged QC results and </w:t>
      </w:r>
      <w:r w:rsidRPr="00653DB7">
        <w:rPr>
          <w:rStyle w:val="A13"/>
          <w:rFonts w:ascii="Arial" w:hAnsi="Arial" w:cs="Arial"/>
          <w:spacing w:val="-2"/>
          <w:sz w:val="24"/>
          <w:szCs w:val="24"/>
        </w:rPr>
        <w:t>do not use</w:t>
      </w:r>
      <w:r w:rsidRPr="00653DB7">
        <w:rPr>
          <w:rFonts w:ascii="Arial" w:hAnsi="Arial" w:cs="Arial"/>
          <w:spacing w:val="-2"/>
          <w:sz w:val="24"/>
          <w:szCs w:val="24"/>
        </w:rPr>
        <w:t xml:space="preserve">. Please call Bio-Rad Technical Support to report the suspected low signal pack. Run QC with a new reagent pack. If QC results are within the acceptable range on the new reagent pack, </w:t>
      </w:r>
      <w:r w:rsidRPr="00653DB7">
        <w:rPr>
          <w:rStyle w:val="A13"/>
          <w:rFonts w:ascii="Arial" w:hAnsi="Arial" w:cs="Arial"/>
          <w:spacing w:val="-2"/>
          <w:sz w:val="24"/>
          <w:szCs w:val="24"/>
        </w:rPr>
        <w:t xml:space="preserve">discard the affected reagent pack </w:t>
      </w:r>
      <w:r w:rsidRPr="00653DB7">
        <w:rPr>
          <w:rFonts w:ascii="Arial" w:hAnsi="Arial" w:cs="Arial"/>
          <w:spacing w:val="-2"/>
          <w:sz w:val="24"/>
          <w:szCs w:val="24"/>
        </w:rPr>
        <w:t xml:space="preserve">with the QC Warning - Low results and </w:t>
      </w:r>
      <w:r w:rsidRPr="00653DB7">
        <w:rPr>
          <w:rStyle w:val="A13"/>
          <w:rFonts w:ascii="Arial" w:hAnsi="Arial" w:cs="Arial"/>
          <w:spacing w:val="-2"/>
          <w:sz w:val="24"/>
          <w:szCs w:val="24"/>
        </w:rPr>
        <w:t xml:space="preserve">do not report patient test results </w:t>
      </w:r>
      <w:r w:rsidRPr="00653DB7">
        <w:rPr>
          <w:rFonts w:ascii="Arial" w:hAnsi="Arial" w:cs="Arial"/>
          <w:spacing w:val="-2"/>
          <w:sz w:val="24"/>
          <w:szCs w:val="24"/>
        </w:rPr>
        <w:t xml:space="preserve">from that reagent pack. If the QC Warning repeats on the new reagent pack, please call Bio-Rad Technical Support for assistance with troubleshooting. Re-test any samples that were tested using the affected reagent pack. If multiple packs for a particularBioPlex2200assayare on-board the instrument, the reagent pack (kit) serial number associated with the QC Warning - low results can be determined by viewing the Control Result dialog </w:t>
      </w:r>
      <w:r w:rsidRPr="00653DB7">
        <w:rPr>
          <w:rFonts w:ascii="Arial" w:hAnsi="Arial" w:cs="Arial"/>
          <w:spacing w:val="-2"/>
          <w:sz w:val="24"/>
          <w:szCs w:val="24"/>
        </w:rPr>
        <w:lastRenderedPageBreak/>
        <w:t xml:space="preserve">for the corresponding QC Event. </w:t>
      </w:r>
    </w:p>
    <w:p w:rsidR="00DD6FF1" w:rsidRPr="00653DB7" w:rsidRDefault="00DD6FF1" w:rsidP="00DD6FF1">
      <w:pPr>
        <w:pStyle w:val="NumberedQC"/>
        <w:ind w:left="1080" w:firstLine="0"/>
        <w:jc w:val="both"/>
        <w:rPr>
          <w:rFonts w:ascii="Arial" w:hAnsi="Arial" w:cs="Arial"/>
          <w:spacing w:val="-2"/>
          <w:sz w:val="24"/>
          <w:szCs w:val="24"/>
        </w:rPr>
      </w:pPr>
      <w:r w:rsidRPr="00653DB7">
        <w:rPr>
          <w:rStyle w:val="Bold"/>
          <w:rFonts w:ascii="Arial" w:hAnsi="Arial" w:cs="Arial"/>
          <w:spacing w:val="-2"/>
          <w:sz w:val="24"/>
          <w:szCs w:val="24"/>
        </w:rPr>
        <w:t>2.</w:t>
      </w:r>
      <w:r w:rsidRPr="00653DB7">
        <w:rPr>
          <w:rStyle w:val="Bold"/>
          <w:rFonts w:ascii="Arial" w:hAnsi="Arial" w:cs="Arial"/>
          <w:spacing w:val="-2"/>
          <w:sz w:val="24"/>
          <w:szCs w:val="24"/>
        </w:rPr>
        <w:tab/>
        <w:t xml:space="preserve">QC Warning - HIGH for only some analytes: </w:t>
      </w:r>
    </w:p>
    <w:p w:rsidR="00DD6FF1" w:rsidRPr="00653DB7" w:rsidRDefault="00DD6FF1" w:rsidP="00DD6FF1">
      <w:pPr>
        <w:pStyle w:val="NumberedQC"/>
        <w:spacing w:after="115" w:line="240" w:lineRule="auto"/>
        <w:ind w:left="1080" w:firstLine="0"/>
        <w:jc w:val="both"/>
        <w:rPr>
          <w:rFonts w:ascii="Arial" w:hAnsi="Arial" w:cs="Arial"/>
          <w:spacing w:val="-2"/>
          <w:sz w:val="24"/>
          <w:szCs w:val="24"/>
        </w:rPr>
      </w:pPr>
      <w:r w:rsidRPr="00653DB7">
        <w:rPr>
          <w:rFonts w:ascii="Arial" w:hAnsi="Arial" w:cs="Arial"/>
          <w:spacing w:val="-2"/>
          <w:sz w:val="24"/>
          <w:szCs w:val="24"/>
        </w:rPr>
        <w:t>Re-calibrate the reagent pack with the QC Warning - high and re-run QC. Verify that QC results are within the acceptable range for all analytes before reporting out-patient results. Any samples tested using the pack with the QC Warning - high must be re-tested. Patient samples run on the affected pack are valid due to the fact that a calibration occurred with that pack.</w:t>
      </w:r>
    </w:p>
    <w:p w:rsidR="00DD6FF1" w:rsidRPr="00653DB7" w:rsidRDefault="00DD6FF1" w:rsidP="00DD6FF1">
      <w:pPr>
        <w:pStyle w:val="TextwithPPSpace"/>
        <w:ind w:left="1080"/>
        <w:jc w:val="both"/>
        <w:rPr>
          <w:rFonts w:ascii="Arial" w:hAnsi="Arial" w:cs="Arial"/>
          <w:sz w:val="24"/>
          <w:szCs w:val="24"/>
        </w:rPr>
      </w:pPr>
      <w:r w:rsidRPr="00653DB7">
        <w:rPr>
          <w:rFonts w:ascii="Arial" w:hAnsi="Arial" w:cs="Arial"/>
          <w:sz w:val="24"/>
          <w:szCs w:val="24"/>
        </w:rPr>
        <w:t>If a control result is out of its specified range, any test results generated since the last acceptable control results must be evaluated to determine if test results may have been adversely affected. Adversely affected results are invalid, and these samples must be re-tested.</w:t>
      </w:r>
    </w:p>
    <w:p w:rsidR="00DD6FF1" w:rsidRPr="00653DB7" w:rsidRDefault="00DD6FF1" w:rsidP="00DD6FF1">
      <w:pPr>
        <w:tabs>
          <w:tab w:val="left" w:pos="-720"/>
          <w:tab w:val="num" w:pos="810"/>
        </w:tabs>
        <w:suppressAutoHyphens/>
        <w:ind w:left="1080"/>
        <w:jc w:val="both"/>
        <w:rPr>
          <w:rFonts w:ascii="Arial" w:hAnsi="Arial" w:cs="Arial"/>
          <w:b/>
          <w:szCs w:val="24"/>
        </w:rPr>
      </w:pPr>
    </w:p>
    <w:p w:rsidR="00DD6FF1" w:rsidRPr="00653DB7" w:rsidRDefault="00DD6FF1" w:rsidP="00DD6FF1">
      <w:pPr>
        <w:numPr>
          <w:ilvl w:val="0"/>
          <w:numId w:val="1"/>
        </w:numPr>
        <w:tabs>
          <w:tab w:val="clear" w:pos="1080"/>
          <w:tab w:val="left" w:pos="-720"/>
          <w:tab w:val="num" w:pos="810"/>
        </w:tabs>
        <w:suppressAutoHyphens/>
        <w:ind w:hanging="1080"/>
        <w:jc w:val="both"/>
        <w:rPr>
          <w:rFonts w:ascii="Arial" w:hAnsi="Arial" w:cs="Arial"/>
          <w:b/>
          <w:sz w:val="28"/>
          <w:szCs w:val="28"/>
        </w:rPr>
      </w:pPr>
      <w:r w:rsidRPr="00653DB7">
        <w:rPr>
          <w:rFonts w:ascii="Arial" w:hAnsi="Arial" w:cs="Arial"/>
          <w:b/>
          <w:sz w:val="28"/>
          <w:szCs w:val="28"/>
        </w:rPr>
        <w:t>PROCEDURE</w:t>
      </w:r>
    </w:p>
    <w:p w:rsidR="00DD6FF1" w:rsidRPr="00653DB7" w:rsidRDefault="00DD6FF1" w:rsidP="00132A26">
      <w:pPr>
        <w:tabs>
          <w:tab w:val="left" w:pos="-720"/>
          <w:tab w:val="num" w:pos="810"/>
        </w:tabs>
        <w:suppressAutoHyphens/>
        <w:ind w:firstLine="810"/>
        <w:jc w:val="both"/>
        <w:rPr>
          <w:rFonts w:ascii="Arial" w:hAnsi="Arial" w:cs="Arial"/>
          <w:szCs w:val="24"/>
        </w:rPr>
      </w:pPr>
      <w:r w:rsidRPr="00653DB7">
        <w:rPr>
          <w:rFonts w:ascii="Arial" w:hAnsi="Arial" w:cs="Arial"/>
          <w:szCs w:val="24"/>
        </w:rPr>
        <w:t>Steps for the routine operation of the instrument include the following:</w:t>
      </w:r>
    </w:p>
    <w:p w:rsidR="00DD6FF1" w:rsidRPr="00653DB7" w:rsidRDefault="00DD6FF1" w:rsidP="00DD6FF1">
      <w:pPr>
        <w:pStyle w:val="ListParagraph"/>
        <w:numPr>
          <w:ilvl w:val="0"/>
          <w:numId w:val="8"/>
        </w:numPr>
        <w:tabs>
          <w:tab w:val="left" w:pos="-720"/>
          <w:tab w:val="num" w:pos="810"/>
        </w:tabs>
        <w:suppressAutoHyphens/>
        <w:jc w:val="both"/>
        <w:rPr>
          <w:rFonts w:ascii="Arial" w:hAnsi="Arial" w:cs="Arial"/>
          <w:szCs w:val="24"/>
        </w:rPr>
      </w:pPr>
      <w:r w:rsidRPr="00653DB7">
        <w:rPr>
          <w:rFonts w:ascii="Arial" w:hAnsi="Arial" w:cs="Arial"/>
          <w:szCs w:val="24"/>
        </w:rPr>
        <w:t>Maintenance</w:t>
      </w:r>
    </w:p>
    <w:p w:rsidR="00DD6FF1" w:rsidRPr="00653DB7" w:rsidRDefault="00DD6FF1" w:rsidP="00DD6FF1">
      <w:pPr>
        <w:pStyle w:val="ListParagraph"/>
        <w:numPr>
          <w:ilvl w:val="0"/>
          <w:numId w:val="8"/>
        </w:numPr>
        <w:tabs>
          <w:tab w:val="left" w:pos="-720"/>
          <w:tab w:val="num" w:pos="810"/>
        </w:tabs>
        <w:suppressAutoHyphens/>
        <w:jc w:val="both"/>
        <w:rPr>
          <w:rFonts w:ascii="Arial" w:hAnsi="Arial" w:cs="Arial"/>
          <w:szCs w:val="24"/>
        </w:rPr>
      </w:pPr>
      <w:r w:rsidRPr="00653DB7">
        <w:rPr>
          <w:rFonts w:ascii="Arial" w:hAnsi="Arial" w:cs="Arial"/>
          <w:szCs w:val="24"/>
        </w:rPr>
        <w:t>Assay calibration</w:t>
      </w:r>
    </w:p>
    <w:p w:rsidR="00DD6FF1" w:rsidRPr="00653DB7" w:rsidRDefault="00DD6FF1" w:rsidP="00DD6FF1">
      <w:pPr>
        <w:pStyle w:val="ListParagraph"/>
        <w:numPr>
          <w:ilvl w:val="0"/>
          <w:numId w:val="8"/>
        </w:numPr>
        <w:tabs>
          <w:tab w:val="left" w:pos="-720"/>
          <w:tab w:val="num" w:pos="810"/>
        </w:tabs>
        <w:suppressAutoHyphens/>
        <w:jc w:val="both"/>
        <w:rPr>
          <w:rFonts w:ascii="Arial" w:hAnsi="Arial" w:cs="Arial"/>
          <w:szCs w:val="24"/>
        </w:rPr>
      </w:pPr>
      <w:r w:rsidRPr="00653DB7">
        <w:rPr>
          <w:rFonts w:ascii="Arial" w:hAnsi="Arial" w:cs="Arial"/>
          <w:szCs w:val="24"/>
        </w:rPr>
        <w:t>Assay quality control</w:t>
      </w:r>
    </w:p>
    <w:p w:rsidR="00DD6FF1" w:rsidRPr="00653DB7" w:rsidRDefault="00DD6FF1" w:rsidP="00DD6FF1">
      <w:pPr>
        <w:pStyle w:val="ListParagraph"/>
        <w:numPr>
          <w:ilvl w:val="0"/>
          <w:numId w:val="8"/>
        </w:numPr>
        <w:tabs>
          <w:tab w:val="left" w:pos="-720"/>
          <w:tab w:val="num" w:pos="810"/>
        </w:tabs>
        <w:suppressAutoHyphens/>
        <w:jc w:val="both"/>
        <w:rPr>
          <w:rFonts w:ascii="Arial" w:hAnsi="Arial" w:cs="Arial"/>
          <w:szCs w:val="24"/>
        </w:rPr>
      </w:pPr>
      <w:r w:rsidRPr="00653DB7">
        <w:rPr>
          <w:rFonts w:ascii="Arial" w:hAnsi="Arial" w:cs="Arial"/>
          <w:szCs w:val="24"/>
        </w:rPr>
        <w:t>Sample loading</w:t>
      </w:r>
    </w:p>
    <w:p w:rsidR="00DD6FF1" w:rsidRPr="00653DB7" w:rsidRDefault="00DD6FF1" w:rsidP="00DD6FF1">
      <w:pPr>
        <w:pStyle w:val="ListParagraph"/>
        <w:numPr>
          <w:ilvl w:val="0"/>
          <w:numId w:val="8"/>
        </w:numPr>
        <w:tabs>
          <w:tab w:val="left" w:pos="-720"/>
          <w:tab w:val="num" w:pos="810"/>
        </w:tabs>
        <w:suppressAutoHyphens/>
        <w:jc w:val="both"/>
        <w:rPr>
          <w:rFonts w:ascii="Arial" w:hAnsi="Arial" w:cs="Arial"/>
          <w:szCs w:val="24"/>
        </w:rPr>
      </w:pPr>
      <w:r w:rsidRPr="00653DB7">
        <w:rPr>
          <w:rFonts w:ascii="Arial" w:hAnsi="Arial" w:cs="Arial"/>
          <w:szCs w:val="24"/>
        </w:rPr>
        <w:t>Sample removal</w:t>
      </w:r>
    </w:p>
    <w:p w:rsidR="00DD6FF1" w:rsidRPr="00653DB7" w:rsidRDefault="00DD6FF1" w:rsidP="00DD6FF1">
      <w:pPr>
        <w:pStyle w:val="ListParagraph"/>
        <w:numPr>
          <w:ilvl w:val="0"/>
          <w:numId w:val="8"/>
        </w:numPr>
        <w:tabs>
          <w:tab w:val="left" w:pos="-720"/>
          <w:tab w:val="num" w:pos="810"/>
        </w:tabs>
        <w:suppressAutoHyphens/>
        <w:jc w:val="both"/>
        <w:rPr>
          <w:rFonts w:ascii="Arial" w:hAnsi="Arial" w:cs="Arial"/>
          <w:szCs w:val="24"/>
        </w:rPr>
      </w:pPr>
      <w:r w:rsidRPr="00653DB7">
        <w:rPr>
          <w:rFonts w:ascii="Arial" w:hAnsi="Arial" w:cs="Arial"/>
          <w:szCs w:val="24"/>
        </w:rPr>
        <w:t>Result review</w:t>
      </w:r>
    </w:p>
    <w:p w:rsidR="00DD6FF1" w:rsidRPr="00653DB7" w:rsidRDefault="00DD6FF1" w:rsidP="00DD6FF1">
      <w:pPr>
        <w:pStyle w:val="ListParagraph"/>
        <w:numPr>
          <w:ilvl w:val="0"/>
          <w:numId w:val="8"/>
        </w:numPr>
        <w:tabs>
          <w:tab w:val="left" w:pos="-720"/>
          <w:tab w:val="num" w:pos="810"/>
        </w:tabs>
        <w:suppressAutoHyphens/>
        <w:jc w:val="both"/>
        <w:rPr>
          <w:rFonts w:ascii="Arial" w:hAnsi="Arial" w:cs="Arial"/>
          <w:szCs w:val="24"/>
        </w:rPr>
      </w:pPr>
      <w:r w:rsidRPr="00653DB7">
        <w:rPr>
          <w:rFonts w:ascii="Arial" w:hAnsi="Arial" w:cs="Arial"/>
          <w:szCs w:val="24"/>
        </w:rPr>
        <w:t>End of shift procedure</w:t>
      </w:r>
    </w:p>
    <w:p w:rsidR="00DD6FF1" w:rsidRPr="00653DB7" w:rsidRDefault="00DD6FF1" w:rsidP="00DD6FF1">
      <w:pPr>
        <w:pStyle w:val="ListParagraph"/>
        <w:tabs>
          <w:tab w:val="left" w:pos="-720"/>
          <w:tab w:val="num" w:pos="810"/>
        </w:tabs>
        <w:suppressAutoHyphens/>
        <w:ind w:left="1080"/>
        <w:jc w:val="both"/>
        <w:rPr>
          <w:rFonts w:ascii="Arial" w:hAnsi="Arial" w:cs="Arial"/>
          <w:szCs w:val="24"/>
        </w:rPr>
      </w:pPr>
    </w:p>
    <w:p w:rsidR="00DD6FF1" w:rsidRPr="00653DB7" w:rsidRDefault="00DD6FF1" w:rsidP="00DD6FF1">
      <w:pPr>
        <w:pStyle w:val="ListParagraph"/>
        <w:numPr>
          <w:ilvl w:val="0"/>
          <w:numId w:val="7"/>
        </w:numPr>
        <w:tabs>
          <w:tab w:val="left" w:pos="-720"/>
        </w:tabs>
        <w:suppressAutoHyphens/>
        <w:jc w:val="both"/>
        <w:rPr>
          <w:rFonts w:ascii="Arial" w:hAnsi="Arial" w:cs="Arial"/>
          <w:b/>
          <w:szCs w:val="24"/>
          <w:u w:val="single"/>
        </w:rPr>
      </w:pPr>
      <w:r w:rsidRPr="00653DB7">
        <w:rPr>
          <w:rFonts w:ascii="Arial" w:hAnsi="Arial" w:cs="Arial"/>
          <w:b/>
          <w:szCs w:val="24"/>
          <w:u w:val="single"/>
        </w:rPr>
        <w:t>MAINTENANCE</w:t>
      </w:r>
    </w:p>
    <w:p w:rsidR="00DD6FF1" w:rsidRPr="00653DB7" w:rsidRDefault="00DD6FF1" w:rsidP="00DD6FF1">
      <w:pPr>
        <w:tabs>
          <w:tab w:val="left" w:pos="-720"/>
        </w:tabs>
        <w:suppressAutoHyphens/>
        <w:jc w:val="both"/>
        <w:rPr>
          <w:rFonts w:ascii="Arial" w:hAnsi="Arial" w:cs="Arial"/>
          <w:b/>
          <w:szCs w:val="24"/>
          <w:u w:val="single"/>
        </w:rPr>
      </w:pPr>
    </w:p>
    <w:p w:rsidR="00DD6FF1" w:rsidRPr="00653DB7" w:rsidRDefault="00DD6FF1" w:rsidP="00132A26">
      <w:pPr>
        <w:pStyle w:val="ListParagraph"/>
        <w:numPr>
          <w:ilvl w:val="0"/>
          <w:numId w:val="16"/>
        </w:numPr>
        <w:ind w:left="1530" w:hanging="450"/>
        <w:rPr>
          <w:rFonts w:ascii="Arial" w:hAnsi="Arial" w:cs="Arial"/>
          <w:szCs w:val="24"/>
          <w:u w:val="single"/>
        </w:rPr>
      </w:pPr>
      <w:r w:rsidRPr="00653DB7">
        <w:rPr>
          <w:rFonts w:ascii="Arial" w:hAnsi="Arial" w:cs="Arial"/>
          <w:szCs w:val="24"/>
          <w:u w:val="single"/>
        </w:rPr>
        <w:t>Daily maintenance</w:t>
      </w:r>
    </w:p>
    <w:p w:rsidR="00DD6FF1" w:rsidRPr="00653DB7" w:rsidRDefault="00DD6FF1" w:rsidP="00132A26">
      <w:pPr>
        <w:pStyle w:val="ListParagraph"/>
        <w:widowControl/>
        <w:numPr>
          <w:ilvl w:val="0"/>
          <w:numId w:val="4"/>
        </w:numPr>
        <w:spacing w:after="200" w:line="276" w:lineRule="auto"/>
        <w:ind w:left="1980" w:hanging="450"/>
        <w:rPr>
          <w:rFonts w:ascii="Arial" w:hAnsi="Arial" w:cs="Arial"/>
          <w:szCs w:val="24"/>
        </w:rPr>
      </w:pPr>
      <w:r w:rsidRPr="00653DB7">
        <w:rPr>
          <w:rFonts w:ascii="Arial" w:hAnsi="Arial" w:cs="Arial"/>
          <w:szCs w:val="24"/>
        </w:rPr>
        <w:t>Address messages</w:t>
      </w:r>
    </w:p>
    <w:p w:rsidR="00DD6FF1" w:rsidRPr="00653DB7" w:rsidRDefault="00DD6FF1" w:rsidP="00132A26">
      <w:pPr>
        <w:pStyle w:val="ListParagraph"/>
        <w:widowControl/>
        <w:numPr>
          <w:ilvl w:val="0"/>
          <w:numId w:val="4"/>
        </w:numPr>
        <w:spacing w:after="200" w:line="276" w:lineRule="auto"/>
        <w:ind w:left="1980" w:hanging="450"/>
        <w:rPr>
          <w:rFonts w:ascii="Arial" w:hAnsi="Arial" w:cs="Arial"/>
          <w:szCs w:val="24"/>
        </w:rPr>
      </w:pPr>
      <w:r w:rsidRPr="00653DB7">
        <w:rPr>
          <w:rFonts w:ascii="Arial" w:hAnsi="Arial" w:cs="Arial"/>
          <w:szCs w:val="24"/>
        </w:rPr>
        <w:t>Load Reagent Packs</w:t>
      </w:r>
    </w:p>
    <w:p w:rsidR="00DD6FF1" w:rsidRPr="00653DB7" w:rsidRDefault="00DD6FF1" w:rsidP="00132A26">
      <w:pPr>
        <w:pStyle w:val="ListParagraph"/>
        <w:widowControl/>
        <w:numPr>
          <w:ilvl w:val="0"/>
          <w:numId w:val="4"/>
        </w:numPr>
        <w:spacing w:after="200" w:line="276" w:lineRule="auto"/>
        <w:ind w:left="1980" w:hanging="450"/>
        <w:rPr>
          <w:rFonts w:ascii="Arial" w:hAnsi="Arial" w:cs="Arial"/>
          <w:szCs w:val="24"/>
        </w:rPr>
      </w:pPr>
      <w:r w:rsidRPr="00653DB7">
        <w:rPr>
          <w:rFonts w:ascii="Arial" w:hAnsi="Arial" w:cs="Arial"/>
          <w:szCs w:val="24"/>
        </w:rPr>
        <w:t>Replenish supplies and empty waste</w:t>
      </w:r>
    </w:p>
    <w:p w:rsidR="00DD6FF1" w:rsidRPr="00653DB7" w:rsidRDefault="00DD6FF1" w:rsidP="00132A26">
      <w:pPr>
        <w:pStyle w:val="ListParagraph"/>
        <w:widowControl/>
        <w:numPr>
          <w:ilvl w:val="0"/>
          <w:numId w:val="4"/>
        </w:numPr>
        <w:spacing w:after="200" w:line="276" w:lineRule="auto"/>
        <w:ind w:left="1980" w:hanging="450"/>
        <w:rPr>
          <w:rFonts w:ascii="Arial" w:hAnsi="Arial" w:cs="Arial"/>
          <w:szCs w:val="24"/>
        </w:rPr>
      </w:pPr>
      <w:r w:rsidRPr="00653DB7">
        <w:rPr>
          <w:rFonts w:ascii="Arial" w:hAnsi="Arial" w:cs="Arial"/>
          <w:szCs w:val="24"/>
        </w:rPr>
        <w:t>Visual inspection</w:t>
      </w:r>
    </w:p>
    <w:p w:rsidR="00DD6FF1" w:rsidRPr="00653DB7" w:rsidRDefault="00DD6FF1" w:rsidP="00DD6FF1">
      <w:pPr>
        <w:pStyle w:val="ListParagraph"/>
        <w:ind w:left="1080"/>
        <w:rPr>
          <w:rFonts w:ascii="Arial" w:hAnsi="Arial" w:cs="Arial"/>
          <w:szCs w:val="24"/>
          <w:u w:val="single"/>
        </w:rPr>
      </w:pPr>
    </w:p>
    <w:p w:rsidR="00DD6FF1" w:rsidRPr="00653DB7" w:rsidRDefault="00DD6FF1" w:rsidP="00132A26">
      <w:pPr>
        <w:pStyle w:val="ListParagraph"/>
        <w:numPr>
          <w:ilvl w:val="0"/>
          <w:numId w:val="16"/>
        </w:numPr>
        <w:ind w:left="1530" w:hanging="450"/>
        <w:rPr>
          <w:rFonts w:ascii="Arial" w:hAnsi="Arial" w:cs="Arial"/>
          <w:szCs w:val="24"/>
          <w:u w:val="single"/>
        </w:rPr>
      </w:pPr>
      <w:r w:rsidRPr="00653DB7">
        <w:rPr>
          <w:rFonts w:ascii="Arial" w:hAnsi="Arial" w:cs="Arial"/>
          <w:szCs w:val="24"/>
          <w:u w:val="single"/>
        </w:rPr>
        <w:t>Weekly Maintenance</w:t>
      </w:r>
    </w:p>
    <w:p w:rsidR="00DD6FF1" w:rsidRPr="00653DB7" w:rsidRDefault="00DD6FF1" w:rsidP="00132A26">
      <w:pPr>
        <w:pStyle w:val="ListParagraph"/>
        <w:widowControl/>
        <w:numPr>
          <w:ilvl w:val="0"/>
          <w:numId w:val="11"/>
        </w:numPr>
        <w:spacing w:after="200" w:line="276" w:lineRule="auto"/>
        <w:ind w:left="1980" w:hanging="450"/>
        <w:rPr>
          <w:rFonts w:ascii="Arial" w:hAnsi="Arial" w:cs="Arial"/>
          <w:szCs w:val="24"/>
        </w:rPr>
      </w:pPr>
      <w:r w:rsidRPr="00653DB7">
        <w:rPr>
          <w:rFonts w:ascii="Arial" w:hAnsi="Arial" w:cs="Arial"/>
          <w:szCs w:val="24"/>
        </w:rPr>
        <w:t>Inspect the sheath filter</w:t>
      </w:r>
    </w:p>
    <w:p w:rsidR="00DD6FF1" w:rsidRPr="00653DB7" w:rsidRDefault="00DD6FF1" w:rsidP="00132A26">
      <w:pPr>
        <w:pStyle w:val="ListParagraph"/>
        <w:widowControl/>
        <w:numPr>
          <w:ilvl w:val="0"/>
          <w:numId w:val="11"/>
        </w:numPr>
        <w:spacing w:after="200" w:line="276" w:lineRule="auto"/>
        <w:ind w:left="1980" w:hanging="450"/>
        <w:rPr>
          <w:rFonts w:ascii="Arial" w:hAnsi="Arial" w:cs="Arial"/>
          <w:szCs w:val="24"/>
        </w:rPr>
      </w:pPr>
      <w:r w:rsidRPr="00653DB7">
        <w:rPr>
          <w:rFonts w:ascii="Arial" w:hAnsi="Arial" w:cs="Arial"/>
          <w:szCs w:val="24"/>
        </w:rPr>
        <w:t>Inspect the syringes</w:t>
      </w:r>
    </w:p>
    <w:p w:rsidR="00DD6FF1" w:rsidRPr="00653DB7" w:rsidRDefault="00DD6FF1" w:rsidP="00132A26">
      <w:pPr>
        <w:pStyle w:val="ListParagraph"/>
        <w:widowControl/>
        <w:numPr>
          <w:ilvl w:val="0"/>
          <w:numId w:val="11"/>
        </w:numPr>
        <w:spacing w:after="200" w:line="276" w:lineRule="auto"/>
        <w:ind w:left="1980" w:hanging="450"/>
        <w:rPr>
          <w:rFonts w:ascii="Arial" w:hAnsi="Arial" w:cs="Arial"/>
          <w:szCs w:val="24"/>
        </w:rPr>
      </w:pPr>
      <w:r w:rsidRPr="00653DB7">
        <w:rPr>
          <w:rFonts w:ascii="Arial" w:hAnsi="Arial" w:cs="Arial"/>
          <w:szCs w:val="24"/>
        </w:rPr>
        <w:t>Clean the sample handler</w:t>
      </w:r>
    </w:p>
    <w:p w:rsidR="00DD6FF1" w:rsidRPr="00653DB7" w:rsidRDefault="00DD6FF1" w:rsidP="00132A26">
      <w:pPr>
        <w:pStyle w:val="ListParagraph"/>
        <w:widowControl/>
        <w:numPr>
          <w:ilvl w:val="0"/>
          <w:numId w:val="11"/>
        </w:numPr>
        <w:spacing w:after="200" w:line="276" w:lineRule="auto"/>
        <w:ind w:left="1980" w:hanging="450"/>
        <w:rPr>
          <w:rFonts w:ascii="Arial" w:hAnsi="Arial" w:cs="Arial"/>
          <w:szCs w:val="24"/>
        </w:rPr>
      </w:pPr>
      <w:r w:rsidRPr="00653DB7">
        <w:rPr>
          <w:rFonts w:ascii="Arial" w:hAnsi="Arial" w:cs="Arial"/>
          <w:szCs w:val="24"/>
        </w:rPr>
        <w:t>Database maintenance</w:t>
      </w:r>
    </w:p>
    <w:p w:rsidR="00DD6FF1" w:rsidRPr="00653DB7" w:rsidRDefault="00DD6FF1" w:rsidP="00132A26">
      <w:pPr>
        <w:pStyle w:val="ListParagraph"/>
        <w:widowControl/>
        <w:numPr>
          <w:ilvl w:val="0"/>
          <w:numId w:val="11"/>
        </w:numPr>
        <w:spacing w:after="200" w:line="276" w:lineRule="auto"/>
        <w:ind w:left="1980" w:hanging="450"/>
        <w:rPr>
          <w:rFonts w:ascii="Arial" w:hAnsi="Arial" w:cs="Arial"/>
          <w:szCs w:val="24"/>
        </w:rPr>
      </w:pPr>
      <w:r w:rsidRPr="00653DB7">
        <w:rPr>
          <w:rFonts w:ascii="Arial" w:hAnsi="Arial" w:cs="Arial"/>
          <w:szCs w:val="24"/>
        </w:rPr>
        <w:t>Inspect and wipe the system probes</w:t>
      </w:r>
    </w:p>
    <w:p w:rsidR="00DD6FF1" w:rsidRPr="00653DB7" w:rsidRDefault="00DD6FF1" w:rsidP="00132A26">
      <w:pPr>
        <w:pStyle w:val="ListParagraph"/>
        <w:widowControl/>
        <w:numPr>
          <w:ilvl w:val="0"/>
          <w:numId w:val="11"/>
        </w:numPr>
        <w:spacing w:after="200" w:line="276" w:lineRule="auto"/>
        <w:ind w:left="1980" w:hanging="450"/>
        <w:rPr>
          <w:rFonts w:ascii="Arial" w:hAnsi="Arial" w:cs="Arial"/>
          <w:szCs w:val="24"/>
        </w:rPr>
      </w:pPr>
      <w:r w:rsidRPr="00653DB7">
        <w:rPr>
          <w:rFonts w:ascii="Arial" w:hAnsi="Arial" w:cs="Arial"/>
          <w:szCs w:val="24"/>
        </w:rPr>
        <w:t>Clean the system probes</w:t>
      </w:r>
    </w:p>
    <w:p w:rsidR="00DD6FF1" w:rsidRDefault="00DD6FF1" w:rsidP="00132A26">
      <w:pPr>
        <w:pStyle w:val="ListParagraph"/>
        <w:widowControl/>
        <w:numPr>
          <w:ilvl w:val="0"/>
          <w:numId w:val="11"/>
        </w:numPr>
        <w:spacing w:after="200" w:line="276" w:lineRule="auto"/>
        <w:ind w:left="1980" w:hanging="450"/>
        <w:rPr>
          <w:rFonts w:ascii="Arial" w:hAnsi="Arial" w:cs="Arial"/>
          <w:szCs w:val="24"/>
        </w:rPr>
      </w:pPr>
      <w:r w:rsidRPr="00653DB7">
        <w:rPr>
          <w:rFonts w:ascii="Arial" w:hAnsi="Arial" w:cs="Arial"/>
          <w:szCs w:val="24"/>
        </w:rPr>
        <w:t>Detector calibration</w:t>
      </w:r>
    </w:p>
    <w:p w:rsidR="00132A26" w:rsidRPr="00653DB7" w:rsidRDefault="00132A26" w:rsidP="00132A26">
      <w:pPr>
        <w:pStyle w:val="ListParagraph"/>
        <w:widowControl/>
        <w:spacing w:after="200" w:line="276" w:lineRule="auto"/>
        <w:ind w:left="1980"/>
        <w:rPr>
          <w:rFonts w:ascii="Arial" w:hAnsi="Arial" w:cs="Arial"/>
          <w:szCs w:val="24"/>
        </w:rPr>
      </w:pPr>
    </w:p>
    <w:p w:rsidR="00DD6FF1" w:rsidRPr="00653DB7" w:rsidRDefault="00DD6FF1" w:rsidP="00132A26">
      <w:pPr>
        <w:pStyle w:val="ListParagraph"/>
        <w:numPr>
          <w:ilvl w:val="0"/>
          <w:numId w:val="16"/>
        </w:numPr>
        <w:ind w:left="1530" w:hanging="450"/>
        <w:rPr>
          <w:rFonts w:ascii="Arial" w:hAnsi="Arial" w:cs="Arial"/>
          <w:szCs w:val="24"/>
          <w:u w:val="single"/>
        </w:rPr>
      </w:pPr>
      <w:r w:rsidRPr="00653DB7">
        <w:rPr>
          <w:rFonts w:ascii="Arial" w:hAnsi="Arial" w:cs="Arial"/>
          <w:szCs w:val="24"/>
          <w:u w:val="single"/>
        </w:rPr>
        <w:t>Monthly Maintenance</w:t>
      </w:r>
    </w:p>
    <w:p w:rsidR="00DD6FF1" w:rsidRPr="00653DB7" w:rsidRDefault="00DD6FF1" w:rsidP="00132A26">
      <w:pPr>
        <w:pStyle w:val="ListParagraph"/>
        <w:widowControl/>
        <w:numPr>
          <w:ilvl w:val="0"/>
          <w:numId w:val="12"/>
        </w:numPr>
        <w:spacing w:after="200" w:line="276" w:lineRule="auto"/>
        <w:ind w:left="1980" w:hanging="450"/>
        <w:rPr>
          <w:rFonts w:ascii="Arial" w:hAnsi="Arial" w:cs="Arial"/>
          <w:szCs w:val="24"/>
          <w:u w:val="single"/>
        </w:rPr>
      </w:pPr>
      <w:r w:rsidRPr="00653DB7">
        <w:rPr>
          <w:rFonts w:ascii="Arial" w:hAnsi="Arial" w:cs="Arial"/>
          <w:szCs w:val="24"/>
        </w:rPr>
        <w:t>Clean the liquid waste containers</w:t>
      </w:r>
    </w:p>
    <w:p w:rsidR="00DD6FF1" w:rsidRPr="00653DB7" w:rsidRDefault="00DD6FF1" w:rsidP="00132A26">
      <w:pPr>
        <w:pStyle w:val="ListParagraph"/>
        <w:widowControl/>
        <w:numPr>
          <w:ilvl w:val="0"/>
          <w:numId w:val="12"/>
        </w:numPr>
        <w:spacing w:after="200" w:line="276" w:lineRule="auto"/>
        <w:ind w:left="1980" w:hanging="450"/>
        <w:rPr>
          <w:rFonts w:ascii="Arial" w:hAnsi="Arial" w:cs="Arial"/>
          <w:szCs w:val="24"/>
        </w:rPr>
      </w:pPr>
      <w:r w:rsidRPr="00653DB7">
        <w:rPr>
          <w:rFonts w:ascii="Arial" w:hAnsi="Arial" w:cs="Arial"/>
          <w:szCs w:val="24"/>
        </w:rPr>
        <w:t>Sanitize the deionized water container</w:t>
      </w:r>
    </w:p>
    <w:p w:rsidR="00DD6FF1" w:rsidRPr="00653DB7" w:rsidRDefault="00DD6FF1" w:rsidP="00132A26">
      <w:pPr>
        <w:pStyle w:val="ListParagraph"/>
        <w:numPr>
          <w:ilvl w:val="0"/>
          <w:numId w:val="16"/>
        </w:numPr>
        <w:tabs>
          <w:tab w:val="left" w:pos="1530"/>
        </w:tabs>
        <w:ind w:hanging="1080"/>
        <w:rPr>
          <w:rFonts w:ascii="Arial" w:hAnsi="Arial" w:cs="Arial"/>
          <w:szCs w:val="24"/>
          <w:u w:val="single"/>
        </w:rPr>
      </w:pPr>
      <w:r w:rsidRPr="00653DB7">
        <w:rPr>
          <w:rFonts w:ascii="Arial" w:hAnsi="Arial" w:cs="Arial"/>
          <w:szCs w:val="24"/>
          <w:u w:val="single"/>
        </w:rPr>
        <w:t>On Demand Maintenance</w:t>
      </w:r>
    </w:p>
    <w:p w:rsidR="00DD6FF1" w:rsidRPr="00653DB7" w:rsidRDefault="00060C84" w:rsidP="00DD6FF1">
      <w:pPr>
        <w:ind w:left="1440"/>
        <w:rPr>
          <w:rFonts w:ascii="Arial" w:hAnsi="Arial" w:cs="Arial"/>
          <w:szCs w:val="24"/>
        </w:rPr>
      </w:pPr>
      <w:r>
        <w:rPr>
          <w:rFonts w:ascii="Arial" w:hAnsi="Arial" w:cs="Arial"/>
          <w:szCs w:val="24"/>
        </w:rPr>
        <w:lastRenderedPageBreak/>
        <w:t xml:space="preserve">    a. </w:t>
      </w:r>
      <w:r w:rsidR="00DD6FF1" w:rsidRPr="00653DB7">
        <w:rPr>
          <w:rFonts w:ascii="Arial" w:hAnsi="Arial" w:cs="Arial"/>
          <w:szCs w:val="24"/>
        </w:rPr>
        <w:t xml:space="preserve">Other maintenance activities done on a periodic basis are described </w:t>
      </w:r>
      <w:r>
        <w:rPr>
          <w:rFonts w:ascii="Arial" w:hAnsi="Arial" w:cs="Arial"/>
          <w:szCs w:val="24"/>
        </w:rPr>
        <w:tab/>
      </w:r>
      <w:proofErr w:type="gramStart"/>
      <w:r w:rsidR="00DD6FF1" w:rsidRPr="00653DB7">
        <w:rPr>
          <w:rFonts w:ascii="Arial" w:hAnsi="Arial" w:cs="Arial"/>
          <w:szCs w:val="24"/>
        </w:rPr>
        <w:t>in  section</w:t>
      </w:r>
      <w:proofErr w:type="gramEnd"/>
      <w:r w:rsidR="00DD6FF1" w:rsidRPr="00653DB7">
        <w:rPr>
          <w:rFonts w:ascii="Arial" w:hAnsi="Arial" w:cs="Arial"/>
          <w:szCs w:val="24"/>
        </w:rPr>
        <w:t xml:space="preserve"> 11.8 of the </w:t>
      </w:r>
      <w:proofErr w:type="spellStart"/>
      <w:r w:rsidR="00DD6FF1" w:rsidRPr="00653DB7">
        <w:rPr>
          <w:rFonts w:ascii="Arial" w:hAnsi="Arial" w:cs="Arial"/>
          <w:szCs w:val="24"/>
        </w:rPr>
        <w:t>BioPlex</w:t>
      </w:r>
      <w:proofErr w:type="spellEnd"/>
      <w:r w:rsidR="00DD6FF1" w:rsidRPr="00653DB7">
        <w:rPr>
          <w:rFonts w:ascii="Arial" w:hAnsi="Arial" w:cs="Arial"/>
          <w:szCs w:val="24"/>
        </w:rPr>
        <w:t xml:space="preserve"> 2200 System Operation Manual.</w:t>
      </w:r>
    </w:p>
    <w:p w:rsidR="00DD6FF1" w:rsidRPr="00653DB7" w:rsidRDefault="00060C84" w:rsidP="00132A26">
      <w:pPr>
        <w:ind w:left="1980" w:hanging="540"/>
        <w:rPr>
          <w:rFonts w:ascii="Arial" w:hAnsi="Arial" w:cs="Arial"/>
          <w:szCs w:val="24"/>
        </w:rPr>
      </w:pPr>
      <w:r>
        <w:rPr>
          <w:rFonts w:ascii="Arial" w:hAnsi="Arial" w:cs="Arial"/>
          <w:szCs w:val="24"/>
        </w:rPr>
        <w:t xml:space="preserve">    b. </w:t>
      </w:r>
      <w:r w:rsidR="00DD6FF1" w:rsidRPr="00653DB7">
        <w:rPr>
          <w:rFonts w:ascii="Arial" w:hAnsi="Arial" w:cs="Arial"/>
          <w:szCs w:val="24"/>
        </w:rPr>
        <w:t xml:space="preserve">All maintenance activities are described in detail in section 11.1 – </w:t>
      </w:r>
      <w:r>
        <w:rPr>
          <w:rFonts w:ascii="Arial" w:hAnsi="Arial" w:cs="Arial"/>
          <w:szCs w:val="24"/>
        </w:rPr>
        <w:t xml:space="preserve">     </w:t>
      </w:r>
      <w:r>
        <w:rPr>
          <w:rFonts w:ascii="Arial" w:hAnsi="Arial" w:cs="Arial"/>
          <w:szCs w:val="24"/>
        </w:rPr>
        <w:tab/>
        <w:t xml:space="preserve">                                               </w:t>
      </w:r>
      <w:r w:rsidR="00DD6FF1" w:rsidRPr="00653DB7">
        <w:rPr>
          <w:rFonts w:ascii="Arial" w:hAnsi="Arial" w:cs="Arial"/>
          <w:szCs w:val="24"/>
        </w:rPr>
        <w:t xml:space="preserve">11.84 of the </w:t>
      </w:r>
      <w:proofErr w:type="spellStart"/>
      <w:r w:rsidR="00DD6FF1" w:rsidRPr="00653DB7">
        <w:rPr>
          <w:rFonts w:ascii="Arial" w:hAnsi="Arial" w:cs="Arial"/>
          <w:szCs w:val="24"/>
        </w:rPr>
        <w:t>BioPlex</w:t>
      </w:r>
      <w:proofErr w:type="spellEnd"/>
      <w:r w:rsidR="00DD6FF1" w:rsidRPr="00653DB7">
        <w:rPr>
          <w:rFonts w:ascii="Arial" w:hAnsi="Arial" w:cs="Arial"/>
          <w:szCs w:val="24"/>
        </w:rPr>
        <w:t xml:space="preserve"> 2200 System Operation Manual.</w:t>
      </w:r>
      <w:r w:rsidR="00DD6FF1" w:rsidRPr="00653DB7">
        <w:rPr>
          <w:rFonts w:ascii="Arial" w:hAnsi="Arial" w:cs="Arial"/>
          <w:szCs w:val="24"/>
        </w:rPr>
        <w:tab/>
      </w:r>
    </w:p>
    <w:p w:rsidR="00DD6FF1" w:rsidRPr="00653DB7" w:rsidRDefault="00DD6FF1" w:rsidP="00DD6FF1">
      <w:pPr>
        <w:ind w:left="1440"/>
        <w:rPr>
          <w:rFonts w:ascii="Arial" w:hAnsi="Arial" w:cs="Arial"/>
          <w:szCs w:val="24"/>
        </w:rPr>
      </w:pPr>
    </w:p>
    <w:p w:rsidR="00DD6FF1" w:rsidRPr="00653DB7" w:rsidRDefault="00DD6FF1" w:rsidP="00DD6FF1">
      <w:pPr>
        <w:pStyle w:val="ListParagraph"/>
        <w:numPr>
          <w:ilvl w:val="0"/>
          <w:numId w:val="7"/>
        </w:numPr>
        <w:tabs>
          <w:tab w:val="left" w:pos="-720"/>
          <w:tab w:val="num" w:pos="810"/>
        </w:tabs>
        <w:suppressAutoHyphens/>
        <w:jc w:val="both"/>
        <w:rPr>
          <w:rFonts w:ascii="Arial" w:hAnsi="Arial" w:cs="Arial"/>
          <w:b/>
          <w:szCs w:val="24"/>
          <w:u w:val="single"/>
        </w:rPr>
      </w:pPr>
      <w:r w:rsidRPr="00653DB7">
        <w:rPr>
          <w:rFonts w:ascii="Arial" w:hAnsi="Arial" w:cs="Arial"/>
          <w:b/>
          <w:szCs w:val="24"/>
          <w:u w:val="single"/>
        </w:rPr>
        <w:t>ASSAY CALIBRATION</w:t>
      </w:r>
    </w:p>
    <w:p w:rsidR="00DD6FF1" w:rsidRPr="00653DB7" w:rsidRDefault="00DD6FF1" w:rsidP="00DD6FF1">
      <w:pPr>
        <w:pStyle w:val="CLSIText"/>
        <w:ind w:left="1080"/>
        <w:rPr>
          <w:sz w:val="24"/>
          <w:szCs w:val="24"/>
        </w:rPr>
      </w:pPr>
      <w:r w:rsidRPr="00653DB7">
        <w:rPr>
          <w:sz w:val="24"/>
          <w:szCs w:val="24"/>
        </w:rPr>
        <w:t>Perform required calibrations, as described in section VI.</w:t>
      </w:r>
    </w:p>
    <w:p w:rsidR="00DD6FF1" w:rsidRPr="00653DB7" w:rsidRDefault="00DD6FF1" w:rsidP="00DD6FF1">
      <w:pPr>
        <w:pStyle w:val="CLSIText"/>
        <w:ind w:left="1080"/>
        <w:rPr>
          <w:sz w:val="24"/>
          <w:szCs w:val="24"/>
        </w:rPr>
      </w:pPr>
      <w:r w:rsidRPr="00653DB7">
        <w:rPr>
          <w:sz w:val="24"/>
          <w:szCs w:val="24"/>
        </w:rPr>
        <w:t xml:space="preserve">* Refer to the </w:t>
      </w:r>
      <w:proofErr w:type="spellStart"/>
      <w:r w:rsidRPr="00653DB7">
        <w:rPr>
          <w:sz w:val="24"/>
          <w:szCs w:val="24"/>
        </w:rPr>
        <w:t>BioPlex</w:t>
      </w:r>
      <w:proofErr w:type="spellEnd"/>
      <w:r w:rsidRPr="00653DB7">
        <w:rPr>
          <w:sz w:val="24"/>
          <w:szCs w:val="24"/>
        </w:rPr>
        <w:t xml:space="preserve"> 2200 System Operation Manual, section 6.1-6.4 for more information concerning calibration.</w:t>
      </w:r>
    </w:p>
    <w:p w:rsidR="00DD6FF1" w:rsidRPr="00653DB7" w:rsidRDefault="00DD6FF1" w:rsidP="00DD6FF1">
      <w:pPr>
        <w:pStyle w:val="CLSIText"/>
        <w:ind w:left="1080"/>
        <w:rPr>
          <w:sz w:val="24"/>
          <w:szCs w:val="24"/>
        </w:rPr>
      </w:pPr>
    </w:p>
    <w:p w:rsidR="00DD6FF1" w:rsidRPr="00653DB7" w:rsidRDefault="00DD6FF1" w:rsidP="00DD6FF1">
      <w:pPr>
        <w:pStyle w:val="ListParagraph"/>
        <w:numPr>
          <w:ilvl w:val="0"/>
          <w:numId w:val="7"/>
        </w:numPr>
        <w:tabs>
          <w:tab w:val="left" w:pos="-720"/>
          <w:tab w:val="num" w:pos="810"/>
        </w:tabs>
        <w:suppressAutoHyphens/>
        <w:jc w:val="both"/>
        <w:rPr>
          <w:rFonts w:ascii="Arial" w:hAnsi="Arial" w:cs="Arial"/>
          <w:b/>
          <w:szCs w:val="24"/>
          <w:u w:val="single"/>
        </w:rPr>
      </w:pPr>
      <w:r w:rsidRPr="00653DB7">
        <w:rPr>
          <w:rFonts w:ascii="Arial" w:hAnsi="Arial" w:cs="Arial"/>
          <w:b/>
          <w:szCs w:val="24"/>
          <w:u w:val="single"/>
        </w:rPr>
        <w:t>ASSAY QUALITY CONTROL</w:t>
      </w:r>
    </w:p>
    <w:p w:rsidR="00DD6FF1" w:rsidRPr="00653DB7" w:rsidRDefault="00DD6FF1" w:rsidP="00DD6FF1">
      <w:pPr>
        <w:pStyle w:val="ListParagraph"/>
        <w:tabs>
          <w:tab w:val="left" w:pos="-720"/>
        </w:tabs>
        <w:suppressAutoHyphens/>
        <w:ind w:left="1080"/>
        <w:jc w:val="both"/>
        <w:rPr>
          <w:rFonts w:ascii="Arial" w:hAnsi="Arial" w:cs="Arial"/>
          <w:szCs w:val="24"/>
        </w:rPr>
      </w:pPr>
      <w:r w:rsidRPr="00653DB7">
        <w:rPr>
          <w:rFonts w:ascii="Arial" w:hAnsi="Arial" w:cs="Arial"/>
          <w:szCs w:val="24"/>
        </w:rPr>
        <w:t>Quality control material should be run, as described in section VII. Patient samples should not be run until requirements for quality control results are met.</w:t>
      </w:r>
    </w:p>
    <w:p w:rsidR="00DD6FF1" w:rsidRPr="00B04242" w:rsidRDefault="00DD6FF1" w:rsidP="00DD6FF1">
      <w:pPr>
        <w:pStyle w:val="CLSIText"/>
        <w:ind w:left="1080"/>
        <w:rPr>
          <w:rFonts w:ascii="Times New Roman" w:hAnsi="Times New Roman" w:cs="Times New Roman"/>
          <w:sz w:val="24"/>
          <w:szCs w:val="24"/>
        </w:rPr>
      </w:pPr>
      <w:r w:rsidRPr="00653DB7">
        <w:rPr>
          <w:sz w:val="24"/>
          <w:szCs w:val="24"/>
        </w:rPr>
        <w:t>Failure to obtain the appropriate values for controls will invalidate the assay and</w:t>
      </w:r>
      <w:r w:rsidRPr="00B04242">
        <w:rPr>
          <w:rFonts w:ascii="Times New Roman" w:hAnsi="Times New Roman" w:cs="Times New Roman"/>
          <w:sz w:val="24"/>
          <w:szCs w:val="24"/>
        </w:rPr>
        <w:t xml:space="preserve"> indicates procedural error, improper sample handling or deterioration of reagents.</w:t>
      </w:r>
    </w:p>
    <w:p w:rsidR="00DD6FF1" w:rsidRPr="00B04242" w:rsidRDefault="00DD6FF1" w:rsidP="00DD6FF1">
      <w:pPr>
        <w:pStyle w:val="CLSIText"/>
        <w:ind w:left="1080"/>
        <w:rPr>
          <w:rFonts w:ascii="Times New Roman" w:hAnsi="Times New Roman" w:cs="Times New Roman"/>
          <w:sz w:val="24"/>
          <w:szCs w:val="24"/>
        </w:rPr>
      </w:pPr>
    </w:p>
    <w:p w:rsidR="00DD6FF1" w:rsidRPr="00653DB7" w:rsidRDefault="00DD6FF1" w:rsidP="00DD6FF1">
      <w:pPr>
        <w:pStyle w:val="CLSIText"/>
        <w:numPr>
          <w:ilvl w:val="0"/>
          <w:numId w:val="7"/>
        </w:numPr>
        <w:rPr>
          <w:b/>
          <w:sz w:val="24"/>
          <w:szCs w:val="24"/>
          <w:u w:val="single"/>
        </w:rPr>
      </w:pPr>
      <w:r w:rsidRPr="00653DB7">
        <w:rPr>
          <w:b/>
          <w:sz w:val="24"/>
          <w:szCs w:val="24"/>
          <w:u w:val="single"/>
        </w:rPr>
        <w:t>SAMPLE LOADING</w:t>
      </w:r>
    </w:p>
    <w:p w:rsidR="00DD6FF1" w:rsidRPr="00653DB7" w:rsidRDefault="00DD6FF1" w:rsidP="00DD6FF1">
      <w:pPr>
        <w:rPr>
          <w:rFonts w:ascii="Arial" w:hAnsi="Arial" w:cs="Arial"/>
          <w:szCs w:val="24"/>
        </w:rPr>
      </w:pPr>
      <w:r w:rsidRPr="00653DB7">
        <w:rPr>
          <w:rFonts w:ascii="Arial" w:hAnsi="Arial" w:cs="Arial"/>
          <w:szCs w:val="24"/>
        </w:rPr>
        <w:tab/>
      </w:r>
    </w:p>
    <w:p w:rsidR="00DD6FF1" w:rsidRPr="00132A26" w:rsidRDefault="00DD6FF1" w:rsidP="00132A26">
      <w:pPr>
        <w:pStyle w:val="ListParagraph"/>
        <w:numPr>
          <w:ilvl w:val="0"/>
          <w:numId w:val="17"/>
        </w:numPr>
        <w:ind w:left="1440"/>
        <w:rPr>
          <w:rFonts w:ascii="Arial" w:hAnsi="Arial" w:cs="Arial"/>
          <w:szCs w:val="24"/>
        </w:rPr>
      </w:pPr>
      <w:r w:rsidRPr="00132A26">
        <w:rPr>
          <w:rFonts w:ascii="Arial" w:hAnsi="Arial" w:cs="Arial"/>
          <w:b/>
          <w:szCs w:val="24"/>
          <w:u w:val="single"/>
        </w:rPr>
        <w:t>Prepare Specimens for Processing</w:t>
      </w:r>
    </w:p>
    <w:p w:rsidR="00DD6FF1" w:rsidRPr="00653DB7" w:rsidRDefault="00DD6FF1" w:rsidP="00DD6FF1">
      <w:pPr>
        <w:pStyle w:val="ListParagraph"/>
        <w:widowControl/>
        <w:numPr>
          <w:ilvl w:val="0"/>
          <w:numId w:val="5"/>
        </w:numPr>
        <w:spacing w:after="200" w:line="276" w:lineRule="auto"/>
        <w:rPr>
          <w:rFonts w:ascii="Arial" w:hAnsi="Arial" w:cs="Arial"/>
          <w:szCs w:val="24"/>
        </w:rPr>
      </w:pPr>
      <w:r w:rsidRPr="00653DB7">
        <w:rPr>
          <w:rFonts w:ascii="Arial" w:hAnsi="Arial" w:cs="Arial"/>
          <w:szCs w:val="24"/>
        </w:rPr>
        <w:t>Determine if the tubes provided fulfill the requirements of the system.</w:t>
      </w:r>
    </w:p>
    <w:p w:rsidR="00DD6FF1" w:rsidRPr="00653DB7" w:rsidRDefault="00DD6FF1" w:rsidP="00DD6FF1">
      <w:pPr>
        <w:pStyle w:val="ListParagraph"/>
        <w:widowControl/>
        <w:numPr>
          <w:ilvl w:val="0"/>
          <w:numId w:val="5"/>
        </w:numPr>
        <w:spacing w:after="200" w:line="276" w:lineRule="auto"/>
        <w:rPr>
          <w:rFonts w:ascii="Arial" w:hAnsi="Arial" w:cs="Arial"/>
          <w:szCs w:val="24"/>
        </w:rPr>
      </w:pPr>
      <w:r w:rsidRPr="00653DB7">
        <w:rPr>
          <w:rFonts w:ascii="Arial" w:hAnsi="Arial" w:cs="Arial"/>
          <w:szCs w:val="24"/>
        </w:rPr>
        <w:t>Determine if the volume of specimen is adequate for testing.</w:t>
      </w:r>
    </w:p>
    <w:p w:rsidR="00DD6FF1" w:rsidRPr="00653DB7" w:rsidRDefault="00DD6FF1" w:rsidP="00DD6FF1">
      <w:pPr>
        <w:pStyle w:val="ListParagraph"/>
        <w:widowControl/>
        <w:numPr>
          <w:ilvl w:val="0"/>
          <w:numId w:val="5"/>
        </w:numPr>
        <w:spacing w:after="200" w:line="276" w:lineRule="auto"/>
        <w:rPr>
          <w:rFonts w:ascii="Arial" w:hAnsi="Arial" w:cs="Arial"/>
          <w:szCs w:val="24"/>
        </w:rPr>
      </w:pPr>
      <w:r w:rsidRPr="00653DB7">
        <w:rPr>
          <w:rFonts w:ascii="Arial" w:hAnsi="Arial" w:cs="Arial"/>
          <w:szCs w:val="24"/>
        </w:rPr>
        <w:t>If tubes and volumes are suitable, load specimens into sample racks, with caps removed, and bar-codes clearly visible through the rack opening.</w:t>
      </w:r>
    </w:p>
    <w:p w:rsidR="00DD6FF1" w:rsidRPr="00653DB7" w:rsidRDefault="00DD6FF1" w:rsidP="00DD6FF1">
      <w:pPr>
        <w:pStyle w:val="ListParagraph"/>
        <w:widowControl/>
        <w:numPr>
          <w:ilvl w:val="0"/>
          <w:numId w:val="5"/>
        </w:numPr>
        <w:spacing w:after="200" w:line="276" w:lineRule="auto"/>
        <w:rPr>
          <w:rFonts w:ascii="Arial" w:hAnsi="Arial" w:cs="Arial"/>
          <w:szCs w:val="24"/>
        </w:rPr>
      </w:pPr>
      <w:r w:rsidRPr="00653DB7">
        <w:rPr>
          <w:rFonts w:ascii="Arial" w:hAnsi="Arial" w:cs="Arial"/>
          <w:szCs w:val="24"/>
        </w:rPr>
        <w:t>Remove any debris, film, or bubbles present in the sample.</w:t>
      </w:r>
    </w:p>
    <w:p w:rsidR="00DD6FF1" w:rsidRPr="00653DB7" w:rsidRDefault="00DD6FF1" w:rsidP="00DD6FF1">
      <w:pPr>
        <w:ind w:left="1440"/>
        <w:rPr>
          <w:rFonts w:ascii="Arial" w:hAnsi="Arial" w:cs="Arial"/>
          <w:szCs w:val="24"/>
        </w:rPr>
      </w:pPr>
      <w:r w:rsidRPr="00653DB7">
        <w:rPr>
          <w:rFonts w:ascii="Arial" w:hAnsi="Arial" w:cs="Arial"/>
          <w:szCs w:val="24"/>
        </w:rPr>
        <w:t xml:space="preserve">*Detailed description of sample preparation may be found in section 9.3 of the </w:t>
      </w:r>
      <w:proofErr w:type="spellStart"/>
      <w:r w:rsidRPr="00653DB7">
        <w:rPr>
          <w:rFonts w:ascii="Arial" w:hAnsi="Arial" w:cs="Arial"/>
          <w:szCs w:val="24"/>
        </w:rPr>
        <w:t>BioPlex</w:t>
      </w:r>
      <w:proofErr w:type="spellEnd"/>
      <w:r w:rsidRPr="00653DB7">
        <w:rPr>
          <w:rFonts w:ascii="Arial" w:hAnsi="Arial" w:cs="Arial"/>
          <w:szCs w:val="24"/>
        </w:rPr>
        <w:t xml:space="preserve"> 2200 System Operation Manual.</w:t>
      </w:r>
    </w:p>
    <w:p w:rsidR="00DD6FF1" w:rsidRPr="00653DB7" w:rsidRDefault="00DD6FF1" w:rsidP="00DD6FF1">
      <w:pPr>
        <w:ind w:left="720" w:firstLine="720"/>
        <w:rPr>
          <w:rFonts w:ascii="Arial" w:hAnsi="Arial" w:cs="Arial"/>
          <w:b/>
          <w:szCs w:val="24"/>
          <w:u w:val="single"/>
        </w:rPr>
      </w:pPr>
    </w:p>
    <w:p w:rsidR="00DD6FF1" w:rsidRPr="00653DB7" w:rsidRDefault="00DD6FF1" w:rsidP="00132A26">
      <w:pPr>
        <w:pStyle w:val="ListParagraph"/>
        <w:numPr>
          <w:ilvl w:val="0"/>
          <w:numId w:val="17"/>
        </w:numPr>
        <w:ind w:left="1440"/>
        <w:rPr>
          <w:rFonts w:ascii="Arial" w:hAnsi="Arial" w:cs="Arial"/>
          <w:b/>
          <w:szCs w:val="24"/>
          <w:u w:val="single"/>
        </w:rPr>
      </w:pPr>
      <w:r w:rsidRPr="00653DB7">
        <w:rPr>
          <w:rFonts w:ascii="Arial" w:hAnsi="Arial" w:cs="Arial"/>
          <w:b/>
          <w:szCs w:val="24"/>
          <w:u w:val="single"/>
        </w:rPr>
        <w:t>Loading and Processing Samples</w:t>
      </w:r>
    </w:p>
    <w:p w:rsidR="00DD6FF1" w:rsidRPr="00653DB7" w:rsidRDefault="00DD6FF1" w:rsidP="00132A26">
      <w:pPr>
        <w:pStyle w:val="ListParagraph"/>
        <w:widowControl/>
        <w:numPr>
          <w:ilvl w:val="0"/>
          <w:numId w:val="6"/>
        </w:numPr>
        <w:spacing w:after="200" w:line="276" w:lineRule="auto"/>
        <w:ind w:left="1800"/>
        <w:rPr>
          <w:rFonts w:ascii="Arial" w:hAnsi="Arial" w:cs="Arial"/>
          <w:szCs w:val="24"/>
        </w:rPr>
      </w:pPr>
      <w:r w:rsidRPr="00653DB7">
        <w:rPr>
          <w:rFonts w:ascii="Arial" w:hAnsi="Arial" w:cs="Arial"/>
          <w:szCs w:val="24"/>
        </w:rPr>
        <w:t>Calibration curves must be available and current (having passed performance standards) for any analyte to be tested.</w:t>
      </w:r>
    </w:p>
    <w:p w:rsidR="00DD6FF1" w:rsidRPr="00653DB7" w:rsidRDefault="00DD6FF1" w:rsidP="00132A26">
      <w:pPr>
        <w:pStyle w:val="ListParagraph"/>
        <w:widowControl/>
        <w:numPr>
          <w:ilvl w:val="0"/>
          <w:numId w:val="6"/>
        </w:numPr>
        <w:tabs>
          <w:tab w:val="left" w:pos="1440"/>
        </w:tabs>
        <w:spacing w:after="200" w:line="276" w:lineRule="auto"/>
        <w:ind w:left="1800"/>
        <w:rPr>
          <w:rFonts w:ascii="Arial" w:hAnsi="Arial" w:cs="Arial"/>
          <w:szCs w:val="24"/>
        </w:rPr>
      </w:pPr>
      <w:r w:rsidRPr="00653DB7">
        <w:rPr>
          <w:rFonts w:ascii="Arial" w:hAnsi="Arial" w:cs="Arial"/>
          <w:szCs w:val="24"/>
        </w:rPr>
        <w:t>At least two levels of quality control material must be tested and pass performance standards before samples may be run.</w:t>
      </w:r>
    </w:p>
    <w:p w:rsidR="00DD6FF1" w:rsidRPr="00653DB7" w:rsidRDefault="00DD6FF1" w:rsidP="00132A26">
      <w:pPr>
        <w:pStyle w:val="ListParagraph"/>
        <w:widowControl/>
        <w:numPr>
          <w:ilvl w:val="0"/>
          <w:numId w:val="6"/>
        </w:numPr>
        <w:spacing w:after="200" w:line="276" w:lineRule="auto"/>
        <w:ind w:left="1800"/>
        <w:rPr>
          <w:rFonts w:ascii="Arial" w:hAnsi="Arial" w:cs="Arial"/>
          <w:szCs w:val="24"/>
        </w:rPr>
      </w:pPr>
      <w:r w:rsidRPr="00653DB7">
        <w:rPr>
          <w:rFonts w:ascii="Arial" w:hAnsi="Arial" w:cs="Arial"/>
          <w:szCs w:val="24"/>
        </w:rPr>
        <w:t>Sample racks may be individually loaded or sample trays may be loaded onto the Sample Input Area. Alternatively, individual racks may be loaded into the STAT Input Platform.</w:t>
      </w:r>
    </w:p>
    <w:p w:rsidR="00DD6FF1" w:rsidRPr="00653DB7" w:rsidRDefault="00DD6FF1" w:rsidP="00DD6FF1">
      <w:pPr>
        <w:ind w:left="2160"/>
        <w:rPr>
          <w:rFonts w:ascii="Arial" w:hAnsi="Arial" w:cs="Arial"/>
          <w:szCs w:val="24"/>
        </w:rPr>
      </w:pPr>
      <w:r w:rsidRPr="00653DB7">
        <w:rPr>
          <w:rFonts w:ascii="Arial" w:hAnsi="Arial" w:cs="Arial"/>
          <w:szCs w:val="24"/>
        </w:rPr>
        <w:t xml:space="preserve">*Detailed description of loading and processing samples may be found in section 9.4 of the </w:t>
      </w:r>
      <w:proofErr w:type="spellStart"/>
      <w:r w:rsidRPr="00653DB7">
        <w:rPr>
          <w:rFonts w:ascii="Arial" w:hAnsi="Arial" w:cs="Arial"/>
          <w:szCs w:val="24"/>
        </w:rPr>
        <w:t>BioPlex</w:t>
      </w:r>
      <w:proofErr w:type="spellEnd"/>
      <w:r w:rsidRPr="00653DB7">
        <w:rPr>
          <w:rFonts w:ascii="Arial" w:hAnsi="Arial" w:cs="Arial"/>
          <w:szCs w:val="24"/>
        </w:rPr>
        <w:t xml:space="preserve"> 2200 System Operation Manual.</w:t>
      </w:r>
    </w:p>
    <w:p w:rsidR="00DD6FF1" w:rsidRPr="00653DB7" w:rsidRDefault="00DD6FF1" w:rsidP="00DD6FF1">
      <w:pPr>
        <w:ind w:left="2160"/>
        <w:rPr>
          <w:rFonts w:ascii="Arial" w:hAnsi="Arial" w:cs="Arial"/>
          <w:szCs w:val="24"/>
        </w:rPr>
      </w:pPr>
    </w:p>
    <w:p w:rsidR="00DD6FF1" w:rsidRPr="00653DB7" w:rsidRDefault="00DD6FF1" w:rsidP="00063948">
      <w:pPr>
        <w:pStyle w:val="ListParagraph"/>
        <w:numPr>
          <w:ilvl w:val="0"/>
          <w:numId w:val="17"/>
        </w:numPr>
        <w:ind w:left="1440"/>
        <w:rPr>
          <w:rFonts w:ascii="Arial" w:hAnsi="Arial" w:cs="Arial"/>
          <w:szCs w:val="24"/>
        </w:rPr>
      </w:pPr>
      <w:r w:rsidRPr="00653DB7">
        <w:rPr>
          <w:rFonts w:ascii="Arial" w:hAnsi="Arial" w:cs="Arial"/>
          <w:b/>
          <w:szCs w:val="24"/>
          <w:u w:val="single"/>
        </w:rPr>
        <w:t>SAMPLE REMOVAL</w:t>
      </w:r>
    </w:p>
    <w:p w:rsidR="00DD6FF1" w:rsidRPr="00653DB7" w:rsidRDefault="00DD6FF1" w:rsidP="00DD6FF1">
      <w:pPr>
        <w:ind w:left="1440"/>
        <w:rPr>
          <w:rFonts w:ascii="Arial" w:hAnsi="Arial" w:cs="Arial"/>
          <w:szCs w:val="24"/>
        </w:rPr>
      </w:pPr>
      <w:r w:rsidRPr="00653DB7">
        <w:rPr>
          <w:rFonts w:ascii="Arial" w:hAnsi="Arial" w:cs="Arial"/>
          <w:szCs w:val="24"/>
        </w:rPr>
        <w:t xml:space="preserve">Remove processed sample racks individually after they arrive at the Sample Output Area or wait until all processed racks arrive and then </w:t>
      </w:r>
      <w:r w:rsidRPr="00653DB7">
        <w:rPr>
          <w:rFonts w:ascii="Arial" w:hAnsi="Arial" w:cs="Arial"/>
          <w:szCs w:val="24"/>
        </w:rPr>
        <w:lastRenderedPageBreak/>
        <w:t>remove the filled sample tray.</w:t>
      </w:r>
    </w:p>
    <w:p w:rsidR="00DD6FF1" w:rsidRPr="00653DB7" w:rsidRDefault="00DD6FF1" w:rsidP="00DD6FF1">
      <w:pPr>
        <w:ind w:left="1440"/>
        <w:rPr>
          <w:rFonts w:ascii="Arial" w:hAnsi="Arial" w:cs="Arial"/>
          <w:szCs w:val="24"/>
        </w:rPr>
      </w:pPr>
      <w:r w:rsidRPr="00653DB7">
        <w:rPr>
          <w:rFonts w:ascii="Arial" w:hAnsi="Arial" w:cs="Arial"/>
          <w:szCs w:val="24"/>
        </w:rPr>
        <w:t>Processed sample racks will not be moved to the sample Output Area if the sample tray is filled or if there is no tray present. In either case, new samples will not be processed until racks are cleared or the sample tray is replaced.</w:t>
      </w:r>
    </w:p>
    <w:p w:rsidR="00DD6FF1" w:rsidRPr="00653DB7" w:rsidRDefault="00DD6FF1" w:rsidP="00DD6FF1">
      <w:pPr>
        <w:ind w:left="1440"/>
        <w:rPr>
          <w:rFonts w:ascii="Arial" w:hAnsi="Arial" w:cs="Arial"/>
          <w:szCs w:val="24"/>
        </w:rPr>
      </w:pPr>
      <w:r w:rsidRPr="00653DB7">
        <w:rPr>
          <w:rFonts w:ascii="Arial" w:hAnsi="Arial" w:cs="Arial"/>
          <w:szCs w:val="24"/>
        </w:rPr>
        <w:t xml:space="preserve">*Detailed description of removing processed samples may be found in section 9.5 of the </w:t>
      </w:r>
      <w:proofErr w:type="spellStart"/>
      <w:r w:rsidRPr="00653DB7">
        <w:rPr>
          <w:rFonts w:ascii="Arial" w:hAnsi="Arial" w:cs="Arial"/>
          <w:szCs w:val="24"/>
        </w:rPr>
        <w:t>BioPlex</w:t>
      </w:r>
      <w:proofErr w:type="spellEnd"/>
      <w:r w:rsidRPr="00653DB7">
        <w:rPr>
          <w:rFonts w:ascii="Arial" w:hAnsi="Arial" w:cs="Arial"/>
          <w:szCs w:val="24"/>
        </w:rPr>
        <w:t xml:space="preserve"> 2200 System Operation Manual.</w:t>
      </w:r>
    </w:p>
    <w:p w:rsidR="00DD6FF1" w:rsidRPr="00653DB7" w:rsidRDefault="00DD6FF1" w:rsidP="00DD6FF1">
      <w:pPr>
        <w:ind w:left="1440"/>
        <w:rPr>
          <w:rFonts w:ascii="Arial" w:hAnsi="Arial" w:cs="Arial"/>
          <w:szCs w:val="24"/>
        </w:rPr>
      </w:pPr>
    </w:p>
    <w:p w:rsidR="00DD6FF1" w:rsidRPr="00653DB7" w:rsidRDefault="00DD6FF1" w:rsidP="00063948">
      <w:pPr>
        <w:pStyle w:val="ListParagraph"/>
        <w:numPr>
          <w:ilvl w:val="0"/>
          <w:numId w:val="17"/>
        </w:numPr>
        <w:ind w:left="1440"/>
        <w:rPr>
          <w:rFonts w:ascii="Arial" w:hAnsi="Arial" w:cs="Arial"/>
          <w:szCs w:val="24"/>
        </w:rPr>
      </w:pPr>
      <w:r w:rsidRPr="00653DB7">
        <w:rPr>
          <w:rFonts w:ascii="Arial" w:hAnsi="Arial" w:cs="Arial"/>
          <w:b/>
          <w:szCs w:val="24"/>
          <w:u w:val="single"/>
        </w:rPr>
        <w:t>RESULT REVIEW</w:t>
      </w:r>
    </w:p>
    <w:p w:rsidR="00DD6FF1" w:rsidRPr="00653DB7" w:rsidRDefault="00DD6FF1" w:rsidP="00063948">
      <w:pPr>
        <w:pStyle w:val="ListParagraph"/>
        <w:widowControl/>
        <w:numPr>
          <w:ilvl w:val="0"/>
          <w:numId w:val="9"/>
        </w:numPr>
        <w:spacing w:after="200" w:line="276" w:lineRule="auto"/>
        <w:ind w:left="1890" w:hanging="450"/>
        <w:rPr>
          <w:rFonts w:ascii="Arial" w:hAnsi="Arial" w:cs="Arial"/>
          <w:szCs w:val="24"/>
        </w:rPr>
      </w:pPr>
      <w:r w:rsidRPr="00653DB7">
        <w:rPr>
          <w:rFonts w:ascii="Arial" w:hAnsi="Arial" w:cs="Arial"/>
          <w:szCs w:val="24"/>
        </w:rPr>
        <w:t>Review patient and control results under RESULTS &gt; Review</w:t>
      </w:r>
    </w:p>
    <w:p w:rsidR="00DD6FF1" w:rsidRPr="00653DB7" w:rsidRDefault="00DD6FF1" w:rsidP="00063948">
      <w:pPr>
        <w:pStyle w:val="ListParagraph"/>
        <w:widowControl/>
        <w:numPr>
          <w:ilvl w:val="0"/>
          <w:numId w:val="9"/>
        </w:numPr>
        <w:spacing w:after="200" w:line="276" w:lineRule="auto"/>
        <w:ind w:left="1890" w:hanging="450"/>
        <w:rPr>
          <w:rFonts w:ascii="Arial" w:hAnsi="Arial" w:cs="Arial"/>
          <w:szCs w:val="24"/>
        </w:rPr>
      </w:pPr>
      <w:r w:rsidRPr="00653DB7">
        <w:rPr>
          <w:rFonts w:ascii="Arial" w:hAnsi="Arial" w:cs="Arial"/>
          <w:szCs w:val="24"/>
        </w:rPr>
        <w:t>Review error list under RESULTS &gt; Review&gt; Error List</w:t>
      </w:r>
    </w:p>
    <w:p w:rsidR="00DD6FF1" w:rsidRPr="00653DB7" w:rsidRDefault="00DD6FF1" w:rsidP="00063948">
      <w:pPr>
        <w:pStyle w:val="ListParagraph"/>
        <w:widowControl/>
        <w:numPr>
          <w:ilvl w:val="0"/>
          <w:numId w:val="9"/>
        </w:numPr>
        <w:spacing w:after="200" w:line="276" w:lineRule="auto"/>
        <w:ind w:left="1890" w:hanging="450"/>
        <w:rPr>
          <w:rFonts w:ascii="Arial" w:hAnsi="Arial" w:cs="Arial"/>
          <w:szCs w:val="24"/>
        </w:rPr>
      </w:pPr>
      <w:r w:rsidRPr="00653DB7">
        <w:rPr>
          <w:rFonts w:ascii="Arial" w:hAnsi="Arial" w:cs="Arial"/>
          <w:szCs w:val="24"/>
        </w:rPr>
        <w:t>Release results under RESULTS &gt; Release</w:t>
      </w:r>
    </w:p>
    <w:p w:rsidR="00DD6FF1" w:rsidRPr="00653DB7" w:rsidRDefault="00DD6FF1" w:rsidP="00063948">
      <w:pPr>
        <w:pStyle w:val="ListParagraph"/>
        <w:widowControl/>
        <w:numPr>
          <w:ilvl w:val="0"/>
          <w:numId w:val="9"/>
        </w:numPr>
        <w:spacing w:after="200" w:line="276" w:lineRule="auto"/>
        <w:ind w:left="1890" w:hanging="450"/>
        <w:rPr>
          <w:rFonts w:ascii="Arial" w:hAnsi="Arial" w:cs="Arial"/>
          <w:szCs w:val="24"/>
        </w:rPr>
      </w:pPr>
      <w:r w:rsidRPr="00653DB7">
        <w:rPr>
          <w:rFonts w:ascii="Arial" w:hAnsi="Arial" w:cs="Arial"/>
          <w:szCs w:val="24"/>
        </w:rPr>
        <w:t>Print results under RESULTS &gt; Review&gt; Print</w:t>
      </w:r>
    </w:p>
    <w:p w:rsidR="00DD6FF1" w:rsidRPr="00653DB7" w:rsidRDefault="00DD6FF1" w:rsidP="00DD6FF1">
      <w:pPr>
        <w:ind w:left="720"/>
        <w:rPr>
          <w:rFonts w:ascii="Arial" w:hAnsi="Arial" w:cs="Arial"/>
          <w:szCs w:val="24"/>
        </w:rPr>
      </w:pPr>
      <w:r w:rsidRPr="00653DB7">
        <w:rPr>
          <w:rFonts w:ascii="Arial" w:hAnsi="Arial" w:cs="Arial"/>
          <w:szCs w:val="24"/>
        </w:rPr>
        <w:t xml:space="preserve">*Detailed description of review of results may be found in section 10.1- 10.37 of the </w:t>
      </w:r>
      <w:proofErr w:type="spellStart"/>
      <w:r w:rsidRPr="00653DB7">
        <w:rPr>
          <w:rFonts w:ascii="Arial" w:hAnsi="Arial" w:cs="Arial"/>
          <w:szCs w:val="24"/>
        </w:rPr>
        <w:t>BioPlex</w:t>
      </w:r>
      <w:proofErr w:type="spellEnd"/>
      <w:r w:rsidRPr="00653DB7">
        <w:rPr>
          <w:rFonts w:ascii="Arial" w:hAnsi="Arial" w:cs="Arial"/>
          <w:szCs w:val="24"/>
        </w:rPr>
        <w:t xml:space="preserve"> 2200 </w:t>
      </w:r>
      <w:proofErr w:type="spellStart"/>
      <w:r w:rsidRPr="00653DB7">
        <w:rPr>
          <w:rFonts w:ascii="Arial" w:hAnsi="Arial" w:cs="Arial"/>
          <w:szCs w:val="24"/>
        </w:rPr>
        <w:t>Sustem</w:t>
      </w:r>
      <w:proofErr w:type="spellEnd"/>
      <w:r w:rsidRPr="00653DB7">
        <w:rPr>
          <w:rFonts w:ascii="Arial" w:hAnsi="Arial" w:cs="Arial"/>
          <w:szCs w:val="24"/>
        </w:rPr>
        <w:t xml:space="preserve"> Operation Manual.</w:t>
      </w:r>
    </w:p>
    <w:p w:rsidR="00DD6FF1" w:rsidRDefault="00DD6FF1" w:rsidP="00DD6FF1">
      <w:pPr>
        <w:ind w:left="720"/>
        <w:rPr>
          <w:rFonts w:ascii="Times New Roman" w:hAnsi="Times New Roman"/>
          <w:szCs w:val="24"/>
        </w:rPr>
      </w:pPr>
    </w:p>
    <w:p w:rsidR="00DD6FF1" w:rsidRPr="00653DB7" w:rsidRDefault="00063948" w:rsidP="00063948">
      <w:pPr>
        <w:pStyle w:val="ListParagraph"/>
        <w:numPr>
          <w:ilvl w:val="0"/>
          <w:numId w:val="17"/>
        </w:numPr>
        <w:ind w:left="1440"/>
        <w:rPr>
          <w:rFonts w:ascii="Arial" w:hAnsi="Arial" w:cs="Arial"/>
          <w:szCs w:val="24"/>
        </w:rPr>
      </w:pPr>
      <w:r>
        <w:rPr>
          <w:rFonts w:ascii="Times New Roman" w:hAnsi="Times New Roman"/>
          <w:szCs w:val="24"/>
        </w:rPr>
        <w:t xml:space="preserve"> </w:t>
      </w:r>
      <w:r w:rsidR="00DD6FF1" w:rsidRPr="00653DB7">
        <w:rPr>
          <w:rFonts w:ascii="Arial" w:hAnsi="Arial" w:cs="Arial"/>
          <w:b/>
          <w:szCs w:val="24"/>
          <w:u w:val="single"/>
        </w:rPr>
        <w:t>END OF SHIFT PROCEDURE</w:t>
      </w:r>
    </w:p>
    <w:p w:rsidR="00DD6FF1" w:rsidRPr="00653DB7" w:rsidRDefault="00DD6FF1" w:rsidP="00DD6FF1">
      <w:pPr>
        <w:rPr>
          <w:rFonts w:ascii="Arial" w:hAnsi="Arial" w:cs="Arial"/>
          <w:b/>
          <w:szCs w:val="24"/>
          <w:u w:val="single"/>
        </w:rPr>
      </w:pPr>
    </w:p>
    <w:p w:rsidR="00DD6FF1" w:rsidRPr="00653DB7" w:rsidRDefault="00DD6FF1" w:rsidP="00063948">
      <w:pPr>
        <w:pStyle w:val="ListParagraph"/>
        <w:widowControl/>
        <w:numPr>
          <w:ilvl w:val="3"/>
          <w:numId w:val="13"/>
        </w:numPr>
        <w:spacing w:after="200" w:line="276" w:lineRule="auto"/>
        <w:ind w:left="1890" w:hanging="450"/>
        <w:rPr>
          <w:rFonts w:ascii="Arial" w:hAnsi="Arial" w:cs="Arial"/>
          <w:szCs w:val="24"/>
        </w:rPr>
      </w:pPr>
      <w:r w:rsidRPr="00653DB7">
        <w:rPr>
          <w:rFonts w:ascii="Arial" w:hAnsi="Arial" w:cs="Arial"/>
          <w:szCs w:val="24"/>
        </w:rPr>
        <w:t>Log Out</w:t>
      </w:r>
    </w:p>
    <w:p w:rsidR="00DD6FF1" w:rsidRPr="00653DB7" w:rsidRDefault="00DD6FF1" w:rsidP="00063948">
      <w:pPr>
        <w:pStyle w:val="ListParagraph"/>
        <w:ind w:left="1890"/>
        <w:rPr>
          <w:rFonts w:ascii="Arial" w:hAnsi="Arial" w:cs="Arial"/>
          <w:szCs w:val="24"/>
        </w:rPr>
      </w:pPr>
      <w:r w:rsidRPr="00653DB7">
        <w:rPr>
          <w:rFonts w:ascii="Arial" w:hAnsi="Arial" w:cs="Arial"/>
          <w:szCs w:val="24"/>
        </w:rPr>
        <w:t>On the Global Menu, touch “USER.” The Log Out dialog box appears. Touch “Log Out.” The Log In dialog box appears for the next user to log in.</w:t>
      </w:r>
    </w:p>
    <w:p w:rsidR="00DD6FF1" w:rsidRPr="00653DB7" w:rsidRDefault="00DD6FF1" w:rsidP="00063948">
      <w:pPr>
        <w:pStyle w:val="ListParagraph"/>
        <w:widowControl/>
        <w:numPr>
          <w:ilvl w:val="3"/>
          <w:numId w:val="13"/>
        </w:numPr>
        <w:spacing w:after="200" w:line="276" w:lineRule="auto"/>
        <w:ind w:left="1890" w:hanging="450"/>
        <w:rPr>
          <w:rFonts w:ascii="Arial" w:hAnsi="Arial" w:cs="Arial"/>
          <w:szCs w:val="24"/>
        </w:rPr>
      </w:pPr>
      <w:r w:rsidRPr="00653DB7">
        <w:rPr>
          <w:rFonts w:ascii="Arial" w:hAnsi="Arial" w:cs="Arial"/>
          <w:szCs w:val="24"/>
        </w:rPr>
        <w:t>Shut Down</w:t>
      </w:r>
    </w:p>
    <w:p w:rsidR="00DD6FF1" w:rsidRPr="00653DB7" w:rsidRDefault="00DD6FF1" w:rsidP="00063948">
      <w:pPr>
        <w:pStyle w:val="ListParagraph"/>
        <w:widowControl/>
        <w:numPr>
          <w:ilvl w:val="0"/>
          <w:numId w:val="10"/>
        </w:numPr>
        <w:spacing w:after="200" w:line="276" w:lineRule="auto"/>
        <w:ind w:left="2250" w:hanging="270"/>
        <w:rPr>
          <w:rFonts w:ascii="Arial" w:hAnsi="Arial" w:cs="Arial"/>
          <w:szCs w:val="24"/>
        </w:rPr>
      </w:pPr>
      <w:r w:rsidRPr="00653DB7">
        <w:rPr>
          <w:rFonts w:ascii="Arial" w:hAnsi="Arial" w:cs="Arial"/>
          <w:szCs w:val="24"/>
        </w:rPr>
        <w:t>If the instrument will not be in use for over 3 days, remove all reagent packs and keep refrigerated.</w:t>
      </w:r>
    </w:p>
    <w:p w:rsidR="00DD6FF1" w:rsidRPr="00653DB7" w:rsidRDefault="00DD6FF1" w:rsidP="00063948">
      <w:pPr>
        <w:pStyle w:val="ListParagraph"/>
        <w:widowControl/>
        <w:numPr>
          <w:ilvl w:val="0"/>
          <w:numId w:val="10"/>
        </w:numPr>
        <w:spacing w:after="200" w:line="276" w:lineRule="auto"/>
        <w:ind w:left="2250" w:hanging="270"/>
        <w:rPr>
          <w:rFonts w:ascii="Arial" w:hAnsi="Arial" w:cs="Arial"/>
          <w:szCs w:val="24"/>
        </w:rPr>
      </w:pPr>
      <w:r w:rsidRPr="00653DB7">
        <w:rPr>
          <w:rFonts w:ascii="Arial" w:hAnsi="Arial" w:cs="Arial"/>
          <w:szCs w:val="24"/>
        </w:rPr>
        <w:t>Ensure that the instrument is not processing samples or performing maintenance.</w:t>
      </w:r>
    </w:p>
    <w:p w:rsidR="00DD6FF1" w:rsidRPr="00653DB7" w:rsidRDefault="00DD6FF1" w:rsidP="00063948">
      <w:pPr>
        <w:pStyle w:val="ListParagraph"/>
        <w:widowControl/>
        <w:numPr>
          <w:ilvl w:val="0"/>
          <w:numId w:val="10"/>
        </w:numPr>
        <w:spacing w:after="200" w:line="276" w:lineRule="auto"/>
        <w:ind w:left="2250" w:hanging="270"/>
        <w:rPr>
          <w:rFonts w:ascii="Arial" w:hAnsi="Arial" w:cs="Arial"/>
          <w:szCs w:val="24"/>
        </w:rPr>
      </w:pPr>
      <w:r w:rsidRPr="00653DB7">
        <w:rPr>
          <w:rFonts w:ascii="Arial" w:hAnsi="Arial" w:cs="Arial"/>
          <w:szCs w:val="24"/>
        </w:rPr>
        <w:t>Touch the “SHUTDOWN” button on the Maintenance Calendar workspace to open the shutdown dialog box.</w:t>
      </w:r>
    </w:p>
    <w:p w:rsidR="00DD6FF1" w:rsidRPr="00653DB7" w:rsidRDefault="00DD6FF1" w:rsidP="00063948">
      <w:pPr>
        <w:pStyle w:val="ListParagraph"/>
        <w:widowControl/>
        <w:numPr>
          <w:ilvl w:val="0"/>
          <w:numId w:val="10"/>
        </w:numPr>
        <w:spacing w:after="200" w:line="276" w:lineRule="auto"/>
        <w:ind w:left="2250" w:hanging="270"/>
        <w:rPr>
          <w:rFonts w:ascii="Arial" w:hAnsi="Arial" w:cs="Arial"/>
          <w:szCs w:val="24"/>
        </w:rPr>
      </w:pPr>
      <w:r w:rsidRPr="00653DB7">
        <w:rPr>
          <w:rFonts w:ascii="Arial" w:hAnsi="Arial" w:cs="Arial"/>
          <w:szCs w:val="24"/>
        </w:rPr>
        <w:t>Touch “CONTINUE” to begin the instrument shut down procedures, which take approximately three minutes to complete.</w:t>
      </w:r>
    </w:p>
    <w:p w:rsidR="00DD6FF1" w:rsidRPr="00653DB7" w:rsidRDefault="00DD6FF1" w:rsidP="00063948">
      <w:pPr>
        <w:pStyle w:val="ListParagraph"/>
        <w:widowControl/>
        <w:numPr>
          <w:ilvl w:val="0"/>
          <w:numId w:val="10"/>
        </w:numPr>
        <w:spacing w:after="200" w:line="276" w:lineRule="auto"/>
        <w:ind w:left="2250" w:hanging="270"/>
        <w:rPr>
          <w:rFonts w:ascii="Arial" w:hAnsi="Arial" w:cs="Arial"/>
          <w:szCs w:val="24"/>
        </w:rPr>
      </w:pPr>
      <w:r w:rsidRPr="00653DB7">
        <w:rPr>
          <w:rFonts w:ascii="Arial" w:hAnsi="Arial" w:cs="Arial"/>
          <w:szCs w:val="24"/>
        </w:rPr>
        <w:t xml:space="preserve">Once the computer has </w:t>
      </w:r>
      <w:r w:rsidR="00207239" w:rsidRPr="00653DB7">
        <w:rPr>
          <w:rFonts w:ascii="Arial" w:hAnsi="Arial" w:cs="Arial"/>
          <w:szCs w:val="24"/>
        </w:rPr>
        <w:t>shut down</w:t>
      </w:r>
      <w:r w:rsidRPr="00653DB7">
        <w:rPr>
          <w:rFonts w:ascii="Arial" w:hAnsi="Arial" w:cs="Arial"/>
          <w:szCs w:val="24"/>
        </w:rPr>
        <w:t xml:space="preserve"> and powered itself off, turn off the </w:t>
      </w:r>
      <w:proofErr w:type="spellStart"/>
      <w:r w:rsidRPr="00653DB7">
        <w:rPr>
          <w:rFonts w:ascii="Arial" w:hAnsi="Arial" w:cs="Arial"/>
          <w:szCs w:val="24"/>
        </w:rPr>
        <w:t>BioPlex</w:t>
      </w:r>
      <w:proofErr w:type="spellEnd"/>
      <w:r w:rsidRPr="00653DB7">
        <w:rPr>
          <w:rFonts w:ascii="Arial" w:hAnsi="Arial" w:cs="Arial"/>
          <w:szCs w:val="24"/>
        </w:rPr>
        <w:t xml:space="preserve"> 2200 using the main power switch on the right outside panel of the instrument.</w:t>
      </w:r>
    </w:p>
    <w:p w:rsidR="00DD6FF1" w:rsidRPr="00653DB7" w:rsidRDefault="00DD6FF1" w:rsidP="00DD6FF1">
      <w:pPr>
        <w:pStyle w:val="ListParagraph"/>
        <w:ind w:left="2520"/>
        <w:rPr>
          <w:rFonts w:ascii="Arial" w:hAnsi="Arial" w:cs="Arial"/>
          <w:szCs w:val="24"/>
        </w:rPr>
      </w:pPr>
    </w:p>
    <w:p w:rsidR="00DD6FF1" w:rsidRPr="00653DB7" w:rsidRDefault="00DD6FF1" w:rsidP="00DD6FF1">
      <w:pPr>
        <w:pStyle w:val="ListParagraph"/>
        <w:ind w:left="2520"/>
        <w:rPr>
          <w:rFonts w:ascii="Arial" w:hAnsi="Arial" w:cs="Arial"/>
          <w:szCs w:val="24"/>
        </w:rPr>
      </w:pPr>
      <w:r w:rsidRPr="00653DB7">
        <w:rPr>
          <w:rFonts w:ascii="Arial" w:hAnsi="Arial" w:cs="Arial"/>
          <w:szCs w:val="24"/>
        </w:rPr>
        <w:t xml:space="preserve">*Detailed description of the end of shift procedure may be found in section 9.6 of the </w:t>
      </w:r>
      <w:proofErr w:type="spellStart"/>
      <w:r w:rsidRPr="00653DB7">
        <w:rPr>
          <w:rFonts w:ascii="Arial" w:hAnsi="Arial" w:cs="Arial"/>
          <w:szCs w:val="24"/>
        </w:rPr>
        <w:t>BioPlex</w:t>
      </w:r>
      <w:proofErr w:type="spellEnd"/>
      <w:r w:rsidRPr="00653DB7">
        <w:rPr>
          <w:rFonts w:ascii="Arial" w:hAnsi="Arial" w:cs="Arial"/>
          <w:szCs w:val="24"/>
        </w:rPr>
        <w:t xml:space="preserve"> 2200 System Operation Manual.</w:t>
      </w:r>
      <w:r w:rsidRPr="00653DB7">
        <w:rPr>
          <w:rFonts w:ascii="Arial" w:hAnsi="Arial" w:cs="Arial"/>
          <w:szCs w:val="24"/>
        </w:rPr>
        <w:tab/>
      </w:r>
    </w:p>
    <w:p w:rsidR="00DD6FF1" w:rsidRPr="00653DB7" w:rsidRDefault="00DD6FF1" w:rsidP="00063948">
      <w:pPr>
        <w:tabs>
          <w:tab w:val="left" w:pos="-720"/>
          <w:tab w:val="num" w:pos="810"/>
        </w:tabs>
        <w:suppressAutoHyphens/>
        <w:jc w:val="both"/>
        <w:rPr>
          <w:rFonts w:ascii="Arial" w:hAnsi="Arial" w:cs="Arial"/>
          <w:b/>
          <w:szCs w:val="24"/>
        </w:rPr>
      </w:pPr>
    </w:p>
    <w:p w:rsidR="00DD6FF1" w:rsidRPr="00653DB7" w:rsidRDefault="00DD6FF1" w:rsidP="00063948">
      <w:pPr>
        <w:numPr>
          <w:ilvl w:val="0"/>
          <w:numId w:val="1"/>
        </w:numPr>
        <w:tabs>
          <w:tab w:val="clear" w:pos="1080"/>
          <w:tab w:val="left" w:pos="-720"/>
          <w:tab w:val="left" w:pos="720"/>
          <w:tab w:val="num" w:pos="810"/>
        </w:tabs>
        <w:suppressAutoHyphens/>
        <w:ind w:hanging="1080"/>
        <w:jc w:val="both"/>
        <w:rPr>
          <w:rFonts w:ascii="Arial" w:hAnsi="Arial" w:cs="Arial"/>
          <w:b/>
          <w:szCs w:val="24"/>
        </w:rPr>
      </w:pPr>
      <w:r w:rsidRPr="00653DB7">
        <w:rPr>
          <w:rFonts w:ascii="Arial" w:hAnsi="Arial" w:cs="Arial"/>
          <w:b/>
          <w:szCs w:val="24"/>
        </w:rPr>
        <w:t>REPORTING RESULTS</w:t>
      </w:r>
    </w:p>
    <w:p w:rsidR="00DD6FF1" w:rsidRPr="00653DB7" w:rsidRDefault="00DD6FF1" w:rsidP="00063948">
      <w:pPr>
        <w:pStyle w:val="SectionSubheaderinTOC"/>
        <w:numPr>
          <w:ilvl w:val="0"/>
          <w:numId w:val="18"/>
        </w:numPr>
        <w:jc w:val="both"/>
        <w:rPr>
          <w:rFonts w:ascii="Arial" w:hAnsi="Arial" w:cs="Arial"/>
          <w:b/>
          <w:sz w:val="24"/>
          <w:szCs w:val="24"/>
        </w:rPr>
      </w:pPr>
      <w:r w:rsidRPr="00653DB7">
        <w:rPr>
          <w:rFonts w:ascii="Arial" w:hAnsi="Arial" w:cs="Arial"/>
          <w:b/>
          <w:sz w:val="24"/>
          <w:szCs w:val="24"/>
        </w:rPr>
        <w:t>Calculation</w:t>
      </w:r>
    </w:p>
    <w:p w:rsidR="00DD6FF1" w:rsidRPr="00653DB7" w:rsidRDefault="00DD6FF1" w:rsidP="00DD6FF1">
      <w:pPr>
        <w:pStyle w:val="TextwithPPSpace"/>
        <w:ind w:left="1080"/>
        <w:jc w:val="both"/>
        <w:rPr>
          <w:rFonts w:ascii="Arial" w:hAnsi="Arial" w:cs="Arial"/>
          <w:sz w:val="24"/>
          <w:szCs w:val="24"/>
        </w:rPr>
      </w:pPr>
      <w:r w:rsidRPr="00653DB7">
        <w:rPr>
          <w:rFonts w:ascii="Arial" w:hAnsi="Arial" w:cs="Arial"/>
          <w:sz w:val="24"/>
          <w:szCs w:val="24"/>
        </w:rPr>
        <w:t xml:space="preserve">All calculations necessary to interpret the results are performed automatically by the </w:t>
      </w:r>
      <w:proofErr w:type="spellStart"/>
      <w:r w:rsidRPr="00653DB7">
        <w:rPr>
          <w:rFonts w:ascii="Arial" w:hAnsi="Arial" w:cs="Arial"/>
          <w:sz w:val="24"/>
          <w:szCs w:val="24"/>
        </w:rPr>
        <w:t>BioPlex</w:t>
      </w:r>
      <w:proofErr w:type="spellEnd"/>
      <w:r w:rsidRPr="00653DB7">
        <w:rPr>
          <w:rFonts w:ascii="Arial" w:hAnsi="Arial" w:cs="Arial"/>
          <w:sz w:val="24"/>
          <w:szCs w:val="24"/>
        </w:rPr>
        <w:t xml:space="preserve"> 2200 System Software.</w:t>
      </w:r>
    </w:p>
    <w:p w:rsidR="00DD6FF1" w:rsidRPr="00653DB7" w:rsidRDefault="00DD6FF1" w:rsidP="00DD6FF1">
      <w:pPr>
        <w:pStyle w:val="CLSI-text"/>
        <w:ind w:left="1080"/>
        <w:jc w:val="both"/>
        <w:rPr>
          <w:color w:val="000000"/>
          <w:sz w:val="24"/>
          <w:szCs w:val="24"/>
        </w:rPr>
      </w:pPr>
      <w:r w:rsidRPr="00653DB7">
        <w:rPr>
          <w:color w:val="000000"/>
          <w:sz w:val="24"/>
          <w:szCs w:val="24"/>
        </w:rPr>
        <w:lastRenderedPageBreak/>
        <w:t>Test results are reported numerically:</w:t>
      </w:r>
    </w:p>
    <w:p w:rsidR="00DD6FF1" w:rsidRPr="00653DB7" w:rsidRDefault="00DD6FF1" w:rsidP="00DD6FF1">
      <w:pPr>
        <w:pStyle w:val="CLSI-text"/>
        <w:ind w:left="1080"/>
        <w:jc w:val="both"/>
        <w:rPr>
          <w:b/>
          <w:color w:val="000000"/>
          <w:sz w:val="24"/>
          <w:szCs w:val="24"/>
        </w:rPr>
      </w:pPr>
      <w:r w:rsidRPr="00653DB7">
        <w:rPr>
          <w:b/>
          <w:color w:val="000000"/>
          <w:sz w:val="24"/>
          <w:szCs w:val="24"/>
          <w:u w:val="single"/>
        </w:rPr>
        <w:t>Linear Range</w:t>
      </w:r>
      <w:r w:rsidRPr="00653DB7">
        <w:rPr>
          <w:b/>
          <w:color w:val="000000"/>
          <w:sz w:val="24"/>
          <w:szCs w:val="24"/>
        </w:rPr>
        <w:t>: 0.2 – 4.0 AI</w:t>
      </w:r>
    </w:p>
    <w:p w:rsidR="00DD6FF1" w:rsidRPr="00653DB7" w:rsidRDefault="00DD6FF1" w:rsidP="00DD6FF1">
      <w:pPr>
        <w:pStyle w:val="CLSI-text"/>
        <w:ind w:left="1080"/>
        <w:jc w:val="both"/>
        <w:rPr>
          <w:b/>
          <w:color w:val="000000"/>
          <w:sz w:val="24"/>
          <w:szCs w:val="24"/>
        </w:rPr>
      </w:pPr>
      <w:r w:rsidRPr="00653DB7">
        <w:rPr>
          <w:b/>
          <w:color w:val="000000"/>
          <w:sz w:val="24"/>
          <w:szCs w:val="24"/>
          <w:u w:val="single"/>
        </w:rPr>
        <w:t>CRR Range</w:t>
      </w:r>
      <w:r w:rsidRPr="00653DB7">
        <w:rPr>
          <w:b/>
          <w:color w:val="000000"/>
          <w:sz w:val="24"/>
          <w:szCs w:val="24"/>
        </w:rPr>
        <w:t>: 0.2 – 4.0 AI</w:t>
      </w:r>
    </w:p>
    <w:p w:rsidR="00C519EE" w:rsidRPr="00653DB7" w:rsidRDefault="00C519EE" w:rsidP="00DD6FF1">
      <w:pPr>
        <w:pStyle w:val="CLSI-text"/>
        <w:ind w:left="1080"/>
        <w:jc w:val="both"/>
        <w:rPr>
          <w:b/>
          <w:color w:val="000000"/>
          <w:sz w:val="24"/>
          <w:szCs w:val="24"/>
        </w:rPr>
      </w:pPr>
    </w:p>
    <w:p w:rsidR="00C519EE" w:rsidRPr="00653DB7" w:rsidRDefault="00C519EE" w:rsidP="00063948">
      <w:pPr>
        <w:pStyle w:val="SectionSubheaderinTOC"/>
        <w:numPr>
          <w:ilvl w:val="0"/>
          <w:numId w:val="18"/>
        </w:numPr>
        <w:spacing w:after="0"/>
        <w:jc w:val="both"/>
        <w:rPr>
          <w:rFonts w:ascii="Arial" w:hAnsi="Arial" w:cs="Arial"/>
          <w:b/>
          <w:sz w:val="24"/>
          <w:szCs w:val="24"/>
        </w:rPr>
      </w:pPr>
      <w:r w:rsidRPr="00653DB7">
        <w:rPr>
          <w:rFonts w:ascii="Arial" w:hAnsi="Arial" w:cs="Arial"/>
          <w:b/>
          <w:sz w:val="24"/>
          <w:szCs w:val="24"/>
        </w:rPr>
        <w:t>Data Analysis</w:t>
      </w:r>
    </w:p>
    <w:p w:rsidR="00C519EE" w:rsidRPr="00653DB7" w:rsidRDefault="00C519EE" w:rsidP="00C519EE">
      <w:pPr>
        <w:pStyle w:val="CLSI-text"/>
        <w:ind w:left="1080"/>
        <w:jc w:val="both"/>
        <w:rPr>
          <w:color w:val="000000"/>
          <w:sz w:val="24"/>
          <w:szCs w:val="24"/>
        </w:rPr>
      </w:pPr>
      <w:r w:rsidRPr="00653DB7">
        <w:rPr>
          <w:color w:val="000000"/>
          <w:sz w:val="24"/>
          <w:szCs w:val="24"/>
        </w:rPr>
        <w:t xml:space="preserve">The results for </w:t>
      </w:r>
      <w:proofErr w:type="spellStart"/>
      <w:r w:rsidR="003E7AF9" w:rsidRPr="00653DB7">
        <w:rPr>
          <w:color w:val="000000"/>
          <w:sz w:val="24"/>
          <w:szCs w:val="24"/>
        </w:rPr>
        <w:t>ToRC</w:t>
      </w:r>
      <w:proofErr w:type="spellEnd"/>
      <w:r w:rsidRPr="00653DB7">
        <w:rPr>
          <w:color w:val="000000"/>
          <w:sz w:val="24"/>
          <w:szCs w:val="24"/>
        </w:rPr>
        <w:t xml:space="preserve"> IgM antibodies shown in Table A are expressed in antibody index (AI).  </w:t>
      </w:r>
    </w:p>
    <w:p w:rsidR="00331BEC" w:rsidRDefault="00C519EE" w:rsidP="00C519EE">
      <w:pPr>
        <w:pStyle w:val="CLSI-text"/>
        <w:ind w:left="1080"/>
        <w:jc w:val="both"/>
        <w:rPr>
          <w:color w:val="000000"/>
          <w:sz w:val="24"/>
          <w:szCs w:val="24"/>
        </w:rPr>
      </w:pPr>
      <w:r w:rsidRPr="00653DB7">
        <w:rPr>
          <w:color w:val="000000"/>
          <w:sz w:val="24"/>
          <w:szCs w:val="24"/>
        </w:rPr>
        <w:t>The cut-off values and assignment of the calibrators are determined by performing concordance and Receiver Operator Characteristic (ROC) analysis using predicate r</w:t>
      </w:r>
      <w:r w:rsidR="006C0053">
        <w:rPr>
          <w:color w:val="000000"/>
          <w:sz w:val="24"/>
          <w:szCs w:val="24"/>
        </w:rPr>
        <w:t xml:space="preserve">esults as the standard.  </w:t>
      </w:r>
    </w:p>
    <w:p w:rsidR="006C0053" w:rsidRPr="00653DB7" w:rsidRDefault="006C0053" w:rsidP="00C519EE">
      <w:pPr>
        <w:pStyle w:val="CLSI-text"/>
        <w:ind w:left="1080"/>
        <w:jc w:val="both"/>
        <w:rPr>
          <w:color w:val="000000"/>
          <w:sz w:val="24"/>
          <w:szCs w:val="24"/>
        </w:rPr>
      </w:pPr>
      <w:r>
        <w:rPr>
          <w:color w:val="000000"/>
          <w:sz w:val="24"/>
          <w:szCs w:val="24"/>
        </w:rPr>
        <w:t>Table A:</w:t>
      </w:r>
    </w:p>
    <w:tbl>
      <w:tblPr>
        <w:tblW w:w="7523" w:type="dxa"/>
        <w:tblInd w:w="1455" w:type="dxa"/>
        <w:tblLook w:val="04A0" w:firstRow="1" w:lastRow="0" w:firstColumn="1" w:lastColumn="0" w:noHBand="0" w:noVBand="1"/>
      </w:tblPr>
      <w:tblGrid>
        <w:gridCol w:w="1075"/>
        <w:gridCol w:w="1170"/>
        <w:gridCol w:w="5278"/>
      </w:tblGrid>
      <w:tr w:rsidR="00FE3CAB" w:rsidRPr="00207239" w:rsidTr="00063948">
        <w:trPr>
          <w:trHeight w:val="300"/>
        </w:trPr>
        <w:tc>
          <w:tcPr>
            <w:tcW w:w="7523" w:type="dxa"/>
            <w:gridSpan w:val="3"/>
            <w:tcBorders>
              <w:top w:val="nil"/>
              <w:left w:val="nil"/>
              <w:bottom w:val="nil"/>
              <w:right w:val="nil"/>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proofErr w:type="spellStart"/>
            <w:r w:rsidRPr="00207239">
              <w:rPr>
                <w:rFonts w:ascii="Arial" w:hAnsi="Arial" w:cs="Arial"/>
                <w:snapToGrid/>
                <w:color w:val="000000"/>
                <w:sz w:val="22"/>
                <w:szCs w:val="22"/>
              </w:rPr>
              <w:t>T.gondi</w:t>
            </w:r>
            <w:proofErr w:type="spellEnd"/>
            <w:r w:rsidRPr="00207239">
              <w:rPr>
                <w:rFonts w:ascii="Arial" w:hAnsi="Arial" w:cs="Arial"/>
                <w:snapToGrid/>
                <w:color w:val="000000"/>
                <w:sz w:val="22"/>
                <w:szCs w:val="22"/>
              </w:rPr>
              <w:t>, Rubella and CMV IgM Interpretation</w:t>
            </w:r>
          </w:p>
        </w:tc>
      </w:tr>
      <w:tr w:rsidR="00FE3CAB" w:rsidRPr="00207239" w:rsidTr="00063948">
        <w:trPr>
          <w:trHeight w:val="300"/>
        </w:trPr>
        <w:tc>
          <w:tcPr>
            <w:tcW w:w="1075" w:type="dxa"/>
            <w:tcBorders>
              <w:top w:val="nil"/>
              <w:left w:val="nil"/>
              <w:bottom w:val="nil"/>
              <w:right w:val="nil"/>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p>
        </w:tc>
        <w:tc>
          <w:tcPr>
            <w:tcW w:w="1170" w:type="dxa"/>
            <w:tcBorders>
              <w:top w:val="nil"/>
              <w:left w:val="nil"/>
              <w:bottom w:val="nil"/>
              <w:right w:val="nil"/>
            </w:tcBorders>
            <w:shd w:val="clear" w:color="auto" w:fill="auto"/>
            <w:noWrap/>
            <w:vAlign w:val="bottom"/>
            <w:hideMark/>
          </w:tcPr>
          <w:p w:rsidR="00FE3CAB" w:rsidRPr="00207239" w:rsidRDefault="00FE3CAB" w:rsidP="00FE3CAB">
            <w:pPr>
              <w:widowControl/>
              <w:rPr>
                <w:rFonts w:ascii="Arial" w:hAnsi="Arial" w:cs="Arial"/>
                <w:snapToGrid/>
                <w:sz w:val="20"/>
              </w:rPr>
            </w:pPr>
          </w:p>
        </w:tc>
        <w:tc>
          <w:tcPr>
            <w:tcW w:w="5278" w:type="dxa"/>
            <w:tcBorders>
              <w:top w:val="nil"/>
              <w:left w:val="nil"/>
              <w:bottom w:val="nil"/>
              <w:right w:val="nil"/>
            </w:tcBorders>
            <w:shd w:val="clear" w:color="auto" w:fill="auto"/>
            <w:noWrap/>
            <w:vAlign w:val="bottom"/>
            <w:hideMark/>
          </w:tcPr>
          <w:p w:rsidR="00FE3CAB" w:rsidRPr="00207239" w:rsidRDefault="00FE3CAB" w:rsidP="00FE3CAB">
            <w:pPr>
              <w:widowControl/>
              <w:rPr>
                <w:rFonts w:ascii="Arial" w:hAnsi="Arial" w:cs="Arial"/>
                <w:snapToGrid/>
                <w:sz w:val="20"/>
              </w:rPr>
            </w:pPr>
          </w:p>
        </w:tc>
      </w:tr>
      <w:tr w:rsidR="00FE3CAB" w:rsidRPr="00207239" w:rsidTr="00063948">
        <w:trPr>
          <w:trHeight w:val="390"/>
        </w:trPr>
        <w:tc>
          <w:tcPr>
            <w:tcW w:w="1075" w:type="dxa"/>
            <w:tcBorders>
              <w:top w:val="single" w:sz="4" w:space="0" w:color="auto"/>
              <w:left w:val="single" w:sz="4" w:space="0" w:color="auto"/>
              <w:bottom w:val="nil"/>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r w:rsidRPr="00207239">
              <w:rPr>
                <w:rFonts w:ascii="Arial" w:hAnsi="Arial" w:cs="Arial"/>
                <w:snapToGrid/>
                <w:color w:val="000000"/>
                <w:sz w:val="22"/>
                <w:szCs w:val="22"/>
              </w:rPr>
              <w:t>Result</w:t>
            </w:r>
          </w:p>
        </w:tc>
        <w:tc>
          <w:tcPr>
            <w:tcW w:w="1170" w:type="dxa"/>
            <w:tcBorders>
              <w:top w:val="single" w:sz="4" w:space="0" w:color="auto"/>
              <w:left w:val="nil"/>
              <w:bottom w:val="nil"/>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r w:rsidRPr="00207239">
              <w:rPr>
                <w:rFonts w:ascii="Arial" w:hAnsi="Arial" w:cs="Arial"/>
                <w:snapToGrid/>
                <w:color w:val="000000"/>
                <w:sz w:val="22"/>
                <w:szCs w:val="22"/>
              </w:rPr>
              <w:t>Status</w:t>
            </w:r>
          </w:p>
        </w:tc>
        <w:tc>
          <w:tcPr>
            <w:tcW w:w="5278" w:type="dxa"/>
            <w:tcBorders>
              <w:top w:val="single" w:sz="4" w:space="0" w:color="auto"/>
              <w:left w:val="nil"/>
              <w:bottom w:val="nil"/>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r w:rsidRPr="00207239">
              <w:rPr>
                <w:rFonts w:ascii="Arial" w:hAnsi="Arial" w:cs="Arial"/>
                <w:snapToGrid/>
                <w:color w:val="000000"/>
                <w:sz w:val="22"/>
                <w:szCs w:val="22"/>
              </w:rPr>
              <w:t>Interpretation</w:t>
            </w:r>
          </w:p>
        </w:tc>
      </w:tr>
      <w:tr w:rsidR="00FE3CAB" w:rsidRPr="00207239" w:rsidTr="00063948">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r w:rsidRPr="00207239">
              <w:rPr>
                <w:rFonts w:ascii="Arial" w:hAnsi="Arial" w:cs="Arial"/>
                <w:snapToGrid/>
                <w:color w:val="000000"/>
                <w:sz w:val="22"/>
                <w:szCs w:val="22"/>
              </w:rPr>
              <w:t>≤ 0.8 AI</w:t>
            </w:r>
          </w:p>
        </w:tc>
        <w:tc>
          <w:tcPr>
            <w:tcW w:w="1170" w:type="dxa"/>
            <w:tcBorders>
              <w:top w:val="nil"/>
              <w:left w:val="nil"/>
              <w:bottom w:val="single" w:sz="4" w:space="0" w:color="auto"/>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r w:rsidRPr="00207239">
              <w:rPr>
                <w:rFonts w:ascii="Arial" w:hAnsi="Arial" w:cs="Arial"/>
                <w:snapToGrid/>
                <w:color w:val="000000"/>
                <w:sz w:val="22"/>
                <w:szCs w:val="22"/>
              </w:rPr>
              <w:t>Negative</w:t>
            </w:r>
          </w:p>
        </w:tc>
        <w:tc>
          <w:tcPr>
            <w:tcW w:w="5278" w:type="dxa"/>
            <w:tcBorders>
              <w:top w:val="nil"/>
              <w:left w:val="nil"/>
              <w:bottom w:val="single" w:sz="4" w:space="0" w:color="auto"/>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proofErr w:type="spellStart"/>
            <w:r w:rsidRPr="00207239">
              <w:rPr>
                <w:rFonts w:ascii="Arial" w:hAnsi="Arial" w:cs="Arial"/>
                <w:snapToGrid/>
                <w:color w:val="000000"/>
                <w:sz w:val="22"/>
                <w:szCs w:val="22"/>
              </w:rPr>
              <w:t>ToRC</w:t>
            </w:r>
            <w:proofErr w:type="spellEnd"/>
            <w:r w:rsidRPr="00207239">
              <w:rPr>
                <w:rFonts w:ascii="Arial" w:hAnsi="Arial" w:cs="Arial"/>
                <w:snapToGrid/>
                <w:color w:val="000000"/>
                <w:sz w:val="22"/>
                <w:szCs w:val="22"/>
              </w:rPr>
              <w:t xml:space="preserve"> IgM antibodies were not detected</w:t>
            </w:r>
          </w:p>
        </w:tc>
      </w:tr>
      <w:tr w:rsidR="00FE3CAB" w:rsidRPr="00207239" w:rsidTr="00063948">
        <w:trPr>
          <w:trHeight w:val="600"/>
        </w:trPr>
        <w:tc>
          <w:tcPr>
            <w:tcW w:w="1075" w:type="dxa"/>
            <w:tcBorders>
              <w:top w:val="nil"/>
              <w:left w:val="single" w:sz="4" w:space="0" w:color="auto"/>
              <w:bottom w:val="nil"/>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r w:rsidRPr="00207239">
              <w:rPr>
                <w:rFonts w:ascii="Arial" w:hAnsi="Arial" w:cs="Arial"/>
                <w:snapToGrid/>
                <w:color w:val="000000"/>
                <w:sz w:val="22"/>
                <w:szCs w:val="22"/>
              </w:rPr>
              <w:t>0.9, 1.0 AI</w:t>
            </w:r>
          </w:p>
        </w:tc>
        <w:tc>
          <w:tcPr>
            <w:tcW w:w="1170" w:type="dxa"/>
            <w:tcBorders>
              <w:top w:val="nil"/>
              <w:left w:val="nil"/>
              <w:bottom w:val="nil"/>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r w:rsidRPr="00207239">
              <w:rPr>
                <w:rFonts w:ascii="Arial" w:hAnsi="Arial" w:cs="Arial"/>
                <w:snapToGrid/>
                <w:color w:val="000000"/>
                <w:sz w:val="22"/>
                <w:szCs w:val="22"/>
              </w:rPr>
              <w:t>Equivocal</w:t>
            </w:r>
          </w:p>
        </w:tc>
        <w:tc>
          <w:tcPr>
            <w:tcW w:w="5278" w:type="dxa"/>
            <w:tcBorders>
              <w:top w:val="nil"/>
              <w:left w:val="nil"/>
              <w:bottom w:val="nil"/>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proofErr w:type="spellStart"/>
            <w:r w:rsidRPr="00207239">
              <w:rPr>
                <w:rFonts w:ascii="Arial" w:hAnsi="Arial" w:cs="Arial"/>
                <w:snapToGrid/>
                <w:color w:val="000000"/>
                <w:sz w:val="22"/>
                <w:szCs w:val="22"/>
              </w:rPr>
              <w:t>Equivicol</w:t>
            </w:r>
            <w:proofErr w:type="spellEnd"/>
            <w:r w:rsidRPr="00207239">
              <w:rPr>
                <w:rFonts w:ascii="Arial" w:hAnsi="Arial" w:cs="Arial"/>
                <w:snapToGrid/>
                <w:color w:val="000000"/>
                <w:sz w:val="22"/>
                <w:szCs w:val="22"/>
              </w:rPr>
              <w:t xml:space="preserve"> results </w:t>
            </w:r>
            <w:proofErr w:type="spellStart"/>
            <w:r w:rsidRPr="00207239">
              <w:rPr>
                <w:rFonts w:ascii="Arial" w:hAnsi="Arial" w:cs="Arial"/>
                <w:snapToGrid/>
                <w:color w:val="000000"/>
                <w:sz w:val="22"/>
                <w:szCs w:val="22"/>
              </w:rPr>
              <w:t>ToRC</w:t>
            </w:r>
            <w:proofErr w:type="spellEnd"/>
            <w:r w:rsidRPr="00207239">
              <w:rPr>
                <w:rFonts w:ascii="Arial" w:hAnsi="Arial" w:cs="Arial"/>
                <w:snapToGrid/>
                <w:color w:val="000000"/>
                <w:sz w:val="22"/>
                <w:szCs w:val="22"/>
              </w:rPr>
              <w:t xml:space="preserve"> M status not determined.  </w:t>
            </w:r>
          </w:p>
        </w:tc>
      </w:tr>
      <w:tr w:rsidR="00FE3CAB" w:rsidRPr="00207239" w:rsidTr="00063948">
        <w:trPr>
          <w:trHeight w:val="300"/>
        </w:trPr>
        <w:tc>
          <w:tcPr>
            <w:tcW w:w="1075" w:type="dxa"/>
            <w:tcBorders>
              <w:top w:val="nil"/>
              <w:left w:val="single" w:sz="4" w:space="0" w:color="auto"/>
              <w:bottom w:val="nil"/>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r w:rsidRPr="00207239">
              <w:rPr>
                <w:rFonts w:ascii="Arial" w:hAnsi="Arial" w:cs="Arial"/>
                <w:snapToGrid/>
                <w:color w:val="000000"/>
                <w:sz w:val="22"/>
                <w:szCs w:val="22"/>
              </w:rPr>
              <w:t> </w:t>
            </w:r>
          </w:p>
        </w:tc>
        <w:tc>
          <w:tcPr>
            <w:tcW w:w="1170" w:type="dxa"/>
            <w:tcBorders>
              <w:top w:val="nil"/>
              <w:left w:val="nil"/>
              <w:bottom w:val="nil"/>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r w:rsidRPr="00207239">
              <w:rPr>
                <w:rFonts w:ascii="Arial" w:hAnsi="Arial" w:cs="Arial"/>
                <w:snapToGrid/>
                <w:color w:val="000000"/>
                <w:sz w:val="22"/>
                <w:szCs w:val="22"/>
              </w:rPr>
              <w:t> </w:t>
            </w:r>
          </w:p>
        </w:tc>
        <w:tc>
          <w:tcPr>
            <w:tcW w:w="5278" w:type="dxa"/>
            <w:tcBorders>
              <w:top w:val="nil"/>
              <w:left w:val="nil"/>
              <w:bottom w:val="nil"/>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r w:rsidRPr="00207239">
              <w:rPr>
                <w:rFonts w:ascii="Arial" w:hAnsi="Arial" w:cs="Arial"/>
                <w:snapToGrid/>
                <w:color w:val="000000"/>
                <w:sz w:val="22"/>
                <w:szCs w:val="22"/>
              </w:rPr>
              <w:t>Obtain an additional sample within an appropriate</w:t>
            </w:r>
          </w:p>
        </w:tc>
      </w:tr>
      <w:tr w:rsidR="00FE3CAB" w:rsidRPr="00207239" w:rsidTr="00063948">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r w:rsidRPr="00207239">
              <w:rPr>
                <w:rFonts w:ascii="Arial" w:hAnsi="Arial" w:cs="Arial"/>
                <w:snapToGrid/>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r w:rsidRPr="00207239">
              <w:rPr>
                <w:rFonts w:ascii="Arial" w:hAnsi="Arial" w:cs="Arial"/>
                <w:snapToGrid/>
                <w:color w:val="000000"/>
                <w:sz w:val="22"/>
                <w:szCs w:val="22"/>
              </w:rPr>
              <w:t> </w:t>
            </w:r>
          </w:p>
        </w:tc>
        <w:tc>
          <w:tcPr>
            <w:tcW w:w="5278" w:type="dxa"/>
            <w:tcBorders>
              <w:top w:val="nil"/>
              <w:left w:val="nil"/>
              <w:bottom w:val="single" w:sz="4" w:space="0" w:color="auto"/>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proofErr w:type="gramStart"/>
            <w:r w:rsidRPr="00207239">
              <w:rPr>
                <w:rFonts w:ascii="Arial" w:hAnsi="Arial" w:cs="Arial"/>
                <w:snapToGrid/>
                <w:color w:val="000000"/>
                <w:sz w:val="22"/>
                <w:szCs w:val="22"/>
              </w:rPr>
              <w:t>timeframe</w:t>
            </w:r>
            <w:proofErr w:type="gramEnd"/>
            <w:r w:rsidRPr="00207239">
              <w:rPr>
                <w:rFonts w:ascii="Arial" w:hAnsi="Arial" w:cs="Arial"/>
                <w:snapToGrid/>
                <w:color w:val="000000"/>
                <w:sz w:val="22"/>
                <w:szCs w:val="22"/>
              </w:rPr>
              <w:t xml:space="preserve"> (collected in 2-3 weeks) for re-testing.</w:t>
            </w:r>
          </w:p>
        </w:tc>
      </w:tr>
      <w:tr w:rsidR="00FE3CAB" w:rsidRPr="00207239" w:rsidTr="00063948">
        <w:trPr>
          <w:trHeight w:val="615"/>
        </w:trPr>
        <w:tc>
          <w:tcPr>
            <w:tcW w:w="1075" w:type="dxa"/>
            <w:tcBorders>
              <w:top w:val="nil"/>
              <w:left w:val="single" w:sz="4" w:space="0" w:color="auto"/>
              <w:bottom w:val="nil"/>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r w:rsidRPr="00207239">
              <w:rPr>
                <w:rFonts w:ascii="Arial" w:hAnsi="Arial" w:cs="Arial"/>
                <w:snapToGrid/>
                <w:color w:val="000000"/>
                <w:sz w:val="22"/>
                <w:szCs w:val="22"/>
              </w:rPr>
              <w:t>≥ 1.1 AI</w:t>
            </w:r>
          </w:p>
        </w:tc>
        <w:tc>
          <w:tcPr>
            <w:tcW w:w="1170" w:type="dxa"/>
            <w:tcBorders>
              <w:top w:val="nil"/>
              <w:left w:val="nil"/>
              <w:bottom w:val="nil"/>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r w:rsidRPr="00207239">
              <w:rPr>
                <w:rFonts w:ascii="Arial" w:hAnsi="Arial" w:cs="Arial"/>
                <w:snapToGrid/>
                <w:color w:val="000000"/>
                <w:sz w:val="22"/>
                <w:szCs w:val="22"/>
              </w:rPr>
              <w:t>Positive</w:t>
            </w:r>
          </w:p>
        </w:tc>
        <w:tc>
          <w:tcPr>
            <w:tcW w:w="5278" w:type="dxa"/>
            <w:tcBorders>
              <w:top w:val="nil"/>
              <w:left w:val="nil"/>
              <w:bottom w:val="nil"/>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proofErr w:type="spellStart"/>
            <w:r w:rsidRPr="00207239">
              <w:rPr>
                <w:rFonts w:ascii="Arial" w:hAnsi="Arial" w:cs="Arial"/>
                <w:snapToGrid/>
                <w:color w:val="000000"/>
                <w:sz w:val="22"/>
                <w:szCs w:val="22"/>
              </w:rPr>
              <w:t>ToRC</w:t>
            </w:r>
            <w:proofErr w:type="spellEnd"/>
            <w:r w:rsidRPr="00207239">
              <w:rPr>
                <w:rFonts w:ascii="Arial" w:hAnsi="Arial" w:cs="Arial"/>
                <w:snapToGrid/>
                <w:color w:val="000000"/>
                <w:sz w:val="22"/>
                <w:szCs w:val="22"/>
              </w:rPr>
              <w:t xml:space="preserve"> IgM antibody(</w:t>
            </w:r>
            <w:proofErr w:type="spellStart"/>
            <w:r w:rsidRPr="00207239">
              <w:rPr>
                <w:rFonts w:ascii="Arial" w:hAnsi="Arial" w:cs="Arial"/>
                <w:snapToGrid/>
                <w:color w:val="000000"/>
                <w:sz w:val="22"/>
                <w:szCs w:val="22"/>
              </w:rPr>
              <w:t>ies</w:t>
            </w:r>
            <w:proofErr w:type="spellEnd"/>
            <w:r w:rsidRPr="00207239">
              <w:rPr>
                <w:rFonts w:ascii="Arial" w:hAnsi="Arial" w:cs="Arial"/>
                <w:snapToGrid/>
                <w:color w:val="000000"/>
                <w:sz w:val="22"/>
                <w:szCs w:val="22"/>
              </w:rPr>
              <w:t>) were detected which may</w:t>
            </w:r>
          </w:p>
        </w:tc>
      </w:tr>
      <w:tr w:rsidR="00FE3CAB" w:rsidRPr="00207239" w:rsidTr="00063948">
        <w:trPr>
          <w:trHeight w:val="300"/>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r w:rsidRPr="00207239">
              <w:rPr>
                <w:rFonts w:ascii="Arial" w:hAnsi="Arial" w:cs="Arial"/>
                <w:snapToGrid/>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r w:rsidRPr="00207239">
              <w:rPr>
                <w:rFonts w:ascii="Arial" w:hAnsi="Arial" w:cs="Arial"/>
                <w:snapToGrid/>
                <w:color w:val="000000"/>
                <w:sz w:val="22"/>
                <w:szCs w:val="22"/>
              </w:rPr>
              <w:t> </w:t>
            </w:r>
          </w:p>
        </w:tc>
        <w:tc>
          <w:tcPr>
            <w:tcW w:w="5278" w:type="dxa"/>
            <w:tcBorders>
              <w:top w:val="nil"/>
              <w:left w:val="nil"/>
              <w:bottom w:val="single" w:sz="4" w:space="0" w:color="auto"/>
              <w:right w:val="single" w:sz="4" w:space="0" w:color="auto"/>
            </w:tcBorders>
            <w:shd w:val="clear" w:color="auto" w:fill="auto"/>
            <w:noWrap/>
            <w:vAlign w:val="bottom"/>
            <w:hideMark/>
          </w:tcPr>
          <w:p w:rsidR="00FE3CAB" w:rsidRPr="00207239" w:rsidRDefault="00FE3CAB" w:rsidP="00FE3CAB">
            <w:pPr>
              <w:widowControl/>
              <w:rPr>
                <w:rFonts w:ascii="Arial" w:hAnsi="Arial" w:cs="Arial"/>
                <w:snapToGrid/>
                <w:color w:val="000000"/>
                <w:sz w:val="22"/>
                <w:szCs w:val="22"/>
              </w:rPr>
            </w:pPr>
            <w:proofErr w:type="gramStart"/>
            <w:r w:rsidRPr="00207239">
              <w:rPr>
                <w:rFonts w:ascii="Arial" w:hAnsi="Arial" w:cs="Arial"/>
                <w:snapToGrid/>
                <w:color w:val="000000"/>
                <w:sz w:val="22"/>
                <w:szCs w:val="22"/>
              </w:rPr>
              <w:t>indicate</w:t>
            </w:r>
            <w:proofErr w:type="gramEnd"/>
            <w:r w:rsidRPr="00207239">
              <w:rPr>
                <w:rFonts w:ascii="Arial" w:hAnsi="Arial" w:cs="Arial"/>
                <w:snapToGrid/>
                <w:color w:val="000000"/>
                <w:sz w:val="22"/>
                <w:szCs w:val="22"/>
              </w:rPr>
              <w:t xml:space="preserve"> a current or recent infection.</w:t>
            </w:r>
          </w:p>
        </w:tc>
      </w:tr>
    </w:tbl>
    <w:p w:rsidR="00207239" w:rsidRDefault="00207239" w:rsidP="00063948">
      <w:pPr>
        <w:pStyle w:val="CLSI-text"/>
        <w:jc w:val="both"/>
        <w:rPr>
          <w:b/>
          <w:color w:val="000000"/>
          <w:sz w:val="24"/>
          <w:szCs w:val="24"/>
        </w:rPr>
      </w:pPr>
    </w:p>
    <w:p w:rsidR="00207239" w:rsidRDefault="00207239" w:rsidP="00063948">
      <w:pPr>
        <w:pStyle w:val="Heading2"/>
        <w:ind w:left="1440"/>
        <w:rPr>
          <w:b w:val="0"/>
          <w:bCs w:val="0"/>
          <w:iCs w:val="0"/>
          <w:color w:val="000000"/>
          <w:szCs w:val="24"/>
        </w:rPr>
      </w:pPr>
      <w:r w:rsidRPr="00207239">
        <w:rPr>
          <w:b w:val="0"/>
          <w:bCs w:val="0"/>
          <w:iCs w:val="0"/>
          <w:color w:val="000000"/>
          <w:szCs w:val="24"/>
        </w:rPr>
        <w:t xml:space="preserve">The following table is a guide to general interpretation of Toxoplasma Serology Results (IgG &amp; IgM). It can be used to provide additional information for interpretation of </w:t>
      </w:r>
      <w:r w:rsidRPr="00207239">
        <w:rPr>
          <w:b w:val="0"/>
          <w:bCs w:val="0"/>
          <w:i/>
          <w:iCs w:val="0"/>
          <w:color w:val="000000"/>
          <w:szCs w:val="24"/>
        </w:rPr>
        <w:t xml:space="preserve">T. </w:t>
      </w:r>
      <w:proofErr w:type="spellStart"/>
      <w:r w:rsidRPr="00207239">
        <w:rPr>
          <w:b w:val="0"/>
          <w:bCs w:val="0"/>
          <w:i/>
          <w:iCs w:val="0"/>
          <w:color w:val="000000"/>
          <w:szCs w:val="24"/>
        </w:rPr>
        <w:t>gondii</w:t>
      </w:r>
      <w:proofErr w:type="spellEnd"/>
      <w:r w:rsidRPr="00207239">
        <w:rPr>
          <w:b w:val="0"/>
          <w:bCs w:val="0"/>
          <w:iCs w:val="0"/>
          <w:color w:val="000000"/>
          <w:szCs w:val="24"/>
        </w:rPr>
        <w:t xml:space="preserve"> IgM results if available.</w:t>
      </w:r>
    </w:p>
    <w:p w:rsidR="00207239" w:rsidRPr="00207239" w:rsidRDefault="00207239" w:rsidP="00207239"/>
    <w:p w:rsidR="00207239" w:rsidRPr="00207239" w:rsidRDefault="006C0053" w:rsidP="00207239">
      <w:r>
        <w:t xml:space="preserve">Table B: </w:t>
      </w:r>
      <w:r w:rsidR="00207239">
        <w:t>Toxoplasmosis Interpretation</w:t>
      </w:r>
    </w:p>
    <w:tbl>
      <w:tblPr>
        <w:tblStyle w:val="TableGrid"/>
        <w:tblW w:w="0" w:type="auto"/>
        <w:tblInd w:w="1080" w:type="dxa"/>
        <w:tblLook w:val="04A0" w:firstRow="1" w:lastRow="0" w:firstColumn="1" w:lastColumn="0" w:noHBand="0" w:noVBand="1"/>
      </w:tblPr>
      <w:tblGrid>
        <w:gridCol w:w="1638"/>
        <w:gridCol w:w="1530"/>
        <w:gridCol w:w="5328"/>
      </w:tblGrid>
      <w:tr w:rsidR="00207239" w:rsidTr="0056032B">
        <w:trPr>
          <w:trHeight w:val="773"/>
        </w:trPr>
        <w:tc>
          <w:tcPr>
            <w:tcW w:w="1638" w:type="dxa"/>
          </w:tcPr>
          <w:p w:rsidR="00207239" w:rsidRDefault="00207239" w:rsidP="0056032B">
            <w:pPr>
              <w:pStyle w:val="CLSI-text"/>
              <w:jc w:val="center"/>
              <w:rPr>
                <w:b/>
                <w:color w:val="000000"/>
                <w:sz w:val="24"/>
                <w:szCs w:val="24"/>
              </w:rPr>
            </w:pPr>
            <w:proofErr w:type="spellStart"/>
            <w:r>
              <w:rPr>
                <w:b/>
                <w:color w:val="000000"/>
                <w:sz w:val="24"/>
                <w:szCs w:val="24"/>
              </w:rPr>
              <w:t>T.gondii</w:t>
            </w:r>
            <w:proofErr w:type="spellEnd"/>
            <w:r>
              <w:rPr>
                <w:b/>
                <w:color w:val="000000"/>
                <w:sz w:val="24"/>
                <w:szCs w:val="24"/>
              </w:rPr>
              <w:t xml:space="preserve"> IgG Result</w:t>
            </w:r>
          </w:p>
        </w:tc>
        <w:tc>
          <w:tcPr>
            <w:tcW w:w="1530" w:type="dxa"/>
          </w:tcPr>
          <w:p w:rsidR="00207239" w:rsidRDefault="0056032B" w:rsidP="0056032B">
            <w:pPr>
              <w:pStyle w:val="CLSI-text"/>
              <w:jc w:val="center"/>
              <w:rPr>
                <w:b/>
                <w:color w:val="000000"/>
                <w:sz w:val="24"/>
                <w:szCs w:val="24"/>
              </w:rPr>
            </w:pPr>
            <w:proofErr w:type="spellStart"/>
            <w:r>
              <w:rPr>
                <w:b/>
                <w:color w:val="000000"/>
                <w:sz w:val="24"/>
                <w:szCs w:val="24"/>
              </w:rPr>
              <w:t>T.</w:t>
            </w:r>
            <w:r w:rsidR="00207239">
              <w:rPr>
                <w:b/>
                <w:color w:val="000000"/>
                <w:sz w:val="24"/>
                <w:szCs w:val="24"/>
              </w:rPr>
              <w:t>gondii</w:t>
            </w:r>
            <w:proofErr w:type="spellEnd"/>
            <w:r w:rsidR="00207239">
              <w:rPr>
                <w:b/>
                <w:color w:val="000000"/>
                <w:sz w:val="24"/>
                <w:szCs w:val="24"/>
              </w:rPr>
              <w:t xml:space="preserve"> IgM Result</w:t>
            </w:r>
          </w:p>
        </w:tc>
        <w:tc>
          <w:tcPr>
            <w:tcW w:w="5328" w:type="dxa"/>
          </w:tcPr>
          <w:p w:rsidR="00207239" w:rsidRDefault="0056032B" w:rsidP="0056032B">
            <w:pPr>
              <w:pStyle w:val="CLSI-text"/>
              <w:jc w:val="center"/>
              <w:rPr>
                <w:b/>
                <w:color w:val="000000"/>
                <w:sz w:val="24"/>
                <w:szCs w:val="24"/>
              </w:rPr>
            </w:pPr>
            <w:r>
              <w:rPr>
                <w:b/>
                <w:color w:val="000000"/>
                <w:sz w:val="24"/>
                <w:szCs w:val="24"/>
              </w:rPr>
              <w:t>Result Interpretation</w:t>
            </w:r>
          </w:p>
        </w:tc>
      </w:tr>
      <w:tr w:rsidR="00207239" w:rsidTr="00207239">
        <w:tc>
          <w:tcPr>
            <w:tcW w:w="1638" w:type="dxa"/>
          </w:tcPr>
          <w:p w:rsidR="00207239" w:rsidRPr="0056032B" w:rsidRDefault="0056032B" w:rsidP="00207239">
            <w:pPr>
              <w:pStyle w:val="CLSI-text"/>
              <w:jc w:val="both"/>
              <w:rPr>
                <w:color w:val="000000"/>
                <w:sz w:val="24"/>
                <w:szCs w:val="24"/>
              </w:rPr>
            </w:pPr>
            <w:r>
              <w:rPr>
                <w:color w:val="000000"/>
                <w:sz w:val="24"/>
                <w:szCs w:val="24"/>
              </w:rPr>
              <w:t>Negative (-)</w:t>
            </w:r>
          </w:p>
        </w:tc>
        <w:tc>
          <w:tcPr>
            <w:tcW w:w="1530" w:type="dxa"/>
          </w:tcPr>
          <w:p w:rsidR="00207239" w:rsidRDefault="0056032B" w:rsidP="00207239">
            <w:pPr>
              <w:pStyle w:val="CLSI-text"/>
              <w:jc w:val="both"/>
              <w:rPr>
                <w:b/>
                <w:color w:val="000000"/>
                <w:sz w:val="24"/>
                <w:szCs w:val="24"/>
              </w:rPr>
            </w:pPr>
            <w:r>
              <w:rPr>
                <w:color w:val="000000"/>
                <w:sz w:val="24"/>
                <w:szCs w:val="24"/>
              </w:rPr>
              <w:t>Negative (-)</w:t>
            </w:r>
          </w:p>
        </w:tc>
        <w:tc>
          <w:tcPr>
            <w:tcW w:w="5328" w:type="dxa"/>
          </w:tcPr>
          <w:p w:rsidR="00207239" w:rsidRPr="006972DA" w:rsidRDefault="0056032B" w:rsidP="00207239">
            <w:pPr>
              <w:pStyle w:val="CLSI-text"/>
              <w:jc w:val="both"/>
              <w:rPr>
                <w:color w:val="000000"/>
              </w:rPr>
            </w:pPr>
            <w:r w:rsidRPr="006972DA">
              <w:rPr>
                <w:color w:val="000000"/>
              </w:rPr>
              <w:t xml:space="preserve">No serological evidence of infection with T. </w:t>
            </w:r>
            <w:proofErr w:type="spellStart"/>
            <w:r w:rsidRPr="006972DA">
              <w:rPr>
                <w:color w:val="000000"/>
              </w:rPr>
              <w:t>gondii</w:t>
            </w:r>
            <w:proofErr w:type="spellEnd"/>
          </w:p>
        </w:tc>
      </w:tr>
      <w:tr w:rsidR="00207239" w:rsidTr="00207239">
        <w:tc>
          <w:tcPr>
            <w:tcW w:w="1638" w:type="dxa"/>
          </w:tcPr>
          <w:p w:rsidR="00207239" w:rsidRDefault="0056032B" w:rsidP="00207239">
            <w:pPr>
              <w:pStyle w:val="CLSI-text"/>
              <w:jc w:val="both"/>
              <w:rPr>
                <w:b/>
                <w:color w:val="000000"/>
                <w:sz w:val="24"/>
                <w:szCs w:val="24"/>
              </w:rPr>
            </w:pPr>
            <w:r>
              <w:rPr>
                <w:color w:val="000000"/>
                <w:sz w:val="24"/>
                <w:szCs w:val="24"/>
              </w:rPr>
              <w:t>Negative (-)</w:t>
            </w:r>
          </w:p>
        </w:tc>
        <w:tc>
          <w:tcPr>
            <w:tcW w:w="1530" w:type="dxa"/>
          </w:tcPr>
          <w:p w:rsidR="00207239" w:rsidRPr="0056032B" w:rsidRDefault="0056032B" w:rsidP="00207239">
            <w:pPr>
              <w:pStyle w:val="CLSI-text"/>
              <w:jc w:val="both"/>
              <w:rPr>
                <w:color w:val="000000"/>
                <w:sz w:val="24"/>
                <w:szCs w:val="24"/>
              </w:rPr>
            </w:pPr>
            <w:r w:rsidRPr="0056032B">
              <w:rPr>
                <w:color w:val="000000"/>
                <w:sz w:val="24"/>
                <w:szCs w:val="24"/>
              </w:rPr>
              <w:t>Equivocal</w:t>
            </w:r>
          </w:p>
        </w:tc>
        <w:tc>
          <w:tcPr>
            <w:tcW w:w="5328" w:type="dxa"/>
          </w:tcPr>
          <w:p w:rsidR="00207239" w:rsidRPr="006972DA" w:rsidRDefault="006972DA" w:rsidP="00207239">
            <w:pPr>
              <w:pStyle w:val="CLSI-text"/>
              <w:jc w:val="both"/>
              <w:rPr>
                <w:color w:val="000000"/>
              </w:rPr>
            </w:pPr>
            <w:r w:rsidRPr="006972DA">
              <w:rPr>
                <w:color w:val="000000"/>
              </w:rPr>
              <w:t xml:space="preserve">Possible early acute infection or false-positive IgM reaction.  Obtain a new specimen for IgG and IgM testing.  If the new specimen result remains the same, the patient is probably not infected with T. </w:t>
            </w:r>
            <w:proofErr w:type="spellStart"/>
            <w:r w:rsidRPr="006972DA">
              <w:rPr>
                <w:color w:val="000000"/>
              </w:rPr>
              <w:t>gondii</w:t>
            </w:r>
            <w:proofErr w:type="spellEnd"/>
          </w:p>
        </w:tc>
      </w:tr>
      <w:tr w:rsidR="00207239" w:rsidTr="00207239">
        <w:tc>
          <w:tcPr>
            <w:tcW w:w="1638" w:type="dxa"/>
          </w:tcPr>
          <w:p w:rsidR="00207239" w:rsidRDefault="0056032B" w:rsidP="00207239">
            <w:pPr>
              <w:pStyle w:val="CLSI-text"/>
              <w:jc w:val="both"/>
              <w:rPr>
                <w:b/>
                <w:color w:val="000000"/>
                <w:sz w:val="24"/>
                <w:szCs w:val="24"/>
              </w:rPr>
            </w:pPr>
            <w:r>
              <w:rPr>
                <w:color w:val="000000"/>
                <w:sz w:val="24"/>
                <w:szCs w:val="24"/>
              </w:rPr>
              <w:t>Negative (-)</w:t>
            </w:r>
          </w:p>
        </w:tc>
        <w:tc>
          <w:tcPr>
            <w:tcW w:w="1530" w:type="dxa"/>
          </w:tcPr>
          <w:p w:rsidR="00207239" w:rsidRPr="0056032B" w:rsidRDefault="0056032B" w:rsidP="00207239">
            <w:pPr>
              <w:pStyle w:val="CLSI-text"/>
              <w:jc w:val="both"/>
              <w:rPr>
                <w:color w:val="000000"/>
                <w:sz w:val="24"/>
                <w:szCs w:val="24"/>
              </w:rPr>
            </w:pPr>
            <w:r w:rsidRPr="0056032B">
              <w:rPr>
                <w:color w:val="000000"/>
                <w:sz w:val="24"/>
                <w:szCs w:val="24"/>
              </w:rPr>
              <w:t>Positive (+)</w:t>
            </w:r>
          </w:p>
        </w:tc>
        <w:tc>
          <w:tcPr>
            <w:tcW w:w="5328" w:type="dxa"/>
          </w:tcPr>
          <w:p w:rsidR="00207239" w:rsidRPr="006972DA" w:rsidRDefault="006972DA" w:rsidP="00207239">
            <w:pPr>
              <w:pStyle w:val="CLSI-text"/>
              <w:jc w:val="both"/>
              <w:rPr>
                <w:color w:val="000000"/>
              </w:rPr>
            </w:pPr>
            <w:r>
              <w:rPr>
                <w:color w:val="000000"/>
              </w:rPr>
              <w:t>Possible acute infection or false-positive IgM result.  Obtain a new specimen for IgG and IgM testing.  IF results from the second specimen remain the same, the IgM reaction is probably a false-positive.</w:t>
            </w:r>
          </w:p>
        </w:tc>
      </w:tr>
      <w:tr w:rsidR="00207239" w:rsidTr="00207239">
        <w:tc>
          <w:tcPr>
            <w:tcW w:w="1638" w:type="dxa"/>
          </w:tcPr>
          <w:p w:rsidR="00207239" w:rsidRDefault="0056032B" w:rsidP="00207239">
            <w:pPr>
              <w:pStyle w:val="CLSI-text"/>
              <w:jc w:val="both"/>
              <w:rPr>
                <w:b/>
                <w:color w:val="000000"/>
                <w:sz w:val="24"/>
                <w:szCs w:val="24"/>
              </w:rPr>
            </w:pPr>
            <w:r w:rsidRPr="0056032B">
              <w:rPr>
                <w:color w:val="000000"/>
                <w:sz w:val="24"/>
                <w:szCs w:val="24"/>
              </w:rPr>
              <w:lastRenderedPageBreak/>
              <w:t>Equivocal</w:t>
            </w:r>
          </w:p>
        </w:tc>
        <w:tc>
          <w:tcPr>
            <w:tcW w:w="1530" w:type="dxa"/>
          </w:tcPr>
          <w:p w:rsidR="00207239" w:rsidRPr="0056032B" w:rsidRDefault="0056032B" w:rsidP="00207239">
            <w:pPr>
              <w:pStyle w:val="CLSI-text"/>
              <w:jc w:val="both"/>
              <w:rPr>
                <w:color w:val="000000"/>
                <w:sz w:val="24"/>
                <w:szCs w:val="24"/>
              </w:rPr>
            </w:pPr>
            <w:r w:rsidRPr="0056032B">
              <w:rPr>
                <w:color w:val="000000"/>
                <w:sz w:val="24"/>
                <w:szCs w:val="24"/>
              </w:rPr>
              <w:t>Negative (-)</w:t>
            </w:r>
          </w:p>
        </w:tc>
        <w:tc>
          <w:tcPr>
            <w:tcW w:w="5328" w:type="dxa"/>
          </w:tcPr>
          <w:p w:rsidR="00207239" w:rsidRPr="006972DA" w:rsidRDefault="006972DA" w:rsidP="00207239">
            <w:pPr>
              <w:pStyle w:val="CLSI-text"/>
              <w:jc w:val="both"/>
              <w:rPr>
                <w:color w:val="000000"/>
              </w:rPr>
            </w:pPr>
            <w:r>
              <w:rPr>
                <w:color w:val="000000"/>
              </w:rPr>
              <w:t>Equivocal:  obtain a new specimen for testing or retest this specimen for IgG using a different assay.</w:t>
            </w:r>
          </w:p>
        </w:tc>
      </w:tr>
      <w:tr w:rsidR="00207239" w:rsidTr="00207239">
        <w:tc>
          <w:tcPr>
            <w:tcW w:w="1638" w:type="dxa"/>
          </w:tcPr>
          <w:p w:rsidR="00207239" w:rsidRDefault="0056032B" w:rsidP="00207239">
            <w:pPr>
              <w:pStyle w:val="CLSI-text"/>
              <w:jc w:val="both"/>
              <w:rPr>
                <w:b/>
                <w:color w:val="000000"/>
                <w:sz w:val="24"/>
                <w:szCs w:val="24"/>
              </w:rPr>
            </w:pPr>
            <w:r w:rsidRPr="0056032B">
              <w:rPr>
                <w:color w:val="000000"/>
                <w:sz w:val="24"/>
                <w:szCs w:val="24"/>
              </w:rPr>
              <w:t>Equivocal</w:t>
            </w:r>
          </w:p>
        </w:tc>
        <w:tc>
          <w:tcPr>
            <w:tcW w:w="1530" w:type="dxa"/>
          </w:tcPr>
          <w:p w:rsidR="00207239" w:rsidRDefault="0056032B" w:rsidP="00207239">
            <w:pPr>
              <w:pStyle w:val="CLSI-text"/>
              <w:jc w:val="both"/>
              <w:rPr>
                <w:b/>
                <w:color w:val="000000"/>
                <w:sz w:val="24"/>
                <w:szCs w:val="24"/>
              </w:rPr>
            </w:pPr>
            <w:r w:rsidRPr="0056032B">
              <w:rPr>
                <w:color w:val="000000"/>
                <w:sz w:val="24"/>
                <w:szCs w:val="24"/>
              </w:rPr>
              <w:t>Equivocal</w:t>
            </w:r>
          </w:p>
        </w:tc>
        <w:tc>
          <w:tcPr>
            <w:tcW w:w="5328" w:type="dxa"/>
          </w:tcPr>
          <w:p w:rsidR="00207239" w:rsidRPr="006972DA" w:rsidRDefault="006972DA" w:rsidP="00207239">
            <w:pPr>
              <w:pStyle w:val="CLSI-text"/>
              <w:jc w:val="both"/>
              <w:rPr>
                <w:color w:val="000000"/>
              </w:rPr>
            </w:pPr>
            <w:r>
              <w:rPr>
                <w:color w:val="000000"/>
              </w:rPr>
              <w:t>Equivocal:  obtain a new specimen for both IgG and IgM testing.</w:t>
            </w:r>
          </w:p>
        </w:tc>
      </w:tr>
      <w:tr w:rsidR="00207239" w:rsidTr="00207239">
        <w:tc>
          <w:tcPr>
            <w:tcW w:w="1638" w:type="dxa"/>
          </w:tcPr>
          <w:p w:rsidR="00207239" w:rsidRDefault="0056032B" w:rsidP="00207239">
            <w:pPr>
              <w:pStyle w:val="CLSI-text"/>
              <w:jc w:val="both"/>
              <w:rPr>
                <w:b/>
                <w:color w:val="000000"/>
                <w:sz w:val="24"/>
                <w:szCs w:val="24"/>
              </w:rPr>
            </w:pPr>
            <w:r w:rsidRPr="0056032B">
              <w:rPr>
                <w:color w:val="000000"/>
                <w:sz w:val="24"/>
                <w:szCs w:val="24"/>
              </w:rPr>
              <w:t>Equivocal</w:t>
            </w:r>
          </w:p>
        </w:tc>
        <w:tc>
          <w:tcPr>
            <w:tcW w:w="1530" w:type="dxa"/>
          </w:tcPr>
          <w:p w:rsidR="00207239" w:rsidRDefault="0056032B" w:rsidP="00207239">
            <w:pPr>
              <w:pStyle w:val="CLSI-text"/>
              <w:jc w:val="both"/>
              <w:rPr>
                <w:b/>
                <w:color w:val="000000"/>
                <w:sz w:val="24"/>
                <w:szCs w:val="24"/>
              </w:rPr>
            </w:pPr>
            <w:r w:rsidRPr="0056032B">
              <w:rPr>
                <w:color w:val="000000"/>
                <w:sz w:val="24"/>
                <w:szCs w:val="24"/>
              </w:rPr>
              <w:t>Positive (+)</w:t>
            </w:r>
          </w:p>
        </w:tc>
        <w:tc>
          <w:tcPr>
            <w:tcW w:w="5328" w:type="dxa"/>
          </w:tcPr>
          <w:p w:rsidR="00207239" w:rsidRPr="006972DA" w:rsidRDefault="006972DA" w:rsidP="00207239">
            <w:pPr>
              <w:pStyle w:val="CLSI-text"/>
              <w:jc w:val="both"/>
              <w:rPr>
                <w:color w:val="000000"/>
              </w:rPr>
            </w:pPr>
            <w:r>
              <w:rPr>
                <w:color w:val="000000"/>
              </w:rPr>
              <w:t xml:space="preserve">Possible acute infection with </w:t>
            </w:r>
            <w:proofErr w:type="spellStart"/>
            <w:r>
              <w:rPr>
                <w:color w:val="000000"/>
              </w:rPr>
              <w:t>T.gondii</w:t>
            </w:r>
            <w:proofErr w:type="spellEnd"/>
            <w:r>
              <w:rPr>
                <w:color w:val="000000"/>
              </w:rPr>
              <w:t>.  Obtain a new specimen for IgG and IgM testing.   If results with the new specimen remain the same or the IgG becomes positive, both specimens should be sent to a reference laboratory with experience in the diagnosis of toxoplasmosis.</w:t>
            </w:r>
          </w:p>
        </w:tc>
      </w:tr>
      <w:tr w:rsidR="00207239" w:rsidTr="00207239">
        <w:tc>
          <w:tcPr>
            <w:tcW w:w="1638" w:type="dxa"/>
          </w:tcPr>
          <w:p w:rsidR="00207239" w:rsidRDefault="0056032B" w:rsidP="00207239">
            <w:pPr>
              <w:pStyle w:val="CLSI-text"/>
              <w:jc w:val="both"/>
              <w:rPr>
                <w:b/>
                <w:color w:val="000000"/>
                <w:sz w:val="24"/>
                <w:szCs w:val="24"/>
              </w:rPr>
            </w:pPr>
            <w:r w:rsidRPr="0056032B">
              <w:rPr>
                <w:color w:val="000000"/>
                <w:sz w:val="24"/>
                <w:szCs w:val="24"/>
              </w:rPr>
              <w:t>Positive (+)</w:t>
            </w:r>
          </w:p>
        </w:tc>
        <w:tc>
          <w:tcPr>
            <w:tcW w:w="1530" w:type="dxa"/>
          </w:tcPr>
          <w:p w:rsidR="00207239" w:rsidRDefault="0056032B" w:rsidP="00207239">
            <w:pPr>
              <w:pStyle w:val="CLSI-text"/>
              <w:jc w:val="both"/>
              <w:rPr>
                <w:b/>
                <w:color w:val="000000"/>
                <w:sz w:val="24"/>
                <w:szCs w:val="24"/>
              </w:rPr>
            </w:pPr>
            <w:r w:rsidRPr="0056032B">
              <w:rPr>
                <w:color w:val="000000"/>
                <w:sz w:val="24"/>
                <w:szCs w:val="24"/>
              </w:rPr>
              <w:t>Negative (-)</w:t>
            </w:r>
          </w:p>
        </w:tc>
        <w:tc>
          <w:tcPr>
            <w:tcW w:w="5328" w:type="dxa"/>
          </w:tcPr>
          <w:p w:rsidR="00207239" w:rsidRPr="006972DA" w:rsidRDefault="006C0053" w:rsidP="00207239">
            <w:pPr>
              <w:pStyle w:val="CLSI-text"/>
              <w:jc w:val="both"/>
              <w:rPr>
                <w:color w:val="000000"/>
              </w:rPr>
            </w:pPr>
            <w:r>
              <w:rPr>
                <w:color w:val="000000"/>
              </w:rPr>
              <w:t xml:space="preserve">Infected with </w:t>
            </w:r>
            <w:proofErr w:type="spellStart"/>
            <w:r>
              <w:rPr>
                <w:color w:val="000000"/>
              </w:rPr>
              <w:t>T.gondii</w:t>
            </w:r>
            <w:proofErr w:type="spellEnd"/>
            <w:r>
              <w:rPr>
                <w:color w:val="000000"/>
              </w:rPr>
              <w:t xml:space="preserve"> for more than one year</w:t>
            </w:r>
          </w:p>
        </w:tc>
      </w:tr>
      <w:tr w:rsidR="0056032B" w:rsidTr="00207239">
        <w:tc>
          <w:tcPr>
            <w:tcW w:w="1638" w:type="dxa"/>
          </w:tcPr>
          <w:p w:rsidR="0056032B" w:rsidRDefault="0056032B" w:rsidP="00207239">
            <w:pPr>
              <w:pStyle w:val="CLSI-text"/>
              <w:jc w:val="both"/>
              <w:rPr>
                <w:b/>
                <w:color w:val="000000"/>
                <w:sz w:val="24"/>
                <w:szCs w:val="24"/>
              </w:rPr>
            </w:pPr>
            <w:r w:rsidRPr="0056032B">
              <w:rPr>
                <w:color w:val="000000"/>
                <w:sz w:val="24"/>
                <w:szCs w:val="24"/>
              </w:rPr>
              <w:t>Positive (+)</w:t>
            </w:r>
          </w:p>
        </w:tc>
        <w:tc>
          <w:tcPr>
            <w:tcW w:w="1530" w:type="dxa"/>
          </w:tcPr>
          <w:p w:rsidR="0056032B" w:rsidRDefault="0056032B" w:rsidP="00207239">
            <w:pPr>
              <w:pStyle w:val="CLSI-text"/>
              <w:jc w:val="both"/>
              <w:rPr>
                <w:b/>
                <w:color w:val="000000"/>
                <w:sz w:val="24"/>
                <w:szCs w:val="24"/>
              </w:rPr>
            </w:pPr>
            <w:r w:rsidRPr="0056032B">
              <w:rPr>
                <w:color w:val="000000"/>
                <w:sz w:val="24"/>
                <w:szCs w:val="24"/>
              </w:rPr>
              <w:t>Equivocal</w:t>
            </w:r>
          </w:p>
        </w:tc>
        <w:tc>
          <w:tcPr>
            <w:tcW w:w="5328" w:type="dxa"/>
          </w:tcPr>
          <w:p w:rsidR="0056032B" w:rsidRPr="006C0053" w:rsidRDefault="006C0053" w:rsidP="00207239">
            <w:pPr>
              <w:pStyle w:val="CLSI-text"/>
              <w:jc w:val="both"/>
              <w:rPr>
                <w:color w:val="000000"/>
              </w:rPr>
            </w:pPr>
            <w:r>
              <w:rPr>
                <w:color w:val="000000"/>
              </w:rPr>
              <w:t xml:space="preserve">Infected with </w:t>
            </w:r>
            <w:proofErr w:type="spellStart"/>
            <w:r>
              <w:rPr>
                <w:color w:val="000000"/>
              </w:rPr>
              <w:t>T.gondii</w:t>
            </w:r>
            <w:proofErr w:type="spellEnd"/>
            <w:r>
              <w:rPr>
                <w:color w:val="000000"/>
              </w:rPr>
              <w:t xml:space="preserve"> for probably more than 1 year or false-positive IgM reaction.  Obtain a new specimen for IgG and IgM testing.   If results from the second specimen remain the same, both specimens should be sent to a reference laboratory with experience in the diagnosis of toxoplasmosis.</w:t>
            </w:r>
          </w:p>
        </w:tc>
      </w:tr>
      <w:tr w:rsidR="006C0053" w:rsidTr="00207239">
        <w:tc>
          <w:tcPr>
            <w:tcW w:w="1638" w:type="dxa"/>
          </w:tcPr>
          <w:p w:rsidR="006C0053" w:rsidRDefault="006C0053" w:rsidP="00207239">
            <w:pPr>
              <w:pStyle w:val="CLSI-text"/>
              <w:jc w:val="both"/>
              <w:rPr>
                <w:b/>
                <w:color w:val="000000"/>
                <w:sz w:val="24"/>
                <w:szCs w:val="24"/>
              </w:rPr>
            </w:pPr>
            <w:r w:rsidRPr="0056032B">
              <w:rPr>
                <w:color w:val="000000"/>
                <w:sz w:val="24"/>
                <w:szCs w:val="24"/>
              </w:rPr>
              <w:t>Positive (+)</w:t>
            </w:r>
          </w:p>
        </w:tc>
        <w:tc>
          <w:tcPr>
            <w:tcW w:w="1530" w:type="dxa"/>
          </w:tcPr>
          <w:p w:rsidR="006C0053" w:rsidRDefault="006C0053" w:rsidP="00207239">
            <w:pPr>
              <w:pStyle w:val="CLSI-text"/>
              <w:jc w:val="both"/>
              <w:rPr>
                <w:b/>
                <w:color w:val="000000"/>
                <w:sz w:val="24"/>
                <w:szCs w:val="24"/>
              </w:rPr>
            </w:pPr>
            <w:r w:rsidRPr="0056032B">
              <w:rPr>
                <w:color w:val="000000"/>
                <w:sz w:val="24"/>
                <w:szCs w:val="24"/>
              </w:rPr>
              <w:t>Positive (+)</w:t>
            </w:r>
          </w:p>
        </w:tc>
        <w:tc>
          <w:tcPr>
            <w:tcW w:w="5328" w:type="dxa"/>
          </w:tcPr>
          <w:p w:rsidR="006C0053" w:rsidRPr="006972DA" w:rsidRDefault="006C0053" w:rsidP="00C83435">
            <w:pPr>
              <w:pStyle w:val="CLSI-text"/>
              <w:jc w:val="both"/>
              <w:rPr>
                <w:color w:val="000000"/>
              </w:rPr>
            </w:pPr>
            <w:r>
              <w:rPr>
                <w:color w:val="000000"/>
              </w:rPr>
              <w:t xml:space="preserve">Possible recent infection within the last 12 months.   Send the specimen to a reference laboratory with experience in the diagnosis of toxoplasmosis. </w:t>
            </w:r>
          </w:p>
        </w:tc>
      </w:tr>
    </w:tbl>
    <w:p w:rsidR="00207239" w:rsidRDefault="006C0053" w:rsidP="00207239">
      <w:pPr>
        <w:pStyle w:val="CLSI-text"/>
        <w:ind w:left="1080"/>
        <w:jc w:val="both"/>
        <w:rPr>
          <w:color w:val="000000"/>
          <w:sz w:val="18"/>
          <w:szCs w:val="18"/>
        </w:rPr>
      </w:pPr>
      <w:r>
        <w:rPr>
          <w:color w:val="000000"/>
          <w:sz w:val="18"/>
          <w:szCs w:val="18"/>
        </w:rPr>
        <w:t>Adapted from FDA Publication</w:t>
      </w:r>
      <w:proofErr w:type="gramStart"/>
      <w:r>
        <w:rPr>
          <w:color w:val="000000"/>
          <w:sz w:val="18"/>
          <w:szCs w:val="18"/>
        </w:rPr>
        <w:t>: :Limitations</w:t>
      </w:r>
      <w:proofErr w:type="gramEnd"/>
      <w:r>
        <w:rPr>
          <w:color w:val="000000"/>
          <w:sz w:val="18"/>
          <w:szCs w:val="18"/>
        </w:rPr>
        <w:t xml:space="preserve"> of Toxoplasma IgM Commercial Test Kits” July 25, 1997.  </w:t>
      </w:r>
    </w:p>
    <w:p w:rsidR="006C0053" w:rsidRPr="006C0053" w:rsidRDefault="006C0053" w:rsidP="00063948">
      <w:pPr>
        <w:pStyle w:val="SectionSubheaderinTOC"/>
        <w:numPr>
          <w:ilvl w:val="0"/>
          <w:numId w:val="18"/>
        </w:numPr>
        <w:spacing w:after="0"/>
        <w:jc w:val="both"/>
        <w:rPr>
          <w:szCs w:val="24"/>
        </w:rPr>
      </w:pPr>
      <w:r w:rsidRPr="00063948">
        <w:rPr>
          <w:rFonts w:ascii="Arial" w:hAnsi="Arial" w:cs="Arial"/>
          <w:b/>
          <w:sz w:val="24"/>
          <w:szCs w:val="24"/>
        </w:rPr>
        <w:t>Selection</w:t>
      </w:r>
      <w:r w:rsidRPr="006C0053">
        <w:rPr>
          <w:szCs w:val="24"/>
        </w:rPr>
        <w:t xml:space="preserve"> </w:t>
      </w:r>
      <w:r w:rsidRPr="00063948">
        <w:rPr>
          <w:b/>
          <w:szCs w:val="24"/>
        </w:rPr>
        <w:t>of Result Presentation</w:t>
      </w:r>
    </w:p>
    <w:p w:rsidR="006C0053" w:rsidRPr="006C0053" w:rsidRDefault="006C0053" w:rsidP="00063948">
      <w:pPr>
        <w:pStyle w:val="BodyText"/>
        <w:ind w:left="1080"/>
        <w:jc w:val="both"/>
        <w:rPr>
          <w:rFonts w:cs="Arial"/>
          <w:color w:val="000000"/>
          <w:sz w:val="24"/>
        </w:rPr>
      </w:pPr>
      <w:r w:rsidRPr="006C0053">
        <w:rPr>
          <w:rFonts w:cs="Arial"/>
          <w:color w:val="000000"/>
          <w:sz w:val="24"/>
        </w:rPr>
        <w:t xml:space="preserve">The laboratory may elect to run any of the antibodies requested individually, or any group of antibodies may be requested for a specific sample. The laboratory may pre-define the test groupings by using the software screen entitled “Test Group Setup,” allowing the operator to request the “customized” groupings. For example, </w:t>
      </w:r>
      <w:r w:rsidRPr="006C0053">
        <w:rPr>
          <w:rFonts w:cs="Arial"/>
          <w:i/>
          <w:color w:val="000000"/>
          <w:sz w:val="24"/>
        </w:rPr>
        <w:t>T. </w:t>
      </w:r>
      <w:proofErr w:type="spellStart"/>
      <w:r w:rsidRPr="006C0053">
        <w:rPr>
          <w:rFonts w:cs="Arial"/>
          <w:i/>
          <w:color w:val="000000"/>
          <w:sz w:val="24"/>
        </w:rPr>
        <w:t>gondii</w:t>
      </w:r>
      <w:proofErr w:type="spellEnd"/>
      <w:r w:rsidRPr="006C0053">
        <w:rPr>
          <w:rFonts w:cs="Arial"/>
          <w:color w:val="000000"/>
          <w:sz w:val="24"/>
        </w:rPr>
        <w:t>, Rubella and CMV may be analyzed together.</w:t>
      </w:r>
    </w:p>
    <w:p w:rsidR="006C0053" w:rsidRPr="006C0053" w:rsidRDefault="006C0053" w:rsidP="00063948">
      <w:pPr>
        <w:pStyle w:val="BodyText"/>
        <w:ind w:left="1080"/>
        <w:jc w:val="both"/>
        <w:rPr>
          <w:rFonts w:cs="Arial"/>
          <w:color w:val="000000"/>
          <w:sz w:val="24"/>
        </w:rPr>
      </w:pPr>
      <w:r w:rsidRPr="006C0053">
        <w:rPr>
          <w:rFonts w:cs="Arial"/>
          <w:color w:val="000000"/>
          <w:sz w:val="24"/>
        </w:rPr>
        <w:t xml:space="preserve">“Add-On” test(s) for immediate reporting of results for additional individual antibodies, or a user-defined test grouping containing antibodies, not previously requested, can also be performed. If the selected antibody has been previously requested, the sample will be treated as a repeated request. Refer to the </w:t>
      </w:r>
      <w:proofErr w:type="spellStart"/>
      <w:r w:rsidRPr="006C0053">
        <w:rPr>
          <w:rFonts w:cs="Arial"/>
          <w:color w:val="000000"/>
          <w:sz w:val="24"/>
        </w:rPr>
        <w:t>BioPlex</w:t>
      </w:r>
      <w:proofErr w:type="spellEnd"/>
      <w:r w:rsidRPr="006C0053">
        <w:rPr>
          <w:rFonts w:cs="Arial"/>
          <w:color w:val="000000"/>
          <w:sz w:val="24"/>
        </w:rPr>
        <w:t xml:space="preserve"> 2200 System Operation Manual for more information.</w:t>
      </w:r>
    </w:p>
    <w:p w:rsidR="006C0053" w:rsidRDefault="006C0053" w:rsidP="00063948">
      <w:pPr>
        <w:pStyle w:val="BodyText"/>
        <w:ind w:left="1080"/>
        <w:jc w:val="both"/>
        <w:rPr>
          <w:rFonts w:cs="Arial"/>
          <w:color w:val="000000"/>
          <w:sz w:val="24"/>
        </w:rPr>
      </w:pPr>
      <w:r w:rsidRPr="006C0053">
        <w:rPr>
          <w:rFonts w:cs="Arial"/>
          <w:b/>
          <w:color w:val="000000"/>
          <w:sz w:val="24"/>
        </w:rPr>
        <w:t>Note:</w:t>
      </w:r>
      <w:r w:rsidRPr="006C0053">
        <w:rPr>
          <w:rFonts w:cs="Arial"/>
          <w:color w:val="000000"/>
          <w:sz w:val="24"/>
        </w:rPr>
        <w:t xml:space="preserve"> An Over-Range (OR) result may be generated when results for selected antibodies are requested. Dilution of Over-Range results for qualitative assays is not recommended.</w:t>
      </w:r>
    </w:p>
    <w:p w:rsidR="00063948" w:rsidRPr="006C0053" w:rsidRDefault="00063948" w:rsidP="00063948">
      <w:pPr>
        <w:pStyle w:val="BodyText"/>
        <w:ind w:left="1080"/>
        <w:jc w:val="both"/>
        <w:rPr>
          <w:rFonts w:cs="Arial"/>
          <w:color w:val="000000"/>
          <w:sz w:val="24"/>
        </w:rPr>
      </w:pPr>
    </w:p>
    <w:p w:rsidR="006C0053" w:rsidRPr="006C0053" w:rsidRDefault="006C0053" w:rsidP="00063948">
      <w:pPr>
        <w:numPr>
          <w:ilvl w:val="0"/>
          <w:numId w:val="1"/>
        </w:numPr>
        <w:tabs>
          <w:tab w:val="clear" w:pos="1080"/>
          <w:tab w:val="left" w:pos="-720"/>
          <w:tab w:val="left" w:pos="720"/>
          <w:tab w:val="num" w:pos="810"/>
        </w:tabs>
        <w:suppressAutoHyphens/>
        <w:ind w:hanging="1080"/>
        <w:jc w:val="both"/>
      </w:pPr>
      <w:r w:rsidRPr="006C0053">
        <w:t>Expected Values</w:t>
      </w:r>
    </w:p>
    <w:p w:rsidR="006C0053" w:rsidRDefault="006C0053" w:rsidP="00063948">
      <w:pPr>
        <w:pStyle w:val="Heading2"/>
        <w:numPr>
          <w:ilvl w:val="0"/>
          <w:numId w:val="19"/>
        </w:numPr>
      </w:pPr>
      <w:r>
        <w:t>Prevalence</w:t>
      </w:r>
    </w:p>
    <w:p w:rsidR="006C0053" w:rsidRDefault="006C0053" w:rsidP="00063948">
      <w:pPr>
        <w:pStyle w:val="CLSIText"/>
        <w:ind w:left="1080"/>
      </w:pPr>
      <w:r>
        <w:t xml:space="preserve">The observed prevalence for the </w:t>
      </w:r>
      <w:proofErr w:type="spellStart"/>
      <w:r>
        <w:t>ToRC</w:t>
      </w:r>
      <w:proofErr w:type="spellEnd"/>
      <w:r>
        <w:t xml:space="preserve"> IgM assays was determined in samples collected from pregnant women in the U.S. as well as in clinical samples submitted for </w:t>
      </w:r>
      <w:r>
        <w:rPr>
          <w:i/>
        </w:rPr>
        <w:t xml:space="preserve">T. </w:t>
      </w:r>
      <w:proofErr w:type="spellStart"/>
      <w:r>
        <w:rPr>
          <w:i/>
        </w:rPr>
        <w:t>gondii</w:t>
      </w:r>
      <w:proofErr w:type="spellEnd"/>
      <w:r>
        <w:t>, Rubella, or CMV IgM testing. Results are shown in Tables C – D.</w:t>
      </w:r>
    </w:p>
    <w:p w:rsidR="006C0053" w:rsidRDefault="006C0053" w:rsidP="006C0053">
      <w:pPr>
        <w:pStyle w:val="CLSI-text"/>
        <w:ind w:left="1080"/>
        <w:jc w:val="both"/>
        <w:rPr>
          <w:color w:val="000000"/>
          <w:sz w:val="24"/>
          <w:szCs w:val="24"/>
        </w:rPr>
      </w:pPr>
      <w:r>
        <w:rPr>
          <w:noProof/>
        </w:rPr>
        <w:lastRenderedPageBreak/>
        <w:drawing>
          <wp:inline distT="0" distB="0" distL="0" distR="0">
            <wp:extent cx="3752850" cy="228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2850" cy="2286000"/>
                    </a:xfrm>
                    <a:prstGeom prst="rect">
                      <a:avLst/>
                    </a:prstGeom>
                    <a:noFill/>
                    <a:ln>
                      <a:noFill/>
                    </a:ln>
                  </pic:spPr>
                </pic:pic>
              </a:graphicData>
            </a:graphic>
          </wp:inline>
        </w:drawing>
      </w:r>
    </w:p>
    <w:p w:rsidR="006C0053" w:rsidRDefault="00331BEC" w:rsidP="00207239">
      <w:pPr>
        <w:pStyle w:val="CLSI-text"/>
        <w:ind w:left="1080"/>
        <w:jc w:val="both"/>
        <w:rPr>
          <w:color w:val="000000"/>
          <w:sz w:val="24"/>
          <w:szCs w:val="24"/>
        </w:rPr>
      </w:pPr>
      <w:r w:rsidRPr="00331BEC">
        <w:rPr>
          <w:rFonts w:ascii="Univers" w:hAnsi="Univers" w:cs="Times New Roman"/>
          <w:noProof/>
          <w:spacing w:val="0"/>
          <w:sz w:val="24"/>
        </w:rPr>
        <w:drawing>
          <wp:inline distT="0" distB="0" distL="0" distR="0" wp14:anchorId="54B1944E" wp14:editId="4D11EF69">
            <wp:extent cx="5153025" cy="5029200"/>
            <wp:effectExtent l="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3025" cy="5029200"/>
                    </a:xfrm>
                    <a:prstGeom prst="rect">
                      <a:avLst/>
                    </a:prstGeom>
                    <a:noFill/>
                    <a:ln>
                      <a:noFill/>
                    </a:ln>
                  </pic:spPr>
                </pic:pic>
              </a:graphicData>
            </a:graphic>
          </wp:inline>
        </w:drawing>
      </w:r>
    </w:p>
    <w:p w:rsidR="00331BEC" w:rsidRPr="00331BEC" w:rsidRDefault="00331BEC" w:rsidP="005E6708">
      <w:pPr>
        <w:numPr>
          <w:ilvl w:val="0"/>
          <w:numId w:val="1"/>
        </w:numPr>
        <w:tabs>
          <w:tab w:val="clear" w:pos="1080"/>
          <w:tab w:val="left" w:pos="-720"/>
          <w:tab w:val="left" w:pos="720"/>
          <w:tab w:val="num" w:pos="810"/>
        </w:tabs>
        <w:suppressAutoHyphens/>
        <w:ind w:hanging="1080"/>
        <w:jc w:val="both"/>
        <w:rPr>
          <w:rFonts w:ascii="Arial" w:hAnsi="Arial" w:cs="Arial"/>
          <w:szCs w:val="24"/>
        </w:rPr>
      </w:pPr>
      <w:r w:rsidRPr="00331BEC">
        <w:rPr>
          <w:rFonts w:ascii="Arial" w:hAnsi="Arial" w:cs="Arial"/>
          <w:szCs w:val="24"/>
        </w:rPr>
        <w:t>Performance Characteristics</w:t>
      </w:r>
    </w:p>
    <w:p w:rsidR="00331BEC" w:rsidRPr="00331BEC" w:rsidRDefault="00331BEC" w:rsidP="005E6708">
      <w:pPr>
        <w:pStyle w:val="Heading2"/>
        <w:numPr>
          <w:ilvl w:val="0"/>
          <w:numId w:val="20"/>
        </w:numPr>
        <w:rPr>
          <w:szCs w:val="24"/>
        </w:rPr>
      </w:pPr>
      <w:r w:rsidRPr="00331BEC">
        <w:rPr>
          <w:szCs w:val="24"/>
        </w:rPr>
        <w:t>Comparative Testing: Prospective</w:t>
      </w:r>
    </w:p>
    <w:p w:rsidR="00331BEC" w:rsidRPr="00331BEC" w:rsidRDefault="00331BEC" w:rsidP="005E6708">
      <w:pPr>
        <w:pStyle w:val="CLSIText"/>
        <w:ind w:left="1080"/>
        <w:rPr>
          <w:sz w:val="24"/>
          <w:szCs w:val="24"/>
        </w:rPr>
      </w:pPr>
      <w:r w:rsidRPr="00331BEC">
        <w:rPr>
          <w:sz w:val="24"/>
          <w:szCs w:val="24"/>
        </w:rPr>
        <w:t xml:space="preserve">Performance of the </w:t>
      </w:r>
      <w:proofErr w:type="spellStart"/>
      <w:r w:rsidRPr="00331BEC">
        <w:rPr>
          <w:sz w:val="24"/>
          <w:szCs w:val="24"/>
        </w:rPr>
        <w:t>ToRC</w:t>
      </w:r>
      <w:proofErr w:type="spellEnd"/>
      <w:r w:rsidRPr="00331BEC">
        <w:rPr>
          <w:sz w:val="24"/>
          <w:szCs w:val="24"/>
        </w:rPr>
        <w:t xml:space="preserve"> IgM kit was evaluated against corresponding </w:t>
      </w:r>
      <w:r w:rsidRPr="00331BEC">
        <w:rPr>
          <w:sz w:val="24"/>
          <w:szCs w:val="24"/>
        </w:rPr>
        <w:lastRenderedPageBreak/>
        <w:t xml:space="preserve">commercially available </w:t>
      </w:r>
      <w:r w:rsidRPr="00331BEC">
        <w:rPr>
          <w:i/>
          <w:sz w:val="24"/>
          <w:szCs w:val="24"/>
        </w:rPr>
        <w:t xml:space="preserve">T. </w:t>
      </w:r>
      <w:proofErr w:type="spellStart"/>
      <w:r w:rsidRPr="00331BEC">
        <w:rPr>
          <w:i/>
          <w:sz w:val="24"/>
          <w:szCs w:val="24"/>
        </w:rPr>
        <w:t>gondii</w:t>
      </w:r>
      <w:proofErr w:type="spellEnd"/>
      <w:r w:rsidRPr="00331BEC">
        <w:rPr>
          <w:sz w:val="24"/>
          <w:szCs w:val="24"/>
        </w:rPr>
        <w:t xml:space="preserve">, Rubella, and CMV IgM immunoassays. Three clinical sites tested a combined total of 2129 prospective samples (694-723 samples per analyte) submitted for </w:t>
      </w:r>
      <w:r w:rsidRPr="00331BEC">
        <w:rPr>
          <w:i/>
          <w:sz w:val="24"/>
          <w:szCs w:val="24"/>
        </w:rPr>
        <w:t xml:space="preserve">T. </w:t>
      </w:r>
      <w:proofErr w:type="spellStart"/>
      <w:r w:rsidRPr="00331BEC">
        <w:rPr>
          <w:i/>
          <w:sz w:val="24"/>
          <w:szCs w:val="24"/>
        </w:rPr>
        <w:t>gondii</w:t>
      </w:r>
      <w:proofErr w:type="spellEnd"/>
      <w:r w:rsidRPr="00331BEC">
        <w:rPr>
          <w:sz w:val="24"/>
          <w:szCs w:val="24"/>
        </w:rPr>
        <w:t>, Rubella, or CMV testing. 200 of the samples per analyte were from pregnant women. Results are shown in Table E.</w:t>
      </w:r>
    </w:p>
    <w:p w:rsidR="00331BEC" w:rsidRDefault="00331BEC" w:rsidP="00331BEC">
      <w:pPr>
        <w:pStyle w:val="CLSIText"/>
        <w:jc w:val="center"/>
        <w:rPr>
          <w:noProof/>
        </w:rPr>
      </w:pPr>
      <w:r>
        <w:rPr>
          <w:noProof/>
        </w:rPr>
        <w:lastRenderedPageBreak/>
        <w:drawing>
          <wp:inline distT="0" distB="0" distL="0" distR="0" wp14:anchorId="191150A4" wp14:editId="484F62BE">
            <wp:extent cx="5650706" cy="753427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0706" cy="7534275"/>
                    </a:xfrm>
                    <a:prstGeom prst="rect">
                      <a:avLst/>
                    </a:prstGeom>
                    <a:noFill/>
                    <a:ln>
                      <a:noFill/>
                    </a:ln>
                  </pic:spPr>
                </pic:pic>
              </a:graphicData>
            </a:graphic>
          </wp:inline>
        </w:drawing>
      </w:r>
    </w:p>
    <w:p w:rsidR="00331BEC" w:rsidRPr="00331BEC" w:rsidRDefault="00331BEC" w:rsidP="005E6708">
      <w:pPr>
        <w:pStyle w:val="Heading2"/>
        <w:numPr>
          <w:ilvl w:val="0"/>
          <w:numId w:val="20"/>
        </w:numPr>
        <w:rPr>
          <w:szCs w:val="24"/>
        </w:rPr>
      </w:pPr>
      <w:r w:rsidRPr="00331BEC">
        <w:rPr>
          <w:szCs w:val="24"/>
        </w:rPr>
        <w:t>Comparative Testing: Retrospective</w:t>
      </w:r>
    </w:p>
    <w:p w:rsidR="00331BEC" w:rsidRPr="00331BEC" w:rsidRDefault="00331BEC" w:rsidP="005E6708">
      <w:pPr>
        <w:pStyle w:val="CLSIText"/>
        <w:ind w:left="720"/>
        <w:rPr>
          <w:sz w:val="24"/>
          <w:szCs w:val="24"/>
        </w:rPr>
      </w:pPr>
      <w:r w:rsidRPr="00331BEC">
        <w:rPr>
          <w:sz w:val="24"/>
          <w:szCs w:val="24"/>
        </w:rPr>
        <w:t xml:space="preserve">Performance of the </w:t>
      </w:r>
      <w:proofErr w:type="spellStart"/>
      <w:r w:rsidRPr="00331BEC">
        <w:rPr>
          <w:sz w:val="24"/>
          <w:szCs w:val="24"/>
        </w:rPr>
        <w:t>ToRC</w:t>
      </w:r>
      <w:proofErr w:type="spellEnd"/>
      <w:r w:rsidRPr="00331BEC">
        <w:rPr>
          <w:sz w:val="24"/>
          <w:szCs w:val="24"/>
        </w:rPr>
        <w:t xml:space="preserve"> IgM kit was evaluated against corresponding commercially available </w:t>
      </w:r>
      <w:r w:rsidRPr="00331BEC">
        <w:rPr>
          <w:i/>
          <w:sz w:val="24"/>
          <w:szCs w:val="24"/>
        </w:rPr>
        <w:t xml:space="preserve">T. </w:t>
      </w:r>
      <w:proofErr w:type="spellStart"/>
      <w:r w:rsidRPr="00331BEC">
        <w:rPr>
          <w:i/>
          <w:sz w:val="24"/>
          <w:szCs w:val="24"/>
        </w:rPr>
        <w:t>gondii</w:t>
      </w:r>
      <w:proofErr w:type="spellEnd"/>
      <w:r w:rsidRPr="00331BEC">
        <w:rPr>
          <w:sz w:val="24"/>
          <w:szCs w:val="24"/>
        </w:rPr>
        <w:t xml:space="preserve">, Rubella, and CMV IgM immunoassays. Three </w:t>
      </w:r>
      <w:r w:rsidRPr="00331BEC">
        <w:rPr>
          <w:sz w:val="24"/>
          <w:szCs w:val="24"/>
        </w:rPr>
        <w:lastRenderedPageBreak/>
        <w:t xml:space="preserve">clinical sites tested 210 </w:t>
      </w:r>
      <w:r w:rsidRPr="00331BEC">
        <w:rPr>
          <w:i/>
          <w:sz w:val="24"/>
          <w:szCs w:val="24"/>
        </w:rPr>
        <w:t xml:space="preserve">T. </w:t>
      </w:r>
      <w:proofErr w:type="spellStart"/>
      <w:r w:rsidRPr="00331BEC">
        <w:rPr>
          <w:i/>
          <w:sz w:val="24"/>
          <w:szCs w:val="24"/>
        </w:rPr>
        <w:t>gondii</w:t>
      </w:r>
      <w:proofErr w:type="spellEnd"/>
      <w:r w:rsidRPr="00331BEC">
        <w:rPr>
          <w:sz w:val="24"/>
          <w:szCs w:val="24"/>
        </w:rPr>
        <w:t xml:space="preserve"> (134 female, 76 male), 101 Rubella (44 female, 57 male) and 213 CMV (119 female, 94 male) IgM presumptive positive samples. Presumed positive banked samples for </w:t>
      </w:r>
      <w:proofErr w:type="spellStart"/>
      <w:r w:rsidRPr="00331BEC">
        <w:rPr>
          <w:sz w:val="24"/>
          <w:szCs w:val="24"/>
        </w:rPr>
        <w:t>ToRC</w:t>
      </w:r>
      <w:proofErr w:type="spellEnd"/>
      <w:r w:rsidRPr="00331BEC">
        <w:rPr>
          <w:sz w:val="24"/>
          <w:szCs w:val="24"/>
        </w:rPr>
        <w:t xml:space="preserve"> IgM were further selected by the respective predicate device used for the comparative analysis. Results are shown in Table F.</w:t>
      </w:r>
    </w:p>
    <w:p w:rsidR="00331BEC" w:rsidRDefault="00331BEC" w:rsidP="00331BEC">
      <w:pPr>
        <w:pStyle w:val="CLSI-text"/>
        <w:ind w:left="1080"/>
        <w:jc w:val="both"/>
        <w:rPr>
          <w:color w:val="000000"/>
          <w:sz w:val="24"/>
          <w:szCs w:val="24"/>
        </w:rPr>
      </w:pPr>
      <w:r>
        <w:rPr>
          <w:noProof/>
        </w:rPr>
        <w:drawing>
          <wp:inline distT="0" distB="0" distL="0" distR="0">
            <wp:extent cx="5191125" cy="4295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1125" cy="4295775"/>
                    </a:xfrm>
                    <a:prstGeom prst="rect">
                      <a:avLst/>
                    </a:prstGeom>
                    <a:noFill/>
                    <a:ln>
                      <a:noFill/>
                    </a:ln>
                  </pic:spPr>
                </pic:pic>
              </a:graphicData>
            </a:graphic>
          </wp:inline>
        </w:drawing>
      </w:r>
    </w:p>
    <w:p w:rsidR="00331BEC" w:rsidRPr="00331BEC" w:rsidRDefault="00331BEC" w:rsidP="005E6708">
      <w:pPr>
        <w:pStyle w:val="Heading2"/>
        <w:numPr>
          <w:ilvl w:val="0"/>
          <w:numId w:val="20"/>
        </w:numPr>
        <w:rPr>
          <w:i/>
          <w:szCs w:val="24"/>
        </w:rPr>
      </w:pPr>
      <w:r w:rsidRPr="00331BEC">
        <w:rPr>
          <w:i/>
          <w:szCs w:val="24"/>
        </w:rPr>
        <w:t>Correlation with CDC Evaluation Serum Panel</w:t>
      </w:r>
    </w:p>
    <w:p w:rsidR="00331BEC" w:rsidRPr="00331BEC" w:rsidRDefault="00331BEC" w:rsidP="005E6708">
      <w:pPr>
        <w:pStyle w:val="CLSIText"/>
        <w:ind w:left="1080"/>
        <w:rPr>
          <w:sz w:val="24"/>
          <w:szCs w:val="24"/>
        </w:rPr>
      </w:pPr>
      <w:r w:rsidRPr="00331BEC">
        <w:rPr>
          <w:sz w:val="24"/>
          <w:szCs w:val="24"/>
        </w:rPr>
        <w:t xml:space="preserve">The Centers for Disease Control (CDC) provided an evaluation serum panel for testing of </w:t>
      </w:r>
      <w:r w:rsidRPr="00331BEC">
        <w:rPr>
          <w:i/>
          <w:sz w:val="24"/>
          <w:szCs w:val="24"/>
        </w:rPr>
        <w:t xml:space="preserve">T. </w:t>
      </w:r>
      <w:proofErr w:type="spellStart"/>
      <w:r w:rsidRPr="00331BEC">
        <w:rPr>
          <w:i/>
          <w:sz w:val="24"/>
          <w:szCs w:val="24"/>
        </w:rPr>
        <w:t>gondii</w:t>
      </w:r>
      <w:proofErr w:type="spellEnd"/>
      <w:r w:rsidRPr="00331BEC">
        <w:rPr>
          <w:sz w:val="24"/>
          <w:szCs w:val="24"/>
        </w:rPr>
        <w:t xml:space="preserve"> IgM. This panel was tested to evaluate characteristics of the </w:t>
      </w:r>
      <w:proofErr w:type="spellStart"/>
      <w:r w:rsidRPr="00331BEC">
        <w:rPr>
          <w:sz w:val="24"/>
          <w:szCs w:val="24"/>
        </w:rPr>
        <w:t>ToRC</w:t>
      </w:r>
      <w:proofErr w:type="spellEnd"/>
      <w:r w:rsidRPr="00331BEC">
        <w:rPr>
          <w:sz w:val="24"/>
          <w:szCs w:val="24"/>
        </w:rPr>
        <w:t xml:space="preserve"> IgM kit. The results are presented as a means to convey further information on the performance of assays in the </w:t>
      </w:r>
      <w:proofErr w:type="spellStart"/>
      <w:r w:rsidRPr="00331BEC">
        <w:rPr>
          <w:sz w:val="24"/>
          <w:szCs w:val="24"/>
        </w:rPr>
        <w:t>ToRC</w:t>
      </w:r>
      <w:proofErr w:type="spellEnd"/>
      <w:r w:rsidRPr="00331BEC">
        <w:rPr>
          <w:sz w:val="24"/>
          <w:szCs w:val="24"/>
        </w:rPr>
        <w:t xml:space="preserve"> IgM kit with masked, characterized serum panels. This does not imply an endorsement of the </w:t>
      </w:r>
      <w:proofErr w:type="spellStart"/>
      <w:r w:rsidRPr="00331BEC">
        <w:rPr>
          <w:sz w:val="24"/>
          <w:szCs w:val="24"/>
        </w:rPr>
        <w:t>BioPlex</w:t>
      </w:r>
      <w:proofErr w:type="spellEnd"/>
      <w:r w:rsidRPr="00331BEC">
        <w:rPr>
          <w:sz w:val="24"/>
          <w:szCs w:val="24"/>
        </w:rPr>
        <w:t xml:space="preserve"> 2200 </w:t>
      </w:r>
      <w:proofErr w:type="spellStart"/>
      <w:r w:rsidRPr="00331BEC">
        <w:rPr>
          <w:sz w:val="24"/>
          <w:szCs w:val="24"/>
        </w:rPr>
        <w:t>ToRC</w:t>
      </w:r>
      <w:proofErr w:type="spellEnd"/>
      <w:r w:rsidRPr="00331BEC">
        <w:rPr>
          <w:sz w:val="24"/>
          <w:szCs w:val="24"/>
        </w:rPr>
        <w:t xml:space="preserve"> IgM kit by the CDC. Results are shown in Table G.</w:t>
      </w:r>
    </w:p>
    <w:p w:rsidR="00331BEC" w:rsidRDefault="00331BEC" w:rsidP="00331BEC">
      <w:pPr>
        <w:pStyle w:val="CLSIText"/>
      </w:pPr>
      <w:r>
        <w:rPr>
          <w:noProof/>
        </w:rPr>
        <w:lastRenderedPageBreak/>
        <w:drawing>
          <wp:inline distT="0" distB="0" distL="0" distR="0" wp14:anchorId="11F96F60" wp14:editId="29325F63">
            <wp:extent cx="5448300" cy="1704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8300" cy="1704975"/>
                    </a:xfrm>
                    <a:prstGeom prst="rect">
                      <a:avLst/>
                    </a:prstGeom>
                    <a:noFill/>
                    <a:ln>
                      <a:noFill/>
                    </a:ln>
                  </pic:spPr>
                </pic:pic>
              </a:graphicData>
            </a:graphic>
          </wp:inline>
        </w:drawing>
      </w:r>
    </w:p>
    <w:p w:rsidR="00331BEC" w:rsidRPr="00331BEC" w:rsidRDefault="00331BEC" w:rsidP="005E6708">
      <w:pPr>
        <w:pStyle w:val="Heading2"/>
        <w:numPr>
          <w:ilvl w:val="0"/>
          <w:numId w:val="20"/>
        </w:numPr>
        <w:rPr>
          <w:rFonts w:cs="HelveticaNeueLT Pro 67 MdCn"/>
          <w:bCs w:val="0"/>
          <w:color w:val="211D1E"/>
          <w:szCs w:val="24"/>
        </w:rPr>
      </w:pPr>
      <w:r w:rsidRPr="00331BEC">
        <w:rPr>
          <w:szCs w:val="24"/>
        </w:rPr>
        <w:t>Reproducibility Studies</w:t>
      </w:r>
    </w:p>
    <w:p w:rsidR="00331BEC" w:rsidRDefault="00331BEC" w:rsidP="005E6708">
      <w:pPr>
        <w:pStyle w:val="CLSIText"/>
        <w:spacing w:after="120"/>
        <w:ind w:left="1080"/>
        <w:rPr>
          <w:sz w:val="24"/>
          <w:szCs w:val="24"/>
        </w:rPr>
      </w:pPr>
      <w:r w:rsidRPr="00331BEC">
        <w:rPr>
          <w:sz w:val="24"/>
          <w:szCs w:val="24"/>
        </w:rPr>
        <w:t xml:space="preserve">To assess reproducibility of each of the assays in the </w:t>
      </w:r>
      <w:proofErr w:type="spellStart"/>
      <w:r w:rsidRPr="00331BEC">
        <w:rPr>
          <w:sz w:val="24"/>
          <w:szCs w:val="24"/>
        </w:rPr>
        <w:t>BioPlex</w:t>
      </w:r>
      <w:proofErr w:type="spellEnd"/>
      <w:r w:rsidRPr="00331BEC">
        <w:rPr>
          <w:sz w:val="24"/>
          <w:szCs w:val="24"/>
        </w:rPr>
        <w:t xml:space="preserve"> 2200 </w:t>
      </w:r>
      <w:proofErr w:type="spellStart"/>
      <w:r w:rsidRPr="00331BEC">
        <w:rPr>
          <w:sz w:val="24"/>
          <w:szCs w:val="24"/>
        </w:rPr>
        <w:t>ToRC</w:t>
      </w:r>
      <w:proofErr w:type="spellEnd"/>
      <w:r w:rsidRPr="00331BEC">
        <w:rPr>
          <w:sz w:val="24"/>
          <w:szCs w:val="24"/>
        </w:rPr>
        <w:t xml:space="preserve"> IgM kit, a reproducibility panel was prepared at Bio-Rad Laboratories. The panel contained members with varying levels of antibodies to the analytes in the </w:t>
      </w:r>
      <w:proofErr w:type="spellStart"/>
      <w:r w:rsidRPr="00331BEC">
        <w:rPr>
          <w:sz w:val="24"/>
          <w:szCs w:val="24"/>
        </w:rPr>
        <w:t>BioPlex</w:t>
      </w:r>
      <w:proofErr w:type="spellEnd"/>
      <w:r w:rsidRPr="00331BEC">
        <w:rPr>
          <w:sz w:val="24"/>
          <w:szCs w:val="24"/>
        </w:rPr>
        <w:t xml:space="preserve"> 2200 </w:t>
      </w:r>
      <w:proofErr w:type="spellStart"/>
      <w:r w:rsidRPr="00331BEC">
        <w:rPr>
          <w:sz w:val="24"/>
          <w:szCs w:val="24"/>
        </w:rPr>
        <w:t>ToRC</w:t>
      </w:r>
      <w:proofErr w:type="spellEnd"/>
      <w:r w:rsidRPr="00331BEC">
        <w:rPr>
          <w:sz w:val="24"/>
          <w:szCs w:val="24"/>
        </w:rPr>
        <w:t xml:space="preserve"> IgM kit, and a positive control (antibody positive for all analytes). Reproducibility testing was performed at 3 clinical trial sites. One lot of </w:t>
      </w:r>
      <w:proofErr w:type="spellStart"/>
      <w:r w:rsidRPr="00331BEC">
        <w:rPr>
          <w:sz w:val="24"/>
          <w:szCs w:val="24"/>
        </w:rPr>
        <w:t>BioPlex</w:t>
      </w:r>
      <w:proofErr w:type="spellEnd"/>
      <w:r w:rsidRPr="00331BEC">
        <w:rPr>
          <w:sz w:val="24"/>
          <w:szCs w:val="24"/>
        </w:rPr>
        <w:t xml:space="preserve"> 2200 </w:t>
      </w:r>
      <w:proofErr w:type="spellStart"/>
      <w:r w:rsidRPr="00331BEC">
        <w:rPr>
          <w:sz w:val="24"/>
          <w:szCs w:val="24"/>
        </w:rPr>
        <w:t>ToRC</w:t>
      </w:r>
      <w:proofErr w:type="spellEnd"/>
      <w:r w:rsidRPr="00331BEC">
        <w:rPr>
          <w:sz w:val="24"/>
          <w:szCs w:val="24"/>
        </w:rPr>
        <w:t xml:space="preserve"> IgM Reagent Packs, </w:t>
      </w:r>
      <w:proofErr w:type="spellStart"/>
      <w:r w:rsidRPr="00331BEC">
        <w:rPr>
          <w:sz w:val="24"/>
          <w:szCs w:val="24"/>
        </w:rPr>
        <w:t>BioPlex</w:t>
      </w:r>
      <w:proofErr w:type="spellEnd"/>
      <w:r w:rsidRPr="00331BEC">
        <w:rPr>
          <w:sz w:val="24"/>
          <w:szCs w:val="24"/>
        </w:rPr>
        <w:t xml:space="preserve"> 2200 </w:t>
      </w:r>
      <w:proofErr w:type="spellStart"/>
      <w:r w:rsidRPr="00331BEC">
        <w:rPr>
          <w:sz w:val="24"/>
          <w:szCs w:val="24"/>
        </w:rPr>
        <w:t>ToRC</w:t>
      </w:r>
      <w:proofErr w:type="spellEnd"/>
      <w:r w:rsidRPr="00331BEC">
        <w:rPr>
          <w:sz w:val="24"/>
          <w:szCs w:val="24"/>
        </w:rPr>
        <w:t xml:space="preserve"> IgM Calibrator Sets and </w:t>
      </w:r>
      <w:proofErr w:type="spellStart"/>
      <w:r w:rsidRPr="00331BEC">
        <w:rPr>
          <w:sz w:val="24"/>
          <w:szCs w:val="24"/>
        </w:rPr>
        <w:t>BioPlex</w:t>
      </w:r>
      <w:proofErr w:type="spellEnd"/>
      <w:r w:rsidRPr="00331BEC">
        <w:rPr>
          <w:sz w:val="24"/>
          <w:szCs w:val="24"/>
        </w:rPr>
        <w:t xml:space="preserve"> 2200 </w:t>
      </w:r>
      <w:proofErr w:type="spellStart"/>
      <w:r w:rsidRPr="00331BEC">
        <w:rPr>
          <w:sz w:val="24"/>
          <w:szCs w:val="24"/>
        </w:rPr>
        <w:t>ToRC</w:t>
      </w:r>
      <w:proofErr w:type="spellEnd"/>
      <w:r w:rsidRPr="00331BEC">
        <w:rPr>
          <w:sz w:val="24"/>
          <w:szCs w:val="24"/>
        </w:rPr>
        <w:t xml:space="preserve"> IgM Control Sets was used to evaluate reproducibility. Each of the panel members and a positive and negative control was tested in quadruplicate on 2 runs per day over 5 days at each of 3 sites (4 replicates x 2 runs x 5 days = 40 replicates per panel member per site = 120 total replicates for 3 sites). The data were analyzed for intra-assay and inter-assay reproducibility according to the Clinical and Laboratory Standards Institute (CLSI) guidance EP5-A3. The mean Antibody Index (AI), Standard Deviation (SD), and percent Coefficient of Variation (%CV) for each panel member were calculated. Results are shown in Tables H – J.</w:t>
      </w:r>
    </w:p>
    <w:p w:rsidR="00331BEC" w:rsidRDefault="00331BEC" w:rsidP="00331BEC">
      <w:pPr>
        <w:pStyle w:val="CLSIText"/>
        <w:spacing w:after="120"/>
        <w:rPr>
          <w:sz w:val="24"/>
          <w:szCs w:val="24"/>
        </w:rPr>
      </w:pPr>
      <w:r w:rsidRPr="00331BEC">
        <w:rPr>
          <w:rFonts w:ascii="Univers" w:hAnsi="Univers" w:cs="Times New Roman"/>
          <w:noProof/>
          <w:color w:val="auto"/>
          <w:spacing w:val="0"/>
          <w:sz w:val="24"/>
        </w:rPr>
        <w:drawing>
          <wp:inline distT="0" distB="0" distL="0" distR="0" wp14:anchorId="6794EF07" wp14:editId="488B6039">
            <wp:extent cx="5943600" cy="200025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000250"/>
                    </a:xfrm>
                    <a:prstGeom prst="rect">
                      <a:avLst/>
                    </a:prstGeom>
                    <a:noFill/>
                    <a:ln>
                      <a:noFill/>
                    </a:ln>
                  </pic:spPr>
                </pic:pic>
              </a:graphicData>
            </a:graphic>
          </wp:inline>
        </w:drawing>
      </w:r>
    </w:p>
    <w:p w:rsidR="00331BEC" w:rsidRDefault="00331BEC" w:rsidP="00331BEC">
      <w:pPr>
        <w:pStyle w:val="CLSIText"/>
        <w:spacing w:after="120"/>
        <w:rPr>
          <w:sz w:val="24"/>
          <w:szCs w:val="24"/>
        </w:rPr>
      </w:pPr>
      <w:r w:rsidRPr="00331BEC">
        <w:rPr>
          <w:rFonts w:ascii="Univers" w:hAnsi="Univers" w:cs="Times New Roman"/>
          <w:noProof/>
          <w:color w:val="auto"/>
          <w:spacing w:val="0"/>
          <w:sz w:val="24"/>
        </w:rPr>
        <w:lastRenderedPageBreak/>
        <w:drawing>
          <wp:inline distT="0" distB="0" distL="0" distR="0" wp14:anchorId="102E94F7" wp14:editId="66156E77">
            <wp:extent cx="5943600" cy="20002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000250"/>
                    </a:xfrm>
                    <a:prstGeom prst="rect">
                      <a:avLst/>
                    </a:prstGeom>
                    <a:noFill/>
                    <a:ln>
                      <a:noFill/>
                    </a:ln>
                  </pic:spPr>
                </pic:pic>
              </a:graphicData>
            </a:graphic>
          </wp:inline>
        </w:drawing>
      </w:r>
    </w:p>
    <w:p w:rsidR="00331BEC" w:rsidRDefault="00331BEC" w:rsidP="00331BEC">
      <w:pPr>
        <w:pStyle w:val="CLSIText"/>
        <w:spacing w:after="120"/>
        <w:rPr>
          <w:sz w:val="24"/>
          <w:szCs w:val="24"/>
        </w:rPr>
      </w:pPr>
      <w:r w:rsidRPr="00331BEC">
        <w:rPr>
          <w:rFonts w:ascii="Univers" w:hAnsi="Univers" w:cs="Times New Roman"/>
          <w:noProof/>
          <w:color w:val="auto"/>
          <w:spacing w:val="0"/>
          <w:sz w:val="24"/>
        </w:rPr>
        <w:drawing>
          <wp:inline distT="0" distB="0" distL="0" distR="0" wp14:anchorId="1AFD2D01" wp14:editId="7DB448A4">
            <wp:extent cx="5943600" cy="1990725"/>
            <wp:effectExtent l="0" t="0" r="0" b="952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rsidR="00331BEC" w:rsidRPr="00331BEC" w:rsidRDefault="00331BEC" w:rsidP="005E6708">
      <w:pPr>
        <w:pStyle w:val="Heading2"/>
        <w:numPr>
          <w:ilvl w:val="0"/>
          <w:numId w:val="20"/>
        </w:numPr>
        <w:rPr>
          <w:rFonts w:cs="HelveticaNeueLT Pro 67 MdCn"/>
          <w:color w:val="211D1E"/>
          <w:szCs w:val="24"/>
        </w:rPr>
      </w:pPr>
      <w:r w:rsidRPr="00331BEC">
        <w:rPr>
          <w:szCs w:val="24"/>
        </w:rPr>
        <w:t>Matrix Comparison</w:t>
      </w:r>
    </w:p>
    <w:p w:rsidR="00331BEC" w:rsidRDefault="00331BEC" w:rsidP="005E6708">
      <w:pPr>
        <w:pStyle w:val="CLSIText"/>
        <w:spacing w:after="120"/>
        <w:ind w:left="1080"/>
        <w:rPr>
          <w:rFonts w:cs="HelveticaNeueLT Pro 67 MdCn"/>
          <w:bCs/>
          <w:color w:val="211D1E"/>
          <w:sz w:val="24"/>
          <w:szCs w:val="24"/>
        </w:rPr>
      </w:pPr>
      <w:r w:rsidRPr="00331BEC">
        <w:rPr>
          <w:rFonts w:cs="HelveticaNeueLT Pro 67 MdCn"/>
          <w:bCs/>
          <w:color w:val="211D1E"/>
          <w:sz w:val="24"/>
          <w:szCs w:val="24"/>
        </w:rPr>
        <w:t>Matched serum and plasma samples drawn from &gt; 40 individual donors were acquired from commercial sources. All samples were evaluated in replicates of 2. Mean plasma values were compared to matched mean serum AI values. Scatter plots comparing the performance of plasma samples against serum samples along with the corresponding slopes of regression and correlation coefficient are shown in Figures 1 – 9.</w:t>
      </w:r>
    </w:p>
    <w:p w:rsidR="00331BEC" w:rsidRDefault="00331BEC" w:rsidP="00331BEC">
      <w:pPr>
        <w:pStyle w:val="CLSIText"/>
        <w:spacing w:after="120"/>
        <w:rPr>
          <w:rFonts w:cs="HelveticaNeueLT Pro 67 MdCn"/>
          <w:bCs/>
          <w:color w:val="211D1E"/>
          <w:sz w:val="24"/>
          <w:szCs w:val="24"/>
        </w:rPr>
      </w:pPr>
      <w:r w:rsidRPr="00331BEC">
        <w:rPr>
          <w:rFonts w:ascii="Univers" w:hAnsi="Univers" w:cs="Times New Roman"/>
          <w:noProof/>
          <w:color w:val="auto"/>
          <w:spacing w:val="0"/>
          <w:sz w:val="24"/>
        </w:rPr>
        <w:lastRenderedPageBreak/>
        <w:drawing>
          <wp:inline distT="0" distB="0" distL="0" distR="0" wp14:anchorId="1E4C7DFD" wp14:editId="3564F584">
            <wp:extent cx="5867400" cy="630555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7400" cy="6305550"/>
                    </a:xfrm>
                    <a:prstGeom prst="rect">
                      <a:avLst/>
                    </a:prstGeom>
                    <a:noFill/>
                    <a:ln>
                      <a:noFill/>
                    </a:ln>
                  </pic:spPr>
                </pic:pic>
              </a:graphicData>
            </a:graphic>
          </wp:inline>
        </w:drawing>
      </w:r>
    </w:p>
    <w:p w:rsidR="00331BEC" w:rsidRDefault="00331BEC" w:rsidP="00331BEC">
      <w:pPr>
        <w:pStyle w:val="CLSIText"/>
        <w:spacing w:after="120"/>
        <w:rPr>
          <w:noProof/>
        </w:rPr>
      </w:pPr>
      <w:r>
        <w:rPr>
          <w:noProof/>
        </w:rPr>
        <w:lastRenderedPageBreak/>
        <w:drawing>
          <wp:inline distT="0" distB="0" distL="0" distR="0">
            <wp:extent cx="5676900" cy="6315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6900" cy="6315075"/>
                    </a:xfrm>
                    <a:prstGeom prst="rect">
                      <a:avLst/>
                    </a:prstGeom>
                    <a:noFill/>
                    <a:ln>
                      <a:noFill/>
                    </a:ln>
                  </pic:spPr>
                </pic:pic>
              </a:graphicData>
            </a:graphic>
          </wp:inline>
        </w:drawing>
      </w:r>
    </w:p>
    <w:p w:rsidR="00331BEC" w:rsidRDefault="00331BEC" w:rsidP="00331BEC">
      <w:pPr>
        <w:pStyle w:val="CLSIText"/>
        <w:spacing w:after="120"/>
        <w:rPr>
          <w:rFonts w:cs="HelveticaNeueLT Pro 67 MdCn"/>
          <w:bCs/>
          <w:color w:val="211D1E"/>
          <w:sz w:val="24"/>
          <w:szCs w:val="24"/>
        </w:rPr>
      </w:pPr>
      <w:r w:rsidRPr="00331BEC">
        <w:rPr>
          <w:rFonts w:ascii="Univers" w:hAnsi="Univers" w:cs="Times New Roman"/>
          <w:noProof/>
          <w:color w:val="auto"/>
          <w:spacing w:val="0"/>
          <w:sz w:val="24"/>
        </w:rPr>
        <w:lastRenderedPageBreak/>
        <w:drawing>
          <wp:inline distT="0" distB="0" distL="0" distR="0" wp14:anchorId="4F3B5058" wp14:editId="1915CDA5">
            <wp:extent cx="2381250" cy="2924175"/>
            <wp:effectExtent l="0" t="0" r="0" b="9525"/>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2924175"/>
                    </a:xfrm>
                    <a:prstGeom prst="rect">
                      <a:avLst/>
                    </a:prstGeom>
                    <a:noFill/>
                    <a:ln>
                      <a:noFill/>
                    </a:ln>
                  </pic:spPr>
                </pic:pic>
              </a:graphicData>
            </a:graphic>
          </wp:inline>
        </w:drawing>
      </w:r>
    </w:p>
    <w:p w:rsidR="00331BEC" w:rsidRPr="00331BEC" w:rsidRDefault="00331BEC" w:rsidP="005E6708">
      <w:pPr>
        <w:pStyle w:val="Heading2"/>
        <w:numPr>
          <w:ilvl w:val="0"/>
          <w:numId w:val="20"/>
        </w:numPr>
        <w:rPr>
          <w:rFonts w:cs="HelveticaNeueLT Pro 67 MdCn"/>
          <w:color w:val="211D1E"/>
          <w:szCs w:val="24"/>
        </w:rPr>
      </w:pPr>
      <w:r w:rsidRPr="00331BEC">
        <w:rPr>
          <w:szCs w:val="24"/>
        </w:rPr>
        <w:t>IgM Specificity</w:t>
      </w:r>
    </w:p>
    <w:p w:rsidR="00331BEC" w:rsidRPr="00331BEC" w:rsidRDefault="00331BEC" w:rsidP="005E6708">
      <w:pPr>
        <w:pStyle w:val="CLSIText"/>
        <w:spacing w:after="120"/>
        <w:ind w:left="1080"/>
        <w:rPr>
          <w:rFonts w:cs="HelveticaNeueLT Pro 67 MdCn"/>
          <w:bCs/>
          <w:color w:val="211D1E"/>
          <w:sz w:val="24"/>
          <w:szCs w:val="24"/>
        </w:rPr>
      </w:pPr>
      <w:r w:rsidRPr="00331BEC">
        <w:rPr>
          <w:rFonts w:cs="HelveticaNeueLT Pro 67 MdCn"/>
          <w:bCs/>
          <w:i/>
          <w:color w:val="211D1E"/>
          <w:sz w:val="24"/>
          <w:szCs w:val="24"/>
        </w:rPr>
        <w:t xml:space="preserve">T. </w:t>
      </w:r>
      <w:proofErr w:type="spellStart"/>
      <w:r w:rsidRPr="00331BEC">
        <w:rPr>
          <w:rFonts w:cs="HelveticaNeueLT Pro 67 MdCn"/>
          <w:bCs/>
          <w:i/>
          <w:color w:val="211D1E"/>
          <w:sz w:val="24"/>
          <w:szCs w:val="24"/>
        </w:rPr>
        <w:t>gondii</w:t>
      </w:r>
      <w:proofErr w:type="spellEnd"/>
      <w:r w:rsidRPr="00331BEC">
        <w:rPr>
          <w:rFonts w:cs="HelveticaNeueLT Pro 67 MdCn"/>
          <w:bCs/>
          <w:color w:val="211D1E"/>
          <w:sz w:val="24"/>
          <w:szCs w:val="24"/>
        </w:rPr>
        <w:t xml:space="preserve">, Rubella and CMV IgM positive samples were selected and supplemented with matched, specific IgG. The sample pools were split and further supplemented with </w:t>
      </w:r>
      <w:proofErr w:type="spellStart"/>
      <w:r w:rsidRPr="00331BEC">
        <w:rPr>
          <w:rFonts w:cs="HelveticaNeueLT Pro 67 MdCn"/>
          <w:bCs/>
          <w:color w:val="211D1E"/>
          <w:sz w:val="24"/>
          <w:szCs w:val="24"/>
        </w:rPr>
        <w:t>dithiothreitol</w:t>
      </w:r>
      <w:proofErr w:type="spellEnd"/>
      <w:r w:rsidRPr="00331BEC">
        <w:rPr>
          <w:rFonts w:cs="HelveticaNeueLT Pro 67 MdCn"/>
          <w:bCs/>
          <w:color w:val="211D1E"/>
          <w:sz w:val="24"/>
          <w:szCs w:val="24"/>
        </w:rPr>
        <w:t xml:space="preserve"> (DTT) which inactivates IgM activity. The samples were assayed neat and diluted into assay range in replicates of two. IgM was measured using the </w:t>
      </w:r>
      <w:proofErr w:type="spellStart"/>
      <w:r w:rsidRPr="00331BEC">
        <w:rPr>
          <w:rFonts w:cs="HelveticaNeueLT Pro 67 MdCn"/>
          <w:bCs/>
          <w:color w:val="211D1E"/>
          <w:sz w:val="24"/>
          <w:szCs w:val="24"/>
        </w:rPr>
        <w:t>BioPlex</w:t>
      </w:r>
      <w:proofErr w:type="spellEnd"/>
      <w:r w:rsidRPr="00331BEC">
        <w:rPr>
          <w:rFonts w:cs="HelveticaNeueLT Pro 67 MdCn"/>
          <w:bCs/>
          <w:color w:val="211D1E"/>
          <w:sz w:val="24"/>
          <w:szCs w:val="24"/>
        </w:rPr>
        <w:t xml:space="preserve"> 2200 </w:t>
      </w:r>
      <w:proofErr w:type="spellStart"/>
      <w:r w:rsidRPr="00331BEC">
        <w:rPr>
          <w:rFonts w:cs="HelveticaNeueLT Pro 67 MdCn"/>
          <w:bCs/>
          <w:color w:val="211D1E"/>
          <w:sz w:val="24"/>
          <w:szCs w:val="24"/>
        </w:rPr>
        <w:t>ToRC</w:t>
      </w:r>
      <w:proofErr w:type="spellEnd"/>
      <w:r w:rsidRPr="00331BEC">
        <w:rPr>
          <w:rFonts w:cs="HelveticaNeueLT Pro 67 MdCn"/>
          <w:bCs/>
          <w:color w:val="211D1E"/>
          <w:sz w:val="24"/>
          <w:szCs w:val="24"/>
        </w:rPr>
        <w:t xml:space="preserve"> IgM kit. The results are shown in Tables K – M.</w:t>
      </w:r>
    </w:p>
    <w:p w:rsidR="00331BEC" w:rsidRDefault="00331BEC" w:rsidP="00331BEC">
      <w:pPr>
        <w:pStyle w:val="CLSIText"/>
        <w:spacing w:after="120"/>
        <w:rPr>
          <w:rFonts w:cs="HelveticaNeueLT Pro 67 MdCn"/>
          <w:bCs/>
          <w:color w:val="211D1E"/>
          <w:sz w:val="24"/>
          <w:szCs w:val="24"/>
        </w:rPr>
      </w:pPr>
      <w:r>
        <w:rPr>
          <w:noProof/>
        </w:rPr>
        <w:drawing>
          <wp:inline distT="0" distB="0" distL="0" distR="0">
            <wp:extent cx="3476625" cy="2743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6625" cy="2743200"/>
                    </a:xfrm>
                    <a:prstGeom prst="rect">
                      <a:avLst/>
                    </a:prstGeom>
                    <a:noFill/>
                    <a:ln>
                      <a:noFill/>
                    </a:ln>
                  </pic:spPr>
                </pic:pic>
              </a:graphicData>
            </a:graphic>
          </wp:inline>
        </w:drawing>
      </w:r>
    </w:p>
    <w:p w:rsidR="00331BEC" w:rsidRDefault="00331BEC" w:rsidP="00331BEC">
      <w:pPr>
        <w:pStyle w:val="CLSIText"/>
        <w:spacing w:after="120"/>
        <w:rPr>
          <w:rFonts w:cs="HelveticaNeueLT Pro 67 MdCn"/>
          <w:bCs/>
          <w:color w:val="211D1E"/>
          <w:sz w:val="24"/>
          <w:szCs w:val="24"/>
        </w:rPr>
      </w:pPr>
      <w:r w:rsidRPr="00331BEC">
        <w:rPr>
          <w:rFonts w:ascii="Univers" w:hAnsi="Univers" w:cs="Times New Roman"/>
          <w:noProof/>
          <w:color w:val="auto"/>
          <w:spacing w:val="0"/>
          <w:sz w:val="24"/>
        </w:rPr>
        <w:lastRenderedPageBreak/>
        <w:drawing>
          <wp:inline distT="0" distB="0" distL="0" distR="0" wp14:anchorId="40DF2CC4" wp14:editId="28F3CBDF">
            <wp:extent cx="3295650" cy="274320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95650" cy="2743200"/>
                    </a:xfrm>
                    <a:prstGeom prst="rect">
                      <a:avLst/>
                    </a:prstGeom>
                    <a:noFill/>
                    <a:ln>
                      <a:noFill/>
                    </a:ln>
                  </pic:spPr>
                </pic:pic>
              </a:graphicData>
            </a:graphic>
          </wp:inline>
        </w:drawing>
      </w:r>
    </w:p>
    <w:p w:rsidR="00331BEC" w:rsidRPr="00331BEC" w:rsidRDefault="00331BEC" w:rsidP="00331BEC">
      <w:pPr>
        <w:pStyle w:val="CLSIText"/>
        <w:spacing w:after="120"/>
        <w:rPr>
          <w:rFonts w:cs="HelveticaNeueLT Pro 67 MdCn"/>
          <w:bCs/>
          <w:color w:val="211D1E"/>
          <w:sz w:val="24"/>
          <w:szCs w:val="24"/>
        </w:rPr>
      </w:pPr>
    </w:p>
    <w:p w:rsidR="00331BEC" w:rsidRDefault="00331BEC" w:rsidP="00331BEC">
      <w:pPr>
        <w:pStyle w:val="CLSIText"/>
        <w:spacing w:after="120"/>
        <w:rPr>
          <w:sz w:val="24"/>
          <w:szCs w:val="24"/>
        </w:rPr>
      </w:pPr>
      <w:r w:rsidRPr="00331BEC">
        <w:rPr>
          <w:rFonts w:ascii="Univers" w:hAnsi="Univers" w:cs="Times New Roman"/>
          <w:noProof/>
          <w:color w:val="auto"/>
          <w:spacing w:val="0"/>
          <w:sz w:val="24"/>
        </w:rPr>
        <w:drawing>
          <wp:inline distT="0" distB="0" distL="0" distR="0" wp14:anchorId="04C60B3E" wp14:editId="657E6A07">
            <wp:extent cx="3324225" cy="2743200"/>
            <wp:effectExtent l="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24225" cy="2743200"/>
                    </a:xfrm>
                    <a:prstGeom prst="rect">
                      <a:avLst/>
                    </a:prstGeom>
                    <a:noFill/>
                    <a:ln>
                      <a:noFill/>
                    </a:ln>
                  </pic:spPr>
                </pic:pic>
              </a:graphicData>
            </a:graphic>
          </wp:inline>
        </w:drawing>
      </w:r>
    </w:p>
    <w:p w:rsidR="00331BEC" w:rsidRPr="00331BEC" w:rsidRDefault="00331BEC" w:rsidP="005E6708">
      <w:pPr>
        <w:pStyle w:val="Heading2"/>
        <w:numPr>
          <w:ilvl w:val="0"/>
          <w:numId w:val="20"/>
        </w:numPr>
        <w:rPr>
          <w:i/>
          <w:szCs w:val="24"/>
        </w:rPr>
      </w:pPr>
      <w:r w:rsidRPr="00331BEC">
        <w:rPr>
          <w:i/>
          <w:szCs w:val="24"/>
        </w:rPr>
        <w:lastRenderedPageBreak/>
        <w:t>Seroconversion Testing</w:t>
      </w:r>
    </w:p>
    <w:p w:rsidR="00331BEC" w:rsidRPr="00331BEC" w:rsidRDefault="00331BEC" w:rsidP="005E6708">
      <w:pPr>
        <w:pStyle w:val="CLSIText"/>
        <w:keepNext/>
        <w:spacing w:after="120"/>
        <w:ind w:left="1080"/>
        <w:rPr>
          <w:rFonts w:cs="HelveticaNeueLT Pro 67 MdCn"/>
          <w:bCs/>
          <w:color w:val="211D1E"/>
          <w:sz w:val="24"/>
          <w:szCs w:val="24"/>
        </w:rPr>
      </w:pPr>
      <w:r w:rsidRPr="00331BEC">
        <w:rPr>
          <w:rFonts w:cs="HelveticaNeueLT Pro 67 MdCn"/>
          <w:bCs/>
          <w:i/>
          <w:color w:val="211D1E"/>
          <w:sz w:val="24"/>
          <w:szCs w:val="24"/>
        </w:rPr>
        <w:t xml:space="preserve">T. </w:t>
      </w:r>
      <w:proofErr w:type="spellStart"/>
      <w:r w:rsidRPr="00331BEC">
        <w:rPr>
          <w:rFonts w:cs="HelveticaNeueLT Pro 67 MdCn"/>
          <w:bCs/>
          <w:i/>
          <w:color w:val="211D1E"/>
          <w:sz w:val="24"/>
          <w:szCs w:val="24"/>
        </w:rPr>
        <w:t>gondii</w:t>
      </w:r>
      <w:proofErr w:type="spellEnd"/>
      <w:r w:rsidRPr="00331BEC">
        <w:rPr>
          <w:rFonts w:cs="HelveticaNeueLT Pro 67 MdCn"/>
          <w:bCs/>
          <w:color w:val="211D1E"/>
          <w:sz w:val="24"/>
          <w:szCs w:val="24"/>
        </w:rPr>
        <w:t xml:space="preserve"> IgM seroconversion panels were tested with the </w:t>
      </w:r>
      <w:proofErr w:type="spellStart"/>
      <w:r w:rsidRPr="00331BEC">
        <w:rPr>
          <w:rFonts w:cs="HelveticaNeueLT Pro 67 MdCn"/>
          <w:bCs/>
          <w:color w:val="211D1E"/>
          <w:sz w:val="24"/>
          <w:szCs w:val="24"/>
        </w:rPr>
        <w:t>BioPlex</w:t>
      </w:r>
      <w:proofErr w:type="spellEnd"/>
      <w:r w:rsidRPr="00331BEC">
        <w:rPr>
          <w:rFonts w:cs="HelveticaNeueLT Pro 67 MdCn"/>
          <w:bCs/>
          <w:color w:val="211D1E"/>
          <w:sz w:val="24"/>
          <w:szCs w:val="24"/>
        </w:rPr>
        <w:t xml:space="preserve"> 2200 </w:t>
      </w:r>
      <w:proofErr w:type="spellStart"/>
      <w:r w:rsidRPr="00331BEC">
        <w:rPr>
          <w:rFonts w:cs="HelveticaNeueLT Pro 67 MdCn"/>
          <w:bCs/>
          <w:color w:val="211D1E"/>
          <w:sz w:val="24"/>
          <w:szCs w:val="24"/>
        </w:rPr>
        <w:t>ToRC</w:t>
      </w:r>
      <w:proofErr w:type="spellEnd"/>
      <w:r w:rsidRPr="00331BEC">
        <w:rPr>
          <w:rFonts w:cs="HelveticaNeueLT Pro 67 MdCn"/>
          <w:bCs/>
          <w:color w:val="211D1E"/>
          <w:sz w:val="24"/>
          <w:szCs w:val="24"/>
        </w:rPr>
        <w:t xml:space="preserve"> IgM kit. The results shown in Table N were compared to the predicate device.</w:t>
      </w:r>
    </w:p>
    <w:p w:rsidR="00331BEC" w:rsidRDefault="00331BEC" w:rsidP="00331BEC">
      <w:pPr>
        <w:pStyle w:val="CLSIText"/>
        <w:spacing w:after="120"/>
        <w:rPr>
          <w:sz w:val="24"/>
          <w:szCs w:val="24"/>
        </w:rPr>
      </w:pPr>
      <w:r>
        <w:rPr>
          <w:noProof/>
        </w:rPr>
        <w:drawing>
          <wp:inline distT="0" distB="0" distL="0" distR="0">
            <wp:extent cx="4667250" cy="5486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67250" cy="5486400"/>
                    </a:xfrm>
                    <a:prstGeom prst="rect">
                      <a:avLst/>
                    </a:prstGeom>
                    <a:noFill/>
                    <a:ln>
                      <a:noFill/>
                    </a:ln>
                  </pic:spPr>
                </pic:pic>
              </a:graphicData>
            </a:graphic>
          </wp:inline>
        </w:drawing>
      </w:r>
    </w:p>
    <w:p w:rsidR="00331BEC" w:rsidRPr="00331BEC" w:rsidRDefault="00331BEC" w:rsidP="005E6708">
      <w:pPr>
        <w:pStyle w:val="Heading2"/>
        <w:numPr>
          <w:ilvl w:val="0"/>
          <w:numId w:val="20"/>
        </w:numPr>
        <w:rPr>
          <w:i/>
          <w:szCs w:val="24"/>
        </w:rPr>
      </w:pPr>
      <w:r w:rsidRPr="00331BEC">
        <w:rPr>
          <w:i/>
          <w:szCs w:val="24"/>
        </w:rPr>
        <w:lastRenderedPageBreak/>
        <w:t>Rubella IgM</w:t>
      </w:r>
    </w:p>
    <w:p w:rsidR="00331BEC" w:rsidRPr="00331BEC" w:rsidRDefault="00331BEC" w:rsidP="005E6708">
      <w:pPr>
        <w:pStyle w:val="CLSIText"/>
        <w:keepNext/>
        <w:spacing w:after="120"/>
        <w:ind w:left="1080"/>
        <w:rPr>
          <w:rFonts w:cs="HelveticaNeueLT Pro 67 MdCn"/>
          <w:bCs/>
          <w:color w:val="211D1E"/>
          <w:sz w:val="24"/>
          <w:szCs w:val="24"/>
        </w:rPr>
      </w:pPr>
      <w:r w:rsidRPr="00331BEC">
        <w:rPr>
          <w:rFonts w:cs="HelveticaNeueLT Pro 67 MdCn"/>
          <w:bCs/>
          <w:color w:val="211D1E"/>
          <w:sz w:val="24"/>
          <w:szCs w:val="24"/>
        </w:rPr>
        <w:t xml:space="preserve">Rubella IgM seroconversion panels were tested with the </w:t>
      </w:r>
      <w:proofErr w:type="spellStart"/>
      <w:r w:rsidRPr="00331BEC">
        <w:rPr>
          <w:rFonts w:cs="HelveticaNeueLT Pro 67 MdCn"/>
          <w:bCs/>
          <w:color w:val="211D1E"/>
          <w:sz w:val="24"/>
          <w:szCs w:val="24"/>
        </w:rPr>
        <w:t>BioPlex</w:t>
      </w:r>
      <w:proofErr w:type="spellEnd"/>
      <w:r w:rsidRPr="00331BEC">
        <w:rPr>
          <w:rFonts w:cs="HelveticaNeueLT Pro 67 MdCn"/>
          <w:bCs/>
          <w:color w:val="211D1E"/>
          <w:sz w:val="24"/>
          <w:szCs w:val="24"/>
        </w:rPr>
        <w:t xml:space="preserve"> 2200 </w:t>
      </w:r>
      <w:proofErr w:type="spellStart"/>
      <w:r w:rsidRPr="00331BEC">
        <w:rPr>
          <w:rFonts w:cs="HelveticaNeueLT Pro 67 MdCn"/>
          <w:bCs/>
          <w:color w:val="211D1E"/>
          <w:sz w:val="24"/>
          <w:szCs w:val="24"/>
        </w:rPr>
        <w:t>ToRC</w:t>
      </w:r>
      <w:proofErr w:type="spellEnd"/>
      <w:r w:rsidRPr="00331BEC">
        <w:rPr>
          <w:rFonts w:cs="HelveticaNeueLT Pro 67 MdCn"/>
          <w:bCs/>
          <w:color w:val="211D1E"/>
          <w:sz w:val="24"/>
          <w:szCs w:val="24"/>
        </w:rPr>
        <w:t xml:space="preserve"> IgM kit. The results shown in Table O were compared to the predicate device.</w:t>
      </w:r>
    </w:p>
    <w:p w:rsidR="00331BEC" w:rsidRDefault="00331BEC" w:rsidP="00331BEC">
      <w:pPr>
        <w:pStyle w:val="CLSIText"/>
        <w:spacing w:after="120"/>
        <w:rPr>
          <w:sz w:val="24"/>
          <w:szCs w:val="24"/>
        </w:rPr>
      </w:pPr>
      <w:r>
        <w:rPr>
          <w:noProof/>
        </w:rPr>
        <w:drawing>
          <wp:inline distT="0" distB="0" distL="0" distR="0">
            <wp:extent cx="4419600" cy="5486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19600" cy="5486400"/>
                    </a:xfrm>
                    <a:prstGeom prst="rect">
                      <a:avLst/>
                    </a:prstGeom>
                    <a:noFill/>
                    <a:ln>
                      <a:noFill/>
                    </a:ln>
                  </pic:spPr>
                </pic:pic>
              </a:graphicData>
            </a:graphic>
          </wp:inline>
        </w:drawing>
      </w:r>
    </w:p>
    <w:p w:rsidR="00331BEC" w:rsidRPr="00331BEC" w:rsidRDefault="00331BEC" w:rsidP="005E6708">
      <w:pPr>
        <w:pStyle w:val="Heading2"/>
        <w:numPr>
          <w:ilvl w:val="0"/>
          <w:numId w:val="20"/>
        </w:numPr>
        <w:rPr>
          <w:i/>
          <w:szCs w:val="24"/>
        </w:rPr>
      </w:pPr>
      <w:r w:rsidRPr="00331BEC">
        <w:rPr>
          <w:i/>
          <w:szCs w:val="24"/>
        </w:rPr>
        <w:t>CMV IgM</w:t>
      </w:r>
    </w:p>
    <w:p w:rsidR="00331BEC" w:rsidRPr="00331BEC" w:rsidRDefault="00331BEC" w:rsidP="005E6708">
      <w:pPr>
        <w:pStyle w:val="CLSIText"/>
        <w:spacing w:after="120"/>
        <w:ind w:left="1080"/>
        <w:rPr>
          <w:rFonts w:cs="HelveticaNeueLT Pro 67 MdCn"/>
          <w:bCs/>
          <w:color w:val="211D1E"/>
          <w:sz w:val="24"/>
          <w:szCs w:val="24"/>
        </w:rPr>
      </w:pPr>
      <w:r w:rsidRPr="00331BEC">
        <w:rPr>
          <w:rFonts w:cs="HelveticaNeueLT Pro 67 MdCn"/>
          <w:bCs/>
          <w:color w:val="211D1E"/>
          <w:sz w:val="24"/>
          <w:szCs w:val="24"/>
        </w:rPr>
        <w:t xml:space="preserve">CMV IgM seroconversion panels were tested with the </w:t>
      </w:r>
      <w:proofErr w:type="spellStart"/>
      <w:r w:rsidRPr="00331BEC">
        <w:rPr>
          <w:rFonts w:cs="HelveticaNeueLT Pro 67 MdCn"/>
          <w:bCs/>
          <w:color w:val="211D1E"/>
          <w:sz w:val="24"/>
          <w:szCs w:val="24"/>
        </w:rPr>
        <w:t>BioPlex</w:t>
      </w:r>
      <w:proofErr w:type="spellEnd"/>
      <w:r w:rsidRPr="00331BEC">
        <w:rPr>
          <w:rFonts w:cs="HelveticaNeueLT Pro 67 MdCn"/>
          <w:bCs/>
          <w:color w:val="211D1E"/>
          <w:sz w:val="24"/>
          <w:szCs w:val="24"/>
        </w:rPr>
        <w:t xml:space="preserve"> 2200 </w:t>
      </w:r>
      <w:proofErr w:type="spellStart"/>
      <w:r w:rsidRPr="00331BEC">
        <w:rPr>
          <w:rFonts w:cs="HelveticaNeueLT Pro 67 MdCn"/>
          <w:bCs/>
          <w:color w:val="211D1E"/>
          <w:sz w:val="24"/>
          <w:szCs w:val="24"/>
        </w:rPr>
        <w:t>ToRC</w:t>
      </w:r>
      <w:proofErr w:type="spellEnd"/>
      <w:r w:rsidRPr="00331BEC">
        <w:rPr>
          <w:rFonts w:cs="HelveticaNeueLT Pro 67 MdCn"/>
          <w:bCs/>
          <w:color w:val="211D1E"/>
          <w:sz w:val="24"/>
          <w:szCs w:val="24"/>
        </w:rPr>
        <w:t xml:space="preserve"> IgM kit. The results shown in Table P were compared to the predicate device.</w:t>
      </w:r>
    </w:p>
    <w:p w:rsidR="00331BEC" w:rsidRDefault="00331BEC" w:rsidP="00331BEC">
      <w:pPr>
        <w:pStyle w:val="CLSIText"/>
        <w:spacing w:after="120"/>
        <w:rPr>
          <w:sz w:val="24"/>
          <w:szCs w:val="24"/>
        </w:rPr>
      </w:pPr>
      <w:r>
        <w:rPr>
          <w:noProof/>
        </w:rPr>
        <w:lastRenderedPageBreak/>
        <w:drawing>
          <wp:inline distT="0" distB="0" distL="0" distR="0">
            <wp:extent cx="4505325" cy="42957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05325" cy="4295775"/>
                    </a:xfrm>
                    <a:prstGeom prst="rect">
                      <a:avLst/>
                    </a:prstGeom>
                    <a:noFill/>
                    <a:ln>
                      <a:noFill/>
                    </a:ln>
                  </pic:spPr>
                </pic:pic>
              </a:graphicData>
            </a:graphic>
          </wp:inline>
        </w:drawing>
      </w:r>
    </w:p>
    <w:p w:rsidR="00331BEC" w:rsidRPr="00331BEC" w:rsidRDefault="00331BEC" w:rsidP="00331BEC">
      <w:pPr>
        <w:pStyle w:val="Heading2"/>
        <w:rPr>
          <w:rFonts w:cs="HelveticaNeueLT Pro 67 MdCn"/>
          <w:bCs w:val="0"/>
          <w:color w:val="211D1E"/>
          <w:szCs w:val="24"/>
        </w:rPr>
      </w:pPr>
      <w:r w:rsidRPr="00331BEC">
        <w:rPr>
          <w:szCs w:val="24"/>
        </w:rPr>
        <w:t>Cross-Reactivity</w:t>
      </w:r>
    </w:p>
    <w:p w:rsidR="00331BEC" w:rsidRPr="00331BEC" w:rsidRDefault="00331BEC" w:rsidP="00331BEC">
      <w:pPr>
        <w:pStyle w:val="CLSIText"/>
        <w:spacing w:after="120"/>
        <w:rPr>
          <w:sz w:val="24"/>
          <w:szCs w:val="24"/>
        </w:rPr>
      </w:pPr>
      <w:r w:rsidRPr="00331BEC">
        <w:rPr>
          <w:sz w:val="24"/>
          <w:szCs w:val="24"/>
        </w:rPr>
        <w:t xml:space="preserve">A cross-reactivity study was performed to determine if samples from various disease states and other potentially cross-reacting agents interfere with test results when tested with the </w:t>
      </w:r>
      <w:proofErr w:type="spellStart"/>
      <w:r w:rsidRPr="00331BEC">
        <w:rPr>
          <w:sz w:val="24"/>
          <w:szCs w:val="24"/>
        </w:rPr>
        <w:t>BioPlex</w:t>
      </w:r>
      <w:proofErr w:type="spellEnd"/>
      <w:r w:rsidRPr="00331BEC">
        <w:rPr>
          <w:sz w:val="24"/>
          <w:szCs w:val="24"/>
        </w:rPr>
        <w:t xml:space="preserve"> 2200 </w:t>
      </w:r>
      <w:proofErr w:type="spellStart"/>
      <w:r w:rsidRPr="00331BEC">
        <w:rPr>
          <w:sz w:val="24"/>
          <w:szCs w:val="24"/>
        </w:rPr>
        <w:t>ToRC</w:t>
      </w:r>
      <w:proofErr w:type="spellEnd"/>
      <w:r w:rsidRPr="00331BEC">
        <w:rPr>
          <w:sz w:val="24"/>
          <w:szCs w:val="24"/>
        </w:rPr>
        <w:t xml:space="preserve"> IgM kit. Samples known to be positive for one of the potential cross-reactants listed in the table below were evaluated with the </w:t>
      </w:r>
      <w:proofErr w:type="spellStart"/>
      <w:r w:rsidRPr="00331BEC">
        <w:rPr>
          <w:sz w:val="24"/>
          <w:szCs w:val="24"/>
        </w:rPr>
        <w:t>BioPlex</w:t>
      </w:r>
      <w:proofErr w:type="spellEnd"/>
      <w:r w:rsidRPr="00331BEC">
        <w:rPr>
          <w:sz w:val="24"/>
          <w:szCs w:val="24"/>
        </w:rPr>
        <w:t xml:space="preserve"> 2200 </w:t>
      </w:r>
      <w:proofErr w:type="spellStart"/>
      <w:r w:rsidRPr="00331BEC">
        <w:rPr>
          <w:sz w:val="24"/>
          <w:szCs w:val="24"/>
        </w:rPr>
        <w:t>ToRC</w:t>
      </w:r>
      <w:proofErr w:type="spellEnd"/>
      <w:r w:rsidRPr="00331BEC">
        <w:rPr>
          <w:sz w:val="24"/>
          <w:szCs w:val="24"/>
        </w:rPr>
        <w:t xml:space="preserve"> IgM assays. All samples were pre-tested by commercially available </w:t>
      </w:r>
      <w:r w:rsidRPr="00331BEC">
        <w:rPr>
          <w:i/>
          <w:sz w:val="24"/>
          <w:szCs w:val="24"/>
        </w:rPr>
        <w:t xml:space="preserve">T. </w:t>
      </w:r>
      <w:proofErr w:type="spellStart"/>
      <w:r w:rsidRPr="00331BEC">
        <w:rPr>
          <w:i/>
          <w:sz w:val="24"/>
          <w:szCs w:val="24"/>
        </w:rPr>
        <w:t>gondii</w:t>
      </w:r>
      <w:proofErr w:type="spellEnd"/>
      <w:r w:rsidRPr="00331BEC">
        <w:rPr>
          <w:sz w:val="24"/>
          <w:szCs w:val="24"/>
        </w:rPr>
        <w:t xml:space="preserve">, Rubella and CMV IgM assays and only those that tested negative by the commercially available assay were further tested by the </w:t>
      </w:r>
      <w:proofErr w:type="spellStart"/>
      <w:r w:rsidRPr="00331BEC">
        <w:rPr>
          <w:sz w:val="24"/>
          <w:szCs w:val="24"/>
        </w:rPr>
        <w:t>BioPlex</w:t>
      </w:r>
      <w:proofErr w:type="spellEnd"/>
      <w:r w:rsidRPr="00331BEC">
        <w:rPr>
          <w:sz w:val="24"/>
          <w:szCs w:val="24"/>
        </w:rPr>
        <w:t xml:space="preserve"> 2200 </w:t>
      </w:r>
      <w:proofErr w:type="spellStart"/>
      <w:r w:rsidRPr="00331BEC">
        <w:rPr>
          <w:sz w:val="24"/>
          <w:szCs w:val="24"/>
        </w:rPr>
        <w:t>ToRC</w:t>
      </w:r>
      <w:proofErr w:type="spellEnd"/>
      <w:r w:rsidRPr="00331BEC">
        <w:rPr>
          <w:sz w:val="24"/>
          <w:szCs w:val="24"/>
        </w:rPr>
        <w:t xml:space="preserve"> IgM kit. Table Q summarizes negative agreement between the </w:t>
      </w:r>
      <w:proofErr w:type="spellStart"/>
      <w:r w:rsidRPr="00331BEC">
        <w:rPr>
          <w:sz w:val="24"/>
          <w:szCs w:val="24"/>
        </w:rPr>
        <w:t>BioPlex</w:t>
      </w:r>
      <w:proofErr w:type="spellEnd"/>
      <w:r w:rsidRPr="00331BEC">
        <w:rPr>
          <w:sz w:val="24"/>
          <w:szCs w:val="24"/>
        </w:rPr>
        <w:t xml:space="preserve"> 2200 </w:t>
      </w:r>
      <w:proofErr w:type="spellStart"/>
      <w:r w:rsidRPr="00331BEC">
        <w:rPr>
          <w:sz w:val="24"/>
          <w:szCs w:val="24"/>
        </w:rPr>
        <w:t>ToRC</w:t>
      </w:r>
      <w:proofErr w:type="spellEnd"/>
      <w:r w:rsidRPr="00331BEC">
        <w:rPr>
          <w:sz w:val="24"/>
          <w:szCs w:val="24"/>
        </w:rPr>
        <w:t xml:space="preserve"> IgM assays and the corresponding commercially available </w:t>
      </w:r>
      <w:r w:rsidRPr="00331BEC">
        <w:rPr>
          <w:i/>
          <w:sz w:val="24"/>
          <w:szCs w:val="24"/>
        </w:rPr>
        <w:t xml:space="preserve">T. </w:t>
      </w:r>
      <w:proofErr w:type="spellStart"/>
      <w:r w:rsidRPr="00331BEC">
        <w:rPr>
          <w:i/>
          <w:sz w:val="24"/>
          <w:szCs w:val="24"/>
        </w:rPr>
        <w:t>gondii</w:t>
      </w:r>
      <w:proofErr w:type="spellEnd"/>
      <w:r w:rsidRPr="00331BEC">
        <w:rPr>
          <w:sz w:val="24"/>
          <w:szCs w:val="24"/>
        </w:rPr>
        <w:t>, Rubella and CMV IgM assays within each of the cross-reactant panels.</w:t>
      </w:r>
    </w:p>
    <w:p w:rsidR="00331BEC" w:rsidRDefault="00331BEC" w:rsidP="00331BEC">
      <w:pPr>
        <w:pStyle w:val="CLSIText"/>
        <w:spacing w:after="120"/>
        <w:rPr>
          <w:sz w:val="24"/>
          <w:szCs w:val="24"/>
        </w:rPr>
      </w:pPr>
      <w:r>
        <w:rPr>
          <w:noProof/>
        </w:rPr>
        <w:lastRenderedPageBreak/>
        <w:drawing>
          <wp:inline distT="0" distB="0" distL="0" distR="0">
            <wp:extent cx="5467350" cy="5486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67350" cy="5486400"/>
                    </a:xfrm>
                    <a:prstGeom prst="rect">
                      <a:avLst/>
                    </a:prstGeom>
                    <a:noFill/>
                    <a:ln>
                      <a:noFill/>
                    </a:ln>
                  </pic:spPr>
                </pic:pic>
              </a:graphicData>
            </a:graphic>
          </wp:inline>
        </w:drawing>
      </w:r>
    </w:p>
    <w:p w:rsidR="00331BEC" w:rsidRPr="00331BEC" w:rsidRDefault="00331BEC" w:rsidP="00331BEC">
      <w:pPr>
        <w:pStyle w:val="Heading2"/>
        <w:rPr>
          <w:rFonts w:cs="HelveticaNeueLT Pro 67 MdCn"/>
          <w:b w:val="0"/>
          <w:bCs w:val="0"/>
          <w:caps/>
          <w:color w:val="211D1E"/>
          <w:szCs w:val="24"/>
        </w:rPr>
      </w:pPr>
      <w:r w:rsidRPr="00331BEC">
        <w:rPr>
          <w:szCs w:val="24"/>
        </w:rPr>
        <w:t>Interfering Substances</w:t>
      </w:r>
    </w:p>
    <w:p w:rsidR="00331BEC" w:rsidRPr="00331BEC" w:rsidRDefault="00331BEC" w:rsidP="00331BEC">
      <w:pPr>
        <w:pStyle w:val="CLSIText"/>
        <w:widowControl/>
        <w:spacing w:after="120"/>
        <w:rPr>
          <w:sz w:val="24"/>
          <w:szCs w:val="24"/>
        </w:rPr>
      </w:pPr>
      <w:r w:rsidRPr="00331BEC">
        <w:rPr>
          <w:sz w:val="24"/>
          <w:szCs w:val="24"/>
        </w:rPr>
        <w:t xml:space="preserve">Testing for interfering substances was conducted according to CLSI Protocol EP7-A2 (Vol. 25, No. 27). Samples were prepared by blending a pool of negative human serum with samples positive for </w:t>
      </w:r>
      <w:r w:rsidRPr="00331BEC">
        <w:rPr>
          <w:i/>
          <w:sz w:val="24"/>
          <w:szCs w:val="24"/>
        </w:rPr>
        <w:t xml:space="preserve">T. </w:t>
      </w:r>
      <w:proofErr w:type="spellStart"/>
      <w:r w:rsidRPr="00331BEC">
        <w:rPr>
          <w:i/>
          <w:sz w:val="24"/>
          <w:szCs w:val="24"/>
        </w:rPr>
        <w:t>gondii</w:t>
      </w:r>
      <w:proofErr w:type="spellEnd"/>
      <w:r w:rsidRPr="00331BEC">
        <w:rPr>
          <w:sz w:val="24"/>
          <w:szCs w:val="24"/>
        </w:rPr>
        <w:t xml:space="preserve">, Rubella and CMV IgM to achieve values of 0.4 to 0.7 AI (high negative), 1.5 to 2.4 AI (low positive) and 2.5 to 4.0 AI (positive). </w:t>
      </w:r>
      <w:proofErr w:type="spellStart"/>
      <w:r w:rsidRPr="00331BEC">
        <w:rPr>
          <w:sz w:val="24"/>
          <w:szCs w:val="24"/>
        </w:rPr>
        <w:t>Interferent</w:t>
      </w:r>
      <w:proofErr w:type="spellEnd"/>
      <w:r w:rsidRPr="00331BEC">
        <w:rPr>
          <w:sz w:val="24"/>
          <w:szCs w:val="24"/>
        </w:rPr>
        <w:t xml:space="preserve"> or solvent was added exogenously at levels indicated in Table R. No significant interference was observed in any of the substances tested. The following substances, listed in Table R, were tested (N=13) at maximum levels on one reagent lot.</w:t>
      </w:r>
    </w:p>
    <w:p w:rsidR="00331BEC" w:rsidRDefault="00331BEC" w:rsidP="00331BEC">
      <w:pPr>
        <w:pStyle w:val="CLSIText"/>
        <w:spacing w:after="120"/>
      </w:pPr>
      <w:r>
        <w:rPr>
          <w:noProof/>
        </w:rPr>
        <w:lastRenderedPageBreak/>
        <w:drawing>
          <wp:inline distT="0" distB="0" distL="0" distR="0">
            <wp:extent cx="2828925" cy="45720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28925" cy="4572000"/>
                    </a:xfrm>
                    <a:prstGeom prst="rect">
                      <a:avLst/>
                    </a:prstGeom>
                    <a:noFill/>
                    <a:ln>
                      <a:noFill/>
                    </a:ln>
                  </pic:spPr>
                </pic:pic>
              </a:graphicData>
            </a:graphic>
          </wp:inline>
        </w:drawing>
      </w:r>
    </w:p>
    <w:p w:rsidR="00331BEC" w:rsidRPr="00331BEC" w:rsidRDefault="00331BEC" w:rsidP="00331BEC">
      <w:pPr>
        <w:pStyle w:val="CLSIText"/>
        <w:spacing w:after="120"/>
        <w:rPr>
          <w:sz w:val="24"/>
          <w:szCs w:val="24"/>
        </w:rPr>
      </w:pPr>
    </w:p>
    <w:p w:rsidR="00207239" w:rsidRPr="00B04242" w:rsidRDefault="00207239" w:rsidP="00DD6FF1">
      <w:pPr>
        <w:pStyle w:val="CLSI-text"/>
        <w:ind w:left="1080"/>
        <w:jc w:val="both"/>
        <w:rPr>
          <w:rFonts w:ascii="Times New Roman" w:hAnsi="Times New Roman" w:cs="Times New Roman"/>
          <w:b/>
          <w:color w:val="000000"/>
          <w:sz w:val="24"/>
          <w:szCs w:val="24"/>
        </w:rPr>
      </w:pPr>
    </w:p>
    <w:p w:rsidR="00163437" w:rsidRPr="003831D6" w:rsidRDefault="00163437" w:rsidP="00FE7E58">
      <w:pPr>
        <w:numPr>
          <w:ilvl w:val="0"/>
          <w:numId w:val="1"/>
        </w:numPr>
        <w:tabs>
          <w:tab w:val="clear" w:pos="1080"/>
          <w:tab w:val="left" w:pos="-720"/>
          <w:tab w:val="num" w:pos="450"/>
        </w:tabs>
        <w:suppressAutoHyphens/>
        <w:ind w:left="360" w:hanging="360"/>
        <w:rPr>
          <w:rFonts w:ascii="Times New Roman" w:hAnsi="Times New Roman"/>
          <w:b/>
          <w:sz w:val="28"/>
          <w:szCs w:val="28"/>
        </w:rPr>
      </w:pPr>
      <w:r w:rsidRPr="003831D6">
        <w:rPr>
          <w:rFonts w:ascii="Times New Roman" w:hAnsi="Times New Roman"/>
          <w:b/>
          <w:sz w:val="28"/>
          <w:szCs w:val="28"/>
        </w:rPr>
        <w:t>PROCEDURAL NOTES/PROBLEM-SOLVING TIPS</w:t>
      </w:r>
    </w:p>
    <w:p w:rsidR="00163437" w:rsidRPr="00B04242" w:rsidRDefault="00163437" w:rsidP="00163437">
      <w:pPr>
        <w:pStyle w:val="SectionSubheaderinTOC"/>
        <w:ind w:left="1080"/>
        <w:jc w:val="both"/>
        <w:rPr>
          <w:rFonts w:ascii="Times New Roman" w:hAnsi="Times New Roman" w:cs="Times New Roman"/>
          <w:b/>
          <w:sz w:val="24"/>
          <w:szCs w:val="24"/>
        </w:rPr>
      </w:pPr>
    </w:p>
    <w:p w:rsidR="00163437" w:rsidRPr="00653DB7" w:rsidRDefault="00163437" w:rsidP="00163437">
      <w:pPr>
        <w:pStyle w:val="BulletTextIndent"/>
        <w:numPr>
          <w:ilvl w:val="0"/>
          <w:numId w:val="14"/>
        </w:numPr>
        <w:tabs>
          <w:tab w:val="clear" w:pos="612"/>
          <w:tab w:val="left" w:pos="270"/>
        </w:tabs>
        <w:jc w:val="both"/>
        <w:rPr>
          <w:rFonts w:ascii="Arial" w:hAnsi="Arial" w:cs="Arial"/>
          <w:sz w:val="24"/>
          <w:szCs w:val="24"/>
        </w:rPr>
      </w:pPr>
      <w:r w:rsidRPr="00653DB7">
        <w:rPr>
          <w:rFonts w:ascii="Arial" w:hAnsi="Arial" w:cs="Arial"/>
          <w:sz w:val="24"/>
          <w:szCs w:val="24"/>
        </w:rPr>
        <w:t xml:space="preserve">The </w:t>
      </w:r>
      <w:proofErr w:type="spellStart"/>
      <w:r w:rsidRPr="00653DB7">
        <w:rPr>
          <w:rFonts w:ascii="Arial" w:hAnsi="Arial" w:cs="Arial"/>
          <w:sz w:val="24"/>
          <w:szCs w:val="24"/>
        </w:rPr>
        <w:t>ToRC</w:t>
      </w:r>
      <w:proofErr w:type="spellEnd"/>
      <w:r w:rsidRPr="00653DB7">
        <w:rPr>
          <w:rFonts w:ascii="Arial" w:hAnsi="Arial" w:cs="Arial"/>
          <w:sz w:val="24"/>
          <w:szCs w:val="24"/>
        </w:rPr>
        <w:t xml:space="preserve"> IgM kit is not, in and of itself, diagnostic for each infectious disease and should be considered in conjunction with the patient’s clinical presentation/history and other laboratory test results. </w:t>
      </w:r>
    </w:p>
    <w:p w:rsidR="00163437" w:rsidRPr="00653DB7" w:rsidRDefault="00163437" w:rsidP="00163437">
      <w:pPr>
        <w:pStyle w:val="BulletTextIndent"/>
        <w:numPr>
          <w:ilvl w:val="0"/>
          <w:numId w:val="14"/>
        </w:numPr>
        <w:tabs>
          <w:tab w:val="clear" w:pos="612"/>
          <w:tab w:val="left" w:pos="270"/>
        </w:tabs>
        <w:spacing w:before="40"/>
        <w:jc w:val="both"/>
        <w:rPr>
          <w:rFonts w:ascii="Arial" w:hAnsi="Arial" w:cs="Arial"/>
          <w:sz w:val="24"/>
          <w:szCs w:val="24"/>
        </w:rPr>
      </w:pPr>
      <w:r w:rsidRPr="00653DB7">
        <w:rPr>
          <w:rFonts w:ascii="Arial" w:hAnsi="Arial" w:cs="Arial"/>
          <w:sz w:val="24"/>
          <w:szCs w:val="24"/>
        </w:rPr>
        <w:t xml:space="preserve">Samples collected early in the course of the infection may not have detectable levels of specific IgM. A nonreactive IgM result may be due to delayed seroconversion and does not rule out current infection. </w:t>
      </w:r>
    </w:p>
    <w:p w:rsidR="00163437" w:rsidRPr="00653DB7" w:rsidRDefault="00163437" w:rsidP="00163437">
      <w:pPr>
        <w:pStyle w:val="BulletTextIndent"/>
        <w:numPr>
          <w:ilvl w:val="0"/>
          <w:numId w:val="14"/>
        </w:numPr>
        <w:tabs>
          <w:tab w:val="clear" w:pos="612"/>
          <w:tab w:val="left" w:pos="270"/>
        </w:tabs>
        <w:spacing w:before="40"/>
        <w:jc w:val="both"/>
        <w:rPr>
          <w:rFonts w:ascii="Arial" w:hAnsi="Arial" w:cs="Arial"/>
          <w:sz w:val="24"/>
          <w:szCs w:val="24"/>
        </w:rPr>
      </w:pPr>
      <w:r w:rsidRPr="00653DB7">
        <w:rPr>
          <w:rFonts w:ascii="Arial" w:hAnsi="Arial" w:cs="Arial"/>
          <w:sz w:val="24"/>
          <w:szCs w:val="24"/>
        </w:rPr>
        <w:t xml:space="preserve">In immunocompromised patients, the ability to produce an IgM response may be impaired and specific IgM may be falsely negative during an active infection. </w:t>
      </w:r>
    </w:p>
    <w:p w:rsidR="00163437" w:rsidRPr="00653DB7" w:rsidRDefault="00163437" w:rsidP="00163437">
      <w:pPr>
        <w:pStyle w:val="BulletTextIndent"/>
        <w:numPr>
          <w:ilvl w:val="0"/>
          <w:numId w:val="14"/>
        </w:numPr>
        <w:tabs>
          <w:tab w:val="clear" w:pos="612"/>
          <w:tab w:val="left" w:pos="270"/>
        </w:tabs>
        <w:spacing w:before="40"/>
        <w:jc w:val="both"/>
        <w:rPr>
          <w:rFonts w:ascii="Arial" w:hAnsi="Arial" w:cs="Arial"/>
          <w:sz w:val="24"/>
          <w:szCs w:val="24"/>
        </w:rPr>
      </w:pPr>
      <w:r w:rsidRPr="00653DB7">
        <w:rPr>
          <w:rFonts w:ascii="Arial" w:hAnsi="Arial" w:cs="Arial"/>
          <w:sz w:val="24"/>
          <w:szCs w:val="24"/>
        </w:rPr>
        <w:t xml:space="preserve">False positive results may occur. The results of the test must be taken within the context of the patient's clinical history, symptomology and other laboratory findings. </w:t>
      </w:r>
    </w:p>
    <w:p w:rsidR="00163437" w:rsidRPr="00653DB7" w:rsidRDefault="00163437" w:rsidP="00163437">
      <w:pPr>
        <w:pStyle w:val="BulletTextIndent"/>
        <w:numPr>
          <w:ilvl w:val="0"/>
          <w:numId w:val="14"/>
        </w:numPr>
        <w:tabs>
          <w:tab w:val="clear" w:pos="612"/>
          <w:tab w:val="left" w:pos="270"/>
        </w:tabs>
        <w:spacing w:before="40"/>
        <w:jc w:val="both"/>
        <w:rPr>
          <w:rFonts w:ascii="Arial" w:hAnsi="Arial" w:cs="Arial"/>
          <w:sz w:val="24"/>
          <w:szCs w:val="24"/>
        </w:rPr>
      </w:pPr>
      <w:r w:rsidRPr="00653DB7">
        <w:rPr>
          <w:rFonts w:ascii="Arial" w:hAnsi="Arial" w:cs="Arial"/>
          <w:sz w:val="24"/>
          <w:szCs w:val="24"/>
        </w:rPr>
        <w:t xml:space="preserve">The IgM results are not intended to replace virus isolation. </w:t>
      </w:r>
    </w:p>
    <w:p w:rsidR="00163437" w:rsidRPr="00653DB7" w:rsidRDefault="00163437" w:rsidP="00163437">
      <w:pPr>
        <w:pStyle w:val="BulletTextIndent"/>
        <w:numPr>
          <w:ilvl w:val="0"/>
          <w:numId w:val="14"/>
        </w:numPr>
        <w:tabs>
          <w:tab w:val="clear" w:pos="612"/>
          <w:tab w:val="left" w:pos="270"/>
        </w:tabs>
        <w:spacing w:before="40"/>
        <w:jc w:val="both"/>
        <w:rPr>
          <w:rFonts w:ascii="Arial" w:hAnsi="Arial" w:cs="Arial"/>
          <w:sz w:val="24"/>
          <w:szCs w:val="24"/>
        </w:rPr>
      </w:pPr>
      <w:r w:rsidRPr="00653DB7">
        <w:rPr>
          <w:rFonts w:ascii="Arial" w:hAnsi="Arial" w:cs="Arial"/>
          <w:sz w:val="24"/>
          <w:szCs w:val="24"/>
        </w:rPr>
        <w:t>The predictive value of positive or negative results depends on the population’s prevalence and the pretest likelihood of</w:t>
      </w:r>
      <w:r w:rsidR="00632369" w:rsidRPr="00653DB7">
        <w:rPr>
          <w:rFonts w:ascii="Arial" w:hAnsi="Arial" w:cs="Arial"/>
          <w:sz w:val="24"/>
          <w:szCs w:val="24"/>
        </w:rPr>
        <w:t xml:space="preserve"> T. </w:t>
      </w:r>
      <w:proofErr w:type="spellStart"/>
      <w:r w:rsidR="00632369" w:rsidRPr="00653DB7">
        <w:rPr>
          <w:rFonts w:ascii="Arial" w:hAnsi="Arial" w:cs="Arial"/>
          <w:sz w:val="24"/>
          <w:szCs w:val="24"/>
        </w:rPr>
        <w:t>gondii</w:t>
      </w:r>
      <w:proofErr w:type="spellEnd"/>
      <w:r w:rsidR="00632369" w:rsidRPr="00653DB7">
        <w:rPr>
          <w:rFonts w:ascii="Arial" w:hAnsi="Arial" w:cs="Arial"/>
          <w:sz w:val="24"/>
          <w:szCs w:val="24"/>
        </w:rPr>
        <w:t>,</w:t>
      </w:r>
      <w:r w:rsidRPr="00653DB7">
        <w:rPr>
          <w:rFonts w:ascii="Arial" w:hAnsi="Arial" w:cs="Arial"/>
          <w:sz w:val="24"/>
          <w:szCs w:val="24"/>
        </w:rPr>
        <w:t xml:space="preserve"> Rubella and CMV IgM. </w:t>
      </w:r>
    </w:p>
    <w:p w:rsidR="00163437" w:rsidRPr="00653DB7" w:rsidRDefault="00163437" w:rsidP="00163437">
      <w:pPr>
        <w:pStyle w:val="BulletTextIndent"/>
        <w:numPr>
          <w:ilvl w:val="0"/>
          <w:numId w:val="14"/>
        </w:numPr>
        <w:tabs>
          <w:tab w:val="clear" w:pos="612"/>
          <w:tab w:val="left" w:pos="270"/>
        </w:tabs>
        <w:spacing w:before="40"/>
        <w:jc w:val="both"/>
        <w:rPr>
          <w:rFonts w:ascii="Arial" w:hAnsi="Arial" w:cs="Arial"/>
          <w:sz w:val="24"/>
          <w:szCs w:val="24"/>
        </w:rPr>
      </w:pPr>
      <w:r w:rsidRPr="00653DB7">
        <w:rPr>
          <w:rFonts w:ascii="Arial" w:hAnsi="Arial" w:cs="Arial"/>
          <w:sz w:val="24"/>
          <w:szCs w:val="24"/>
        </w:rPr>
        <w:lastRenderedPageBreak/>
        <w:t xml:space="preserve">This kit is not intended for use in screening blood or plasma donors. </w:t>
      </w:r>
    </w:p>
    <w:p w:rsidR="00163437" w:rsidRPr="00653DB7" w:rsidRDefault="00163437" w:rsidP="00163437">
      <w:pPr>
        <w:pStyle w:val="BulletTextIndent"/>
        <w:numPr>
          <w:ilvl w:val="0"/>
          <w:numId w:val="14"/>
        </w:numPr>
        <w:tabs>
          <w:tab w:val="clear" w:pos="612"/>
          <w:tab w:val="left" w:pos="270"/>
        </w:tabs>
        <w:spacing w:before="40"/>
        <w:jc w:val="both"/>
        <w:rPr>
          <w:rFonts w:ascii="Arial" w:hAnsi="Arial" w:cs="Arial"/>
          <w:sz w:val="24"/>
          <w:szCs w:val="24"/>
        </w:rPr>
      </w:pPr>
      <w:r w:rsidRPr="00653DB7">
        <w:rPr>
          <w:rFonts w:ascii="Arial" w:hAnsi="Arial" w:cs="Arial"/>
          <w:sz w:val="24"/>
          <w:szCs w:val="24"/>
        </w:rPr>
        <w:t xml:space="preserve">The performance characteristics have not been established for cord blood testing and neonates. </w:t>
      </w:r>
    </w:p>
    <w:p w:rsidR="00163437" w:rsidRPr="00653DB7" w:rsidRDefault="00163437" w:rsidP="00163437">
      <w:pPr>
        <w:pStyle w:val="BulletTextIndent"/>
        <w:numPr>
          <w:ilvl w:val="0"/>
          <w:numId w:val="14"/>
        </w:numPr>
        <w:tabs>
          <w:tab w:val="clear" w:pos="612"/>
          <w:tab w:val="left" w:pos="270"/>
        </w:tabs>
        <w:spacing w:before="40"/>
        <w:jc w:val="both"/>
        <w:rPr>
          <w:rFonts w:ascii="Arial" w:hAnsi="Arial" w:cs="Arial"/>
          <w:sz w:val="24"/>
          <w:szCs w:val="24"/>
        </w:rPr>
      </w:pPr>
      <w:r w:rsidRPr="00653DB7">
        <w:rPr>
          <w:rFonts w:ascii="Arial" w:hAnsi="Arial" w:cs="Arial"/>
          <w:sz w:val="24"/>
          <w:szCs w:val="24"/>
        </w:rPr>
        <w:t xml:space="preserve">Contaminated, icteric, </w:t>
      </w:r>
      <w:proofErr w:type="spellStart"/>
      <w:r w:rsidRPr="00653DB7">
        <w:rPr>
          <w:rFonts w:ascii="Arial" w:hAnsi="Arial" w:cs="Arial"/>
          <w:sz w:val="24"/>
          <w:szCs w:val="24"/>
        </w:rPr>
        <w:t>lipemic</w:t>
      </w:r>
      <w:proofErr w:type="spellEnd"/>
      <w:r w:rsidRPr="00653DB7">
        <w:rPr>
          <w:rFonts w:ascii="Arial" w:hAnsi="Arial" w:cs="Arial"/>
          <w:sz w:val="24"/>
          <w:szCs w:val="24"/>
        </w:rPr>
        <w:t xml:space="preserve">, hemolyzed or heat inactivated sera may cause erroneous results and should be avoided. </w:t>
      </w:r>
    </w:p>
    <w:p w:rsidR="00163437" w:rsidRPr="00653DB7" w:rsidRDefault="00163437" w:rsidP="00163437">
      <w:pPr>
        <w:pStyle w:val="BulletTextIndent"/>
        <w:numPr>
          <w:ilvl w:val="0"/>
          <w:numId w:val="14"/>
        </w:numPr>
        <w:tabs>
          <w:tab w:val="clear" w:pos="612"/>
          <w:tab w:val="left" w:pos="270"/>
        </w:tabs>
        <w:spacing w:before="40"/>
        <w:jc w:val="both"/>
        <w:rPr>
          <w:rFonts w:ascii="Arial" w:hAnsi="Arial" w:cs="Arial"/>
          <w:sz w:val="24"/>
          <w:szCs w:val="24"/>
        </w:rPr>
      </w:pPr>
      <w:r w:rsidRPr="00653DB7">
        <w:rPr>
          <w:rFonts w:ascii="Arial" w:hAnsi="Arial" w:cs="Arial"/>
          <w:sz w:val="24"/>
          <w:szCs w:val="24"/>
        </w:rPr>
        <w:t xml:space="preserve">The performance characteristics have not been established for any matrices other than serum and plasma (potassium EDTA or sodium heparin). </w:t>
      </w:r>
    </w:p>
    <w:p w:rsidR="00163437" w:rsidRPr="00653DB7" w:rsidRDefault="00163437" w:rsidP="00163437">
      <w:pPr>
        <w:pStyle w:val="BulletTextIndent"/>
        <w:widowControl/>
        <w:numPr>
          <w:ilvl w:val="0"/>
          <w:numId w:val="14"/>
        </w:numPr>
        <w:tabs>
          <w:tab w:val="clear" w:pos="612"/>
          <w:tab w:val="left" w:pos="270"/>
        </w:tabs>
        <w:spacing w:before="40"/>
        <w:jc w:val="both"/>
        <w:rPr>
          <w:rFonts w:ascii="Arial" w:hAnsi="Arial" w:cs="Arial"/>
          <w:sz w:val="24"/>
          <w:szCs w:val="24"/>
        </w:rPr>
      </w:pPr>
      <w:r w:rsidRPr="00653DB7">
        <w:rPr>
          <w:rFonts w:ascii="Arial" w:hAnsi="Arial" w:cs="Arial"/>
          <w:sz w:val="24"/>
          <w:szCs w:val="24"/>
        </w:rPr>
        <w:t>Immune complexes or other immunoglobulin aggregates present in patient samples may cause increased non-specific binding and produce false positive results.</w:t>
      </w:r>
      <w:r w:rsidR="00632369" w:rsidRPr="00653DB7">
        <w:rPr>
          <w:rFonts w:ascii="Arial" w:hAnsi="Arial" w:cs="Arial"/>
          <w:sz w:val="24"/>
          <w:szCs w:val="24"/>
        </w:rPr>
        <w:t xml:space="preserve"> Antibodies to </w:t>
      </w:r>
      <w:proofErr w:type="spellStart"/>
      <w:r w:rsidR="00632369" w:rsidRPr="00653DB7">
        <w:rPr>
          <w:rFonts w:ascii="Arial" w:hAnsi="Arial" w:cs="Arial"/>
          <w:sz w:val="24"/>
          <w:szCs w:val="24"/>
        </w:rPr>
        <w:t>Infuenza</w:t>
      </w:r>
      <w:proofErr w:type="spellEnd"/>
      <w:r w:rsidR="00632369" w:rsidRPr="00653DB7">
        <w:rPr>
          <w:rFonts w:ascii="Arial" w:hAnsi="Arial" w:cs="Arial"/>
          <w:sz w:val="24"/>
          <w:szCs w:val="24"/>
        </w:rPr>
        <w:t xml:space="preserve"> virus, VZV or Parvovirus B19 and </w:t>
      </w:r>
      <w:proofErr w:type="spellStart"/>
      <w:r w:rsidR="00632369" w:rsidRPr="00653DB7">
        <w:rPr>
          <w:rFonts w:ascii="Arial" w:hAnsi="Arial" w:cs="Arial"/>
          <w:sz w:val="24"/>
          <w:szCs w:val="24"/>
        </w:rPr>
        <w:t>Hypergamma-globulinemia</w:t>
      </w:r>
      <w:proofErr w:type="spellEnd"/>
      <w:r w:rsidR="00632369" w:rsidRPr="00653DB7">
        <w:rPr>
          <w:rFonts w:ascii="Arial" w:hAnsi="Arial" w:cs="Arial"/>
          <w:sz w:val="24"/>
          <w:szCs w:val="24"/>
        </w:rPr>
        <w:t xml:space="preserve"> IgM may interfere with the assay</w:t>
      </w:r>
      <w:r w:rsidRPr="00653DB7">
        <w:rPr>
          <w:rFonts w:ascii="Arial" w:hAnsi="Arial" w:cs="Arial"/>
          <w:sz w:val="24"/>
          <w:szCs w:val="24"/>
        </w:rPr>
        <w:t>.</w:t>
      </w:r>
      <w:r w:rsidR="00632369" w:rsidRPr="00653DB7">
        <w:rPr>
          <w:rFonts w:ascii="Arial" w:hAnsi="Arial" w:cs="Arial"/>
          <w:sz w:val="24"/>
          <w:szCs w:val="24"/>
        </w:rPr>
        <w:t xml:space="preserve">  Results from these patients should be evaluated with care.</w:t>
      </w:r>
      <w:r w:rsidRPr="00653DB7">
        <w:rPr>
          <w:rFonts w:ascii="Arial" w:hAnsi="Arial" w:cs="Arial"/>
          <w:sz w:val="24"/>
          <w:szCs w:val="24"/>
        </w:rPr>
        <w:t xml:space="preserve"> </w:t>
      </w:r>
    </w:p>
    <w:p w:rsidR="00163437" w:rsidRPr="00653DB7" w:rsidRDefault="00163437" w:rsidP="00163437">
      <w:pPr>
        <w:pStyle w:val="BulletTextIndent"/>
        <w:numPr>
          <w:ilvl w:val="0"/>
          <w:numId w:val="14"/>
        </w:numPr>
        <w:tabs>
          <w:tab w:val="clear" w:pos="612"/>
          <w:tab w:val="left" w:pos="270"/>
        </w:tabs>
        <w:spacing w:before="40"/>
        <w:jc w:val="both"/>
        <w:rPr>
          <w:rFonts w:ascii="Arial" w:hAnsi="Arial" w:cs="Arial"/>
          <w:sz w:val="24"/>
          <w:szCs w:val="24"/>
        </w:rPr>
      </w:pPr>
      <w:r w:rsidRPr="00653DB7">
        <w:rPr>
          <w:rFonts w:ascii="Arial" w:hAnsi="Arial" w:cs="Arial"/>
          <w:sz w:val="24"/>
          <w:szCs w:val="24"/>
        </w:rPr>
        <w:t xml:space="preserve">Potential cross-reactivity for Myeloma IgM samples tested with the Rubella &amp; CMV IgM assays, and EBV VCA IgM, Parvovirus B19 IgM and dsDNA samples tested with the CMV IgM assay cannot be ruled out. </w:t>
      </w:r>
    </w:p>
    <w:p w:rsidR="00163437" w:rsidRPr="00653DB7" w:rsidRDefault="00163437" w:rsidP="00163437">
      <w:pPr>
        <w:pStyle w:val="BulletTextIndent"/>
        <w:numPr>
          <w:ilvl w:val="0"/>
          <w:numId w:val="14"/>
        </w:numPr>
        <w:tabs>
          <w:tab w:val="clear" w:pos="612"/>
          <w:tab w:val="left" w:pos="270"/>
        </w:tabs>
        <w:spacing w:before="40"/>
        <w:jc w:val="both"/>
        <w:rPr>
          <w:rFonts w:ascii="Arial" w:hAnsi="Arial" w:cs="Arial"/>
          <w:sz w:val="24"/>
          <w:szCs w:val="24"/>
        </w:rPr>
      </w:pPr>
      <w:r w:rsidRPr="00653DB7">
        <w:rPr>
          <w:rFonts w:ascii="Arial" w:hAnsi="Arial" w:cs="Arial"/>
          <w:sz w:val="24"/>
          <w:szCs w:val="24"/>
        </w:rPr>
        <w:t xml:space="preserve">In the event that the </w:t>
      </w:r>
      <w:proofErr w:type="spellStart"/>
      <w:r w:rsidRPr="00653DB7">
        <w:rPr>
          <w:rFonts w:ascii="Arial" w:hAnsi="Arial" w:cs="Arial"/>
          <w:sz w:val="24"/>
          <w:szCs w:val="24"/>
        </w:rPr>
        <w:t>BioPlex</w:t>
      </w:r>
      <w:proofErr w:type="spellEnd"/>
      <w:r w:rsidRPr="00653DB7">
        <w:rPr>
          <w:rFonts w:ascii="Arial" w:hAnsi="Arial" w:cs="Arial"/>
          <w:sz w:val="24"/>
          <w:szCs w:val="24"/>
        </w:rPr>
        <w:t xml:space="preserve"> is inoperable for an extended period of time, specimens will be sent to ARUP for testing.</w:t>
      </w:r>
    </w:p>
    <w:p w:rsidR="00163437" w:rsidRPr="00653DB7" w:rsidRDefault="00163437" w:rsidP="00163437">
      <w:pPr>
        <w:pStyle w:val="BulletTextIndent"/>
        <w:numPr>
          <w:ilvl w:val="0"/>
          <w:numId w:val="14"/>
        </w:numPr>
        <w:tabs>
          <w:tab w:val="clear" w:pos="612"/>
          <w:tab w:val="left" w:pos="270"/>
        </w:tabs>
        <w:spacing w:before="40"/>
        <w:jc w:val="both"/>
        <w:rPr>
          <w:rFonts w:ascii="Arial" w:hAnsi="Arial" w:cs="Arial"/>
          <w:sz w:val="24"/>
          <w:szCs w:val="24"/>
        </w:rPr>
      </w:pPr>
      <w:r w:rsidRPr="00653DB7">
        <w:rPr>
          <w:rFonts w:ascii="Arial" w:hAnsi="Arial" w:cs="Arial"/>
          <w:sz w:val="24"/>
          <w:szCs w:val="24"/>
        </w:rPr>
        <w:t>SDS are available at Bio-Rad.com.</w:t>
      </w:r>
    </w:p>
    <w:p w:rsidR="00DD6FF1" w:rsidRPr="00653DB7" w:rsidRDefault="00DD6FF1" w:rsidP="00E37325">
      <w:pPr>
        <w:ind w:left="-720"/>
        <w:jc w:val="both"/>
        <w:rPr>
          <w:rFonts w:ascii="Arial" w:hAnsi="Arial" w:cs="Arial"/>
          <w:color w:val="000000"/>
          <w:szCs w:val="24"/>
        </w:rPr>
      </w:pPr>
    </w:p>
    <w:p w:rsidR="00241388" w:rsidRPr="00653DB7" w:rsidRDefault="00241388" w:rsidP="00241388">
      <w:pPr>
        <w:numPr>
          <w:ilvl w:val="0"/>
          <w:numId w:val="1"/>
        </w:numPr>
        <w:tabs>
          <w:tab w:val="clear" w:pos="1080"/>
          <w:tab w:val="left" w:pos="-720"/>
          <w:tab w:val="num" w:pos="810"/>
        </w:tabs>
        <w:suppressAutoHyphens/>
        <w:ind w:hanging="1080"/>
        <w:jc w:val="both"/>
        <w:rPr>
          <w:rFonts w:ascii="Arial" w:hAnsi="Arial" w:cs="Arial"/>
          <w:b/>
          <w:sz w:val="28"/>
          <w:szCs w:val="28"/>
        </w:rPr>
      </w:pPr>
      <w:r w:rsidRPr="00653DB7">
        <w:rPr>
          <w:rFonts w:ascii="Arial" w:hAnsi="Arial" w:cs="Arial"/>
          <w:b/>
          <w:sz w:val="28"/>
          <w:szCs w:val="28"/>
        </w:rPr>
        <w:t>REFERENCES</w:t>
      </w:r>
    </w:p>
    <w:p w:rsidR="00241388" w:rsidRPr="00653DB7" w:rsidRDefault="00241388" w:rsidP="00241388">
      <w:pPr>
        <w:pStyle w:val="Numbered"/>
        <w:spacing w:before="40"/>
        <w:ind w:left="1080"/>
        <w:rPr>
          <w:rFonts w:ascii="Arial" w:hAnsi="Arial" w:cs="Arial"/>
          <w:sz w:val="24"/>
          <w:szCs w:val="24"/>
        </w:rPr>
      </w:pPr>
      <w:r w:rsidRPr="00653DB7">
        <w:rPr>
          <w:rFonts w:ascii="Arial" w:hAnsi="Arial" w:cs="Arial"/>
          <w:sz w:val="24"/>
          <w:szCs w:val="24"/>
        </w:rPr>
        <w:t xml:space="preserve"> 1.</w:t>
      </w:r>
      <w:r w:rsidRPr="00653DB7">
        <w:rPr>
          <w:rFonts w:ascii="Arial" w:hAnsi="Arial" w:cs="Arial"/>
          <w:sz w:val="24"/>
          <w:szCs w:val="24"/>
        </w:rPr>
        <w:tab/>
        <w:t xml:space="preserve">Tietz NW, editor. </w:t>
      </w:r>
      <w:r w:rsidRPr="00653DB7">
        <w:rPr>
          <w:rFonts w:ascii="Arial" w:hAnsi="Arial" w:cs="Arial"/>
          <w:i/>
          <w:sz w:val="24"/>
          <w:szCs w:val="24"/>
        </w:rPr>
        <w:t>Clinical Guide to Laboratory Tests</w:t>
      </w:r>
      <w:r w:rsidRPr="00653DB7">
        <w:rPr>
          <w:rFonts w:ascii="Arial" w:hAnsi="Arial" w:cs="Arial"/>
          <w:sz w:val="24"/>
          <w:szCs w:val="24"/>
        </w:rPr>
        <w:t xml:space="preserve">. 3rd ed. Philadelphia: WB Saunders; 1995:958. </w:t>
      </w:r>
    </w:p>
    <w:p w:rsidR="00241388" w:rsidRPr="00653DB7" w:rsidRDefault="00241388" w:rsidP="00241388">
      <w:pPr>
        <w:pStyle w:val="Numbered"/>
        <w:spacing w:before="40"/>
        <w:ind w:left="1080"/>
        <w:rPr>
          <w:rFonts w:ascii="Arial" w:hAnsi="Arial" w:cs="Arial"/>
          <w:sz w:val="24"/>
          <w:szCs w:val="24"/>
        </w:rPr>
      </w:pPr>
      <w:r w:rsidRPr="00653DB7">
        <w:rPr>
          <w:rFonts w:ascii="Arial" w:hAnsi="Arial" w:cs="Arial"/>
          <w:sz w:val="24"/>
          <w:szCs w:val="24"/>
        </w:rPr>
        <w:t>2.</w:t>
      </w:r>
      <w:r w:rsidRPr="00653DB7">
        <w:rPr>
          <w:rFonts w:ascii="Arial" w:hAnsi="Arial" w:cs="Arial"/>
          <w:sz w:val="24"/>
          <w:szCs w:val="24"/>
        </w:rPr>
        <w:tab/>
        <w:t xml:space="preserve">Centers for Disease Control and Prevention.  Toxoplasmosis Frequently asked Questions (FAQs)  </w:t>
      </w:r>
    </w:p>
    <w:p w:rsidR="002439B1" w:rsidRPr="00653DB7" w:rsidRDefault="002439B1" w:rsidP="002439B1">
      <w:pPr>
        <w:pStyle w:val="Numbered"/>
        <w:spacing w:before="40"/>
        <w:ind w:left="1080"/>
        <w:rPr>
          <w:rFonts w:ascii="Arial" w:hAnsi="Arial" w:cs="Arial"/>
          <w:sz w:val="24"/>
          <w:szCs w:val="24"/>
        </w:rPr>
      </w:pPr>
      <w:r w:rsidRPr="00653DB7">
        <w:rPr>
          <w:rFonts w:ascii="Arial" w:hAnsi="Arial" w:cs="Arial"/>
          <w:sz w:val="24"/>
          <w:szCs w:val="24"/>
        </w:rPr>
        <w:t xml:space="preserve">       </w:t>
      </w:r>
      <w:hyperlink r:id="rId31" w:history="1">
        <w:r w:rsidRPr="00653DB7">
          <w:rPr>
            <w:rStyle w:val="Hyperlink"/>
            <w:rFonts w:ascii="Arial" w:hAnsi="Arial" w:cs="Arial"/>
            <w:sz w:val="24"/>
            <w:szCs w:val="24"/>
          </w:rPr>
          <w:t>http://www.cdc.gov/parasites/toxoplasmosis/gen_info/faqs.h</w:t>
        </w:r>
      </w:hyperlink>
      <w:r w:rsidRPr="00653DB7">
        <w:rPr>
          <w:rFonts w:ascii="Arial" w:hAnsi="Arial" w:cs="Arial"/>
          <w:sz w:val="24"/>
          <w:szCs w:val="24"/>
        </w:rPr>
        <w:t>tml#what</w:t>
      </w:r>
    </w:p>
    <w:p w:rsidR="00241388" w:rsidRPr="00653DB7" w:rsidRDefault="002439B1" w:rsidP="002439B1">
      <w:pPr>
        <w:pStyle w:val="Numbered"/>
        <w:spacing w:before="40"/>
        <w:ind w:left="1080"/>
        <w:rPr>
          <w:rFonts w:ascii="Arial" w:hAnsi="Arial" w:cs="Arial"/>
          <w:sz w:val="24"/>
          <w:szCs w:val="24"/>
        </w:rPr>
      </w:pPr>
      <w:r w:rsidRPr="00653DB7">
        <w:rPr>
          <w:rFonts w:ascii="Arial" w:hAnsi="Arial" w:cs="Arial"/>
          <w:sz w:val="24"/>
          <w:szCs w:val="24"/>
        </w:rPr>
        <w:t xml:space="preserve">      (accessed </w:t>
      </w:r>
      <w:r w:rsidR="00241388" w:rsidRPr="00653DB7">
        <w:rPr>
          <w:rFonts w:ascii="Arial" w:hAnsi="Arial" w:cs="Arial"/>
          <w:sz w:val="24"/>
          <w:szCs w:val="24"/>
        </w:rPr>
        <w:t>December 2015).</w:t>
      </w:r>
    </w:p>
    <w:p w:rsidR="00241388" w:rsidRPr="00653DB7" w:rsidRDefault="00241388" w:rsidP="00241388">
      <w:pPr>
        <w:pStyle w:val="Numbered"/>
        <w:spacing w:before="40"/>
        <w:ind w:left="1080"/>
        <w:rPr>
          <w:rFonts w:ascii="Arial" w:hAnsi="Arial" w:cs="Arial"/>
          <w:sz w:val="24"/>
          <w:szCs w:val="24"/>
        </w:rPr>
      </w:pPr>
      <w:r w:rsidRPr="00653DB7">
        <w:rPr>
          <w:rFonts w:ascii="Arial" w:hAnsi="Arial" w:cs="Arial"/>
          <w:sz w:val="24"/>
          <w:szCs w:val="24"/>
        </w:rPr>
        <w:t>3.</w:t>
      </w:r>
      <w:r w:rsidRPr="00653DB7">
        <w:rPr>
          <w:rFonts w:ascii="Arial" w:hAnsi="Arial" w:cs="Arial"/>
          <w:sz w:val="24"/>
          <w:szCs w:val="24"/>
        </w:rPr>
        <w:tab/>
        <w:t xml:space="preserve">Centers for Disease Control and Prevention.  Rubella (German Measles, Three-Day Measles)  </w:t>
      </w:r>
      <w:hyperlink r:id="rId32" w:history="1">
        <w:r w:rsidR="002439B1" w:rsidRPr="00653DB7">
          <w:rPr>
            <w:rStyle w:val="Hyperlink"/>
            <w:rFonts w:ascii="Arial" w:hAnsi="Arial" w:cs="Arial"/>
            <w:sz w:val="24"/>
            <w:szCs w:val="24"/>
          </w:rPr>
          <w:t>http://www.cdc.gov/rubella/about/index.html</w:t>
        </w:r>
      </w:hyperlink>
      <w:r w:rsidRPr="00653DB7">
        <w:rPr>
          <w:rFonts w:ascii="Arial" w:hAnsi="Arial" w:cs="Arial"/>
          <w:sz w:val="24"/>
          <w:szCs w:val="24"/>
        </w:rPr>
        <w:t xml:space="preserve"> (accessed December 2015)</w:t>
      </w:r>
    </w:p>
    <w:p w:rsidR="002439B1" w:rsidRPr="00653DB7" w:rsidRDefault="002439B1" w:rsidP="00241388">
      <w:pPr>
        <w:pStyle w:val="Numbered"/>
        <w:spacing w:before="40"/>
        <w:ind w:left="1080"/>
        <w:rPr>
          <w:rFonts w:ascii="Arial" w:hAnsi="Arial" w:cs="Arial"/>
          <w:sz w:val="24"/>
          <w:szCs w:val="24"/>
        </w:rPr>
      </w:pPr>
      <w:r w:rsidRPr="00653DB7">
        <w:rPr>
          <w:rFonts w:ascii="Arial" w:hAnsi="Arial" w:cs="Arial"/>
          <w:sz w:val="24"/>
          <w:szCs w:val="24"/>
        </w:rPr>
        <w:t>4</w:t>
      </w:r>
      <w:r w:rsidR="00241388" w:rsidRPr="00653DB7">
        <w:rPr>
          <w:rFonts w:ascii="Arial" w:hAnsi="Arial" w:cs="Arial"/>
          <w:sz w:val="24"/>
          <w:szCs w:val="24"/>
        </w:rPr>
        <w:t>.</w:t>
      </w:r>
      <w:r w:rsidR="00241388" w:rsidRPr="00653DB7">
        <w:rPr>
          <w:rFonts w:ascii="Arial" w:hAnsi="Arial" w:cs="Arial"/>
          <w:sz w:val="24"/>
          <w:szCs w:val="24"/>
        </w:rPr>
        <w:tab/>
        <w:t>Centers for Disease Control and Prevention. Control and prevention of Rubella: Evaluation and management of sus</w:t>
      </w:r>
      <w:r w:rsidR="00241388" w:rsidRPr="00653DB7">
        <w:rPr>
          <w:rFonts w:ascii="Arial" w:hAnsi="Arial" w:cs="Arial"/>
          <w:sz w:val="24"/>
          <w:szCs w:val="24"/>
        </w:rPr>
        <w:softHyphen/>
        <w:t xml:space="preserve">pected outbreaks, rubella in pregnant women, and surveillance for congenital rubella syndrome. </w:t>
      </w:r>
      <w:r w:rsidR="00241388" w:rsidRPr="00653DB7">
        <w:rPr>
          <w:rFonts w:ascii="Arial" w:hAnsi="Arial" w:cs="Arial"/>
          <w:i/>
          <w:sz w:val="24"/>
          <w:szCs w:val="24"/>
        </w:rPr>
        <w:t>MMWR</w:t>
      </w:r>
      <w:r w:rsidR="00241388" w:rsidRPr="00653DB7">
        <w:rPr>
          <w:rFonts w:ascii="Arial" w:hAnsi="Arial" w:cs="Arial"/>
          <w:sz w:val="24"/>
          <w:szCs w:val="24"/>
        </w:rPr>
        <w:t>. 2001;50(RR- 12):1–23.</w:t>
      </w:r>
    </w:p>
    <w:p w:rsidR="00241388" w:rsidRPr="00653DB7" w:rsidRDefault="002439B1" w:rsidP="00241388">
      <w:pPr>
        <w:pStyle w:val="Numbered"/>
        <w:spacing w:before="40"/>
        <w:ind w:left="1080"/>
        <w:rPr>
          <w:rFonts w:ascii="Arial" w:hAnsi="Arial" w:cs="Arial"/>
          <w:sz w:val="24"/>
          <w:szCs w:val="24"/>
        </w:rPr>
      </w:pPr>
      <w:r w:rsidRPr="00653DB7">
        <w:rPr>
          <w:rFonts w:ascii="Arial" w:hAnsi="Arial" w:cs="Arial"/>
          <w:sz w:val="24"/>
          <w:szCs w:val="24"/>
        </w:rPr>
        <w:t>5.   Centers for Disease Control and Prevention.  Cytomegalovirus (CMV) and Congenital</w:t>
      </w:r>
    </w:p>
    <w:p w:rsidR="002439B1" w:rsidRPr="00653DB7" w:rsidRDefault="002439B1" w:rsidP="00241388">
      <w:pPr>
        <w:pStyle w:val="Numbered"/>
        <w:spacing w:before="40"/>
        <w:ind w:left="1080"/>
        <w:rPr>
          <w:rFonts w:ascii="Arial" w:hAnsi="Arial" w:cs="Arial"/>
          <w:sz w:val="24"/>
          <w:szCs w:val="24"/>
        </w:rPr>
      </w:pPr>
      <w:r w:rsidRPr="00653DB7">
        <w:rPr>
          <w:rFonts w:ascii="Arial" w:hAnsi="Arial" w:cs="Arial"/>
          <w:sz w:val="24"/>
          <w:szCs w:val="24"/>
        </w:rPr>
        <w:t xml:space="preserve">       CMV Infection  </w:t>
      </w:r>
      <w:hyperlink r:id="rId33" w:history="1">
        <w:r w:rsidRPr="00653DB7">
          <w:rPr>
            <w:rStyle w:val="Hyperlink"/>
            <w:rFonts w:ascii="Arial" w:hAnsi="Arial" w:cs="Arial"/>
            <w:sz w:val="24"/>
            <w:szCs w:val="24"/>
          </w:rPr>
          <w:t>http://www.cdc.gov/cmv/clinical/features.html</w:t>
        </w:r>
      </w:hyperlink>
      <w:r w:rsidRPr="00653DB7">
        <w:rPr>
          <w:rFonts w:ascii="Arial" w:hAnsi="Arial" w:cs="Arial"/>
          <w:sz w:val="24"/>
          <w:szCs w:val="24"/>
        </w:rPr>
        <w:t xml:space="preserve"> (accessed December 2015)</w:t>
      </w:r>
    </w:p>
    <w:p w:rsidR="00241388" w:rsidRPr="00653DB7" w:rsidRDefault="002439B1" w:rsidP="00241388">
      <w:pPr>
        <w:pStyle w:val="Numbered"/>
        <w:spacing w:before="40"/>
        <w:ind w:left="1080"/>
        <w:rPr>
          <w:rFonts w:ascii="Arial" w:hAnsi="Arial" w:cs="Arial"/>
          <w:sz w:val="24"/>
          <w:szCs w:val="24"/>
        </w:rPr>
      </w:pPr>
      <w:r w:rsidRPr="00653DB7">
        <w:rPr>
          <w:rFonts w:ascii="Arial" w:hAnsi="Arial" w:cs="Arial"/>
          <w:sz w:val="24"/>
          <w:szCs w:val="24"/>
        </w:rPr>
        <w:t>6</w:t>
      </w:r>
      <w:r w:rsidR="00241388" w:rsidRPr="00653DB7">
        <w:rPr>
          <w:rFonts w:ascii="Arial" w:hAnsi="Arial" w:cs="Arial"/>
          <w:sz w:val="24"/>
          <w:szCs w:val="24"/>
        </w:rPr>
        <w:t>.</w:t>
      </w:r>
      <w:r w:rsidR="00241388" w:rsidRPr="00653DB7">
        <w:rPr>
          <w:rFonts w:ascii="Arial" w:hAnsi="Arial" w:cs="Arial"/>
          <w:sz w:val="24"/>
          <w:szCs w:val="24"/>
        </w:rPr>
        <w:tab/>
        <w:t xml:space="preserve">Drew WL. Herpesviridae: cytomegalovirus. In: Lennette EH, Halonen P, Murphy FA, editors. </w:t>
      </w:r>
      <w:r w:rsidR="00241388" w:rsidRPr="00653DB7">
        <w:rPr>
          <w:rFonts w:ascii="Arial" w:hAnsi="Arial" w:cs="Arial"/>
          <w:i/>
          <w:sz w:val="24"/>
          <w:szCs w:val="24"/>
        </w:rPr>
        <w:t>Laboratory Diagnosis of Infectious Diseases: Principles and Practice, Volume II, Viral, Rickettsial and Chlamydial Diseases</w:t>
      </w:r>
      <w:r w:rsidR="00241388" w:rsidRPr="00653DB7">
        <w:rPr>
          <w:rFonts w:ascii="Arial" w:hAnsi="Arial" w:cs="Arial"/>
          <w:sz w:val="24"/>
          <w:szCs w:val="24"/>
        </w:rPr>
        <w:t xml:space="preserve">. New York: Springer-Verlag; 1988:247-260. </w:t>
      </w:r>
    </w:p>
    <w:p w:rsidR="00241388" w:rsidRPr="00653DB7" w:rsidRDefault="002439B1" w:rsidP="00241388">
      <w:pPr>
        <w:pStyle w:val="Numbered"/>
        <w:spacing w:before="40"/>
        <w:ind w:left="1080"/>
        <w:rPr>
          <w:rFonts w:ascii="Arial" w:hAnsi="Arial" w:cs="Arial"/>
          <w:sz w:val="24"/>
          <w:szCs w:val="24"/>
        </w:rPr>
      </w:pPr>
      <w:r w:rsidRPr="00653DB7">
        <w:rPr>
          <w:rFonts w:ascii="Arial" w:hAnsi="Arial" w:cs="Arial"/>
          <w:sz w:val="24"/>
          <w:szCs w:val="24"/>
        </w:rPr>
        <w:t>7</w:t>
      </w:r>
      <w:r w:rsidR="00241388" w:rsidRPr="00653DB7">
        <w:rPr>
          <w:rFonts w:ascii="Arial" w:hAnsi="Arial" w:cs="Arial"/>
          <w:sz w:val="24"/>
          <w:szCs w:val="24"/>
        </w:rPr>
        <w:t>.</w:t>
      </w:r>
      <w:r w:rsidR="00241388" w:rsidRPr="00653DB7">
        <w:rPr>
          <w:rFonts w:ascii="Arial" w:hAnsi="Arial" w:cs="Arial"/>
          <w:sz w:val="24"/>
          <w:szCs w:val="24"/>
        </w:rPr>
        <w:tab/>
        <w:t xml:space="preserve">Yow M, White N, Taber L, Frank A, Gruber W, May R, et al. Acquisition of Cytomegalovirus Infection From Birth to 10 Years: A Longitudinal Serologic Study. </w:t>
      </w:r>
      <w:r w:rsidR="00241388" w:rsidRPr="00653DB7">
        <w:rPr>
          <w:rFonts w:ascii="Arial" w:hAnsi="Arial" w:cs="Arial"/>
          <w:i/>
          <w:sz w:val="24"/>
          <w:szCs w:val="24"/>
        </w:rPr>
        <w:t>J Pediatr</w:t>
      </w:r>
      <w:r w:rsidR="00241388" w:rsidRPr="00653DB7">
        <w:rPr>
          <w:rFonts w:ascii="Arial" w:hAnsi="Arial" w:cs="Arial"/>
          <w:sz w:val="24"/>
          <w:szCs w:val="24"/>
        </w:rPr>
        <w:t xml:space="preserve">. 1987;110:37-42. </w:t>
      </w:r>
    </w:p>
    <w:p w:rsidR="00241388" w:rsidRPr="00653DB7" w:rsidRDefault="002439B1" w:rsidP="00241388">
      <w:pPr>
        <w:pStyle w:val="Numbered"/>
        <w:spacing w:before="40"/>
        <w:ind w:left="1080"/>
        <w:rPr>
          <w:rFonts w:ascii="Arial" w:hAnsi="Arial" w:cs="Arial"/>
          <w:sz w:val="24"/>
          <w:szCs w:val="24"/>
        </w:rPr>
      </w:pPr>
      <w:r w:rsidRPr="00653DB7">
        <w:rPr>
          <w:rFonts w:ascii="Arial" w:hAnsi="Arial" w:cs="Arial"/>
          <w:sz w:val="24"/>
          <w:szCs w:val="24"/>
        </w:rPr>
        <w:lastRenderedPageBreak/>
        <w:t>8</w:t>
      </w:r>
      <w:r w:rsidR="00241388" w:rsidRPr="00653DB7">
        <w:rPr>
          <w:rFonts w:ascii="Arial" w:hAnsi="Arial" w:cs="Arial"/>
          <w:sz w:val="24"/>
          <w:szCs w:val="24"/>
        </w:rPr>
        <w:t>.</w:t>
      </w:r>
      <w:r w:rsidR="00241388" w:rsidRPr="00653DB7">
        <w:rPr>
          <w:rFonts w:ascii="Arial" w:hAnsi="Arial" w:cs="Arial"/>
          <w:sz w:val="24"/>
          <w:szCs w:val="24"/>
        </w:rPr>
        <w:tab/>
        <w:t xml:space="preserve">Ho M. Characteristics of Cytomegalovirus. In: </w:t>
      </w:r>
      <w:r w:rsidR="00241388" w:rsidRPr="00653DB7">
        <w:rPr>
          <w:rFonts w:ascii="Arial" w:hAnsi="Arial" w:cs="Arial"/>
          <w:i/>
          <w:sz w:val="24"/>
          <w:szCs w:val="24"/>
        </w:rPr>
        <w:t>Cytomegalovirus Biology and Infection: Current Topics in Infectious Disease</w:t>
      </w:r>
      <w:r w:rsidR="00241388" w:rsidRPr="00653DB7">
        <w:rPr>
          <w:rFonts w:ascii="Arial" w:hAnsi="Arial" w:cs="Arial"/>
          <w:sz w:val="24"/>
          <w:szCs w:val="24"/>
        </w:rPr>
        <w:t xml:space="preserve">. New York: Plenum; 1982:9-32. </w:t>
      </w:r>
    </w:p>
    <w:p w:rsidR="00241388" w:rsidRPr="00653DB7" w:rsidRDefault="002439B1" w:rsidP="00241388">
      <w:pPr>
        <w:pStyle w:val="Numbered"/>
        <w:spacing w:before="40"/>
        <w:ind w:left="1080"/>
        <w:rPr>
          <w:rFonts w:ascii="Arial" w:hAnsi="Arial" w:cs="Arial"/>
          <w:sz w:val="24"/>
          <w:szCs w:val="24"/>
        </w:rPr>
      </w:pPr>
      <w:r w:rsidRPr="00653DB7">
        <w:rPr>
          <w:rFonts w:ascii="Arial" w:hAnsi="Arial" w:cs="Arial"/>
          <w:sz w:val="24"/>
          <w:szCs w:val="24"/>
        </w:rPr>
        <w:t>9</w:t>
      </w:r>
      <w:r w:rsidR="00241388" w:rsidRPr="00653DB7">
        <w:rPr>
          <w:rFonts w:ascii="Arial" w:hAnsi="Arial" w:cs="Arial"/>
          <w:sz w:val="24"/>
          <w:szCs w:val="24"/>
        </w:rPr>
        <w:t>.</w:t>
      </w:r>
      <w:r w:rsidR="00241388" w:rsidRPr="00653DB7">
        <w:rPr>
          <w:rFonts w:ascii="Arial" w:hAnsi="Arial" w:cs="Arial"/>
          <w:sz w:val="24"/>
          <w:szCs w:val="24"/>
        </w:rPr>
        <w:tab/>
        <w:t xml:space="preserve">Stagno S, Pass R, Cloud G, Britt W, Henderson R, Walton P, </w:t>
      </w:r>
      <w:r w:rsidR="00241388" w:rsidRPr="00653DB7">
        <w:rPr>
          <w:rFonts w:ascii="Arial" w:hAnsi="Arial" w:cs="Arial"/>
          <w:i/>
          <w:sz w:val="24"/>
          <w:szCs w:val="24"/>
        </w:rPr>
        <w:t>et al</w:t>
      </w:r>
      <w:r w:rsidR="00241388" w:rsidRPr="00653DB7">
        <w:rPr>
          <w:rFonts w:ascii="Arial" w:hAnsi="Arial" w:cs="Arial"/>
          <w:sz w:val="24"/>
          <w:szCs w:val="24"/>
        </w:rPr>
        <w:t xml:space="preserve">. Primary Cytomegalovirus Infection in Pregnancy: Incidence, Transmission to the Fetus, and Clinical Outcome. </w:t>
      </w:r>
      <w:r w:rsidR="00241388" w:rsidRPr="00653DB7">
        <w:rPr>
          <w:rFonts w:ascii="Arial" w:hAnsi="Arial" w:cs="Arial"/>
          <w:i/>
          <w:sz w:val="24"/>
          <w:szCs w:val="24"/>
        </w:rPr>
        <w:t>JAMA</w:t>
      </w:r>
      <w:r w:rsidR="00241388" w:rsidRPr="00653DB7">
        <w:rPr>
          <w:rFonts w:ascii="Arial" w:hAnsi="Arial" w:cs="Arial"/>
          <w:sz w:val="24"/>
          <w:szCs w:val="24"/>
        </w:rPr>
        <w:t xml:space="preserve">. 1986;256:1904-1908. </w:t>
      </w:r>
    </w:p>
    <w:p w:rsidR="00241388" w:rsidRPr="00653DB7" w:rsidRDefault="002439B1" w:rsidP="00241388">
      <w:pPr>
        <w:pStyle w:val="Numbered"/>
        <w:spacing w:before="40"/>
        <w:ind w:left="1080"/>
        <w:rPr>
          <w:rFonts w:ascii="Arial" w:hAnsi="Arial" w:cs="Arial"/>
          <w:sz w:val="24"/>
          <w:szCs w:val="24"/>
        </w:rPr>
      </w:pPr>
      <w:r w:rsidRPr="00653DB7">
        <w:rPr>
          <w:rFonts w:ascii="Arial" w:hAnsi="Arial" w:cs="Arial"/>
          <w:sz w:val="24"/>
          <w:szCs w:val="24"/>
        </w:rPr>
        <w:t>10</w:t>
      </w:r>
      <w:r w:rsidR="00241388" w:rsidRPr="00653DB7">
        <w:rPr>
          <w:rFonts w:ascii="Arial" w:hAnsi="Arial" w:cs="Arial"/>
          <w:sz w:val="24"/>
          <w:szCs w:val="24"/>
        </w:rPr>
        <w:t>.</w:t>
      </w:r>
      <w:r w:rsidR="00241388" w:rsidRPr="00653DB7">
        <w:rPr>
          <w:rFonts w:ascii="Arial" w:hAnsi="Arial" w:cs="Arial"/>
          <w:sz w:val="24"/>
          <w:szCs w:val="24"/>
        </w:rPr>
        <w:tab/>
        <w:t xml:space="preserve">US Department of Health and Human Services. </w:t>
      </w:r>
      <w:r w:rsidR="00241388" w:rsidRPr="00653DB7">
        <w:rPr>
          <w:rFonts w:ascii="Arial" w:hAnsi="Arial" w:cs="Arial"/>
          <w:i/>
          <w:sz w:val="24"/>
          <w:szCs w:val="24"/>
        </w:rPr>
        <w:t>Biosafety in Microbiological and Biomedical Laboratories</w:t>
      </w:r>
      <w:r w:rsidR="00241388" w:rsidRPr="00653DB7">
        <w:rPr>
          <w:rFonts w:ascii="Arial" w:hAnsi="Arial" w:cs="Arial"/>
          <w:sz w:val="24"/>
          <w:szCs w:val="24"/>
        </w:rPr>
        <w:t xml:space="preserve">. 5th ed. Washington, DC: US Government Printing Office; January 2007. </w:t>
      </w:r>
    </w:p>
    <w:p w:rsidR="00241388" w:rsidRPr="00653DB7" w:rsidRDefault="002439B1" w:rsidP="002439B1">
      <w:pPr>
        <w:pStyle w:val="Numbered"/>
        <w:spacing w:before="40"/>
        <w:ind w:left="720" w:firstLine="0"/>
        <w:rPr>
          <w:rFonts w:ascii="Arial" w:hAnsi="Arial" w:cs="Arial"/>
          <w:sz w:val="24"/>
          <w:szCs w:val="24"/>
        </w:rPr>
      </w:pPr>
      <w:r w:rsidRPr="00653DB7">
        <w:rPr>
          <w:rFonts w:ascii="Arial" w:hAnsi="Arial" w:cs="Arial"/>
          <w:sz w:val="24"/>
          <w:szCs w:val="24"/>
        </w:rPr>
        <w:t>11</w:t>
      </w:r>
      <w:r w:rsidR="00241388" w:rsidRPr="00653DB7">
        <w:rPr>
          <w:rFonts w:ascii="Arial" w:hAnsi="Arial" w:cs="Arial"/>
          <w:sz w:val="24"/>
          <w:szCs w:val="24"/>
        </w:rPr>
        <w:t>.</w:t>
      </w:r>
      <w:r w:rsidR="00241388" w:rsidRPr="00653DB7">
        <w:rPr>
          <w:rFonts w:ascii="Arial" w:hAnsi="Arial" w:cs="Arial"/>
          <w:sz w:val="24"/>
          <w:szCs w:val="24"/>
        </w:rPr>
        <w:tab/>
        <w:t xml:space="preserve">World Health Organization. </w:t>
      </w:r>
      <w:r w:rsidR="00241388" w:rsidRPr="00653DB7">
        <w:rPr>
          <w:rFonts w:ascii="Arial" w:hAnsi="Arial" w:cs="Arial"/>
          <w:i/>
          <w:sz w:val="24"/>
          <w:szCs w:val="24"/>
        </w:rPr>
        <w:t>Laboratory Biosafety Manu</w:t>
      </w:r>
      <w:r w:rsidR="00241388" w:rsidRPr="00653DB7">
        <w:rPr>
          <w:rFonts w:ascii="Arial" w:hAnsi="Arial" w:cs="Arial"/>
          <w:sz w:val="24"/>
          <w:szCs w:val="24"/>
        </w:rPr>
        <w:t xml:space="preserve">al. 3rd ed. Geneva: World Health Organization; 2004. </w:t>
      </w:r>
    </w:p>
    <w:p w:rsidR="00241388" w:rsidRPr="00653DB7" w:rsidRDefault="002439B1" w:rsidP="00241388">
      <w:pPr>
        <w:pStyle w:val="Numbered"/>
        <w:spacing w:before="40"/>
        <w:ind w:left="1080"/>
        <w:rPr>
          <w:rFonts w:ascii="Arial" w:hAnsi="Arial" w:cs="Arial"/>
          <w:sz w:val="24"/>
          <w:szCs w:val="24"/>
        </w:rPr>
      </w:pPr>
      <w:r w:rsidRPr="00653DB7">
        <w:rPr>
          <w:rFonts w:ascii="Arial" w:hAnsi="Arial" w:cs="Arial"/>
          <w:sz w:val="24"/>
          <w:szCs w:val="24"/>
        </w:rPr>
        <w:t>12</w:t>
      </w:r>
      <w:r w:rsidR="00241388" w:rsidRPr="00653DB7">
        <w:rPr>
          <w:rFonts w:ascii="Arial" w:hAnsi="Arial" w:cs="Arial"/>
          <w:sz w:val="24"/>
          <w:szCs w:val="24"/>
        </w:rPr>
        <w:t>.</w:t>
      </w:r>
      <w:r w:rsidR="00241388" w:rsidRPr="00653DB7">
        <w:rPr>
          <w:rFonts w:ascii="Arial" w:hAnsi="Arial" w:cs="Arial"/>
          <w:sz w:val="24"/>
          <w:szCs w:val="24"/>
        </w:rPr>
        <w:tab/>
        <w:t xml:space="preserve">Clinical and Laboratory Standards Institute. </w:t>
      </w:r>
      <w:r w:rsidR="00241388" w:rsidRPr="00653DB7">
        <w:rPr>
          <w:rFonts w:ascii="Arial" w:hAnsi="Arial" w:cs="Arial"/>
          <w:i/>
          <w:sz w:val="24"/>
          <w:szCs w:val="24"/>
        </w:rPr>
        <w:t>Protection of Laboratory Workers from Occupationally Acquired Infections: Approved Guideline</w:t>
      </w:r>
      <w:r w:rsidR="00241388" w:rsidRPr="00653DB7">
        <w:rPr>
          <w:rFonts w:ascii="Arial" w:hAnsi="Arial" w:cs="Arial"/>
          <w:sz w:val="24"/>
          <w:szCs w:val="24"/>
        </w:rPr>
        <w:t xml:space="preserve"> -Third Edition. CLSI Document M29-A3. Wayne, PA: Clinical and Laboratory Standards Institute, 2005. </w:t>
      </w:r>
    </w:p>
    <w:p w:rsidR="00241388" w:rsidRPr="00653DB7" w:rsidRDefault="002439B1" w:rsidP="00241388">
      <w:pPr>
        <w:pStyle w:val="Numbered"/>
        <w:spacing w:before="40"/>
        <w:ind w:left="1080"/>
        <w:rPr>
          <w:rFonts w:ascii="Arial" w:hAnsi="Arial" w:cs="Arial"/>
          <w:sz w:val="24"/>
          <w:szCs w:val="24"/>
        </w:rPr>
      </w:pPr>
      <w:r w:rsidRPr="00653DB7">
        <w:rPr>
          <w:rFonts w:ascii="Arial" w:hAnsi="Arial" w:cs="Arial"/>
          <w:sz w:val="24"/>
          <w:szCs w:val="24"/>
        </w:rPr>
        <w:t>13</w:t>
      </w:r>
      <w:r w:rsidR="00241388" w:rsidRPr="00653DB7">
        <w:rPr>
          <w:rFonts w:ascii="Arial" w:hAnsi="Arial" w:cs="Arial"/>
          <w:sz w:val="24"/>
          <w:szCs w:val="24"/>
        </w:rPr>
        <w:t>.</w:t>
      </w:r>
      <w:r w:rsidR="00241388" w:rsidRPr="00653DB7">
        <w:rPr>
          <w:rFonts w:ascii="Arial" w:hAnsi="Arial" w:cs="Arial"/>
          <w:sz w:val="24"/>
          <w:szCs w:val="24"/>
        </w:rPr>
        <w:tab/>
        <w:t xml:space="preserve">US Department of Labor, Occupational Safety and Health Administration, 29 CFR Part 1910.1030, Occupational safety and health standards, </w:t>
      </w:r>
      <w:r w:rsidR="00241388" w:rsidRPr="00653DB7">
        <w:rPr>
          <w:rFonts w:ascii="Arial" w:hAnsi="Arial" w:cs="Arial"/>
          <w:i/>
          <w:sz w:val="24"/>
          <w:szCs w:val="24"/>
        </w:rPr>
        <w:t>Bloodborne Path</w:t>
      </w:r>
      <w:r w:rsidR="00241388" w:rsidRPr="00653DB7">
        <w:rPr>
          <w:rFonts w:ascii="Arial" w:hAnsi="Arial" w:cs="Arial"/>
          <w:sz w:val="24"/>
          <w:szCs w:val="24"/>
        </w:rPr>
        <w:t xml:space="preserve">ogens. </w:t>
      </w:r>
    </w:p>
    <w:p w:rsidR="00601507" w:rsidRPr="00653DB7" w:rsidRDefault="00601507" w:rsidP="00241388">
      <w:pPr>
        <w:pStyle w:val="Numbered"/>
        <w:spacing w:before="40"/>
        <w:ind w:left="1080"/>
        <w:rPr>
          <w:rFonts w:ascii="Arial" w:hAnsi="Arial" w:cs="Arial"/>
          <w:sz w:val="24"/>
          <w:szCs w:val="24"/>
        </w:rPr>
      </w:pPr>
      <w:r>
        <w:rPr>
          <w:rFonts w:ascii="Times New Roman" w:hAnsi="Times New Roman"/>
          <w:sz w:val="24"/>
          <w:szCs w:val="24"/>
        </w:rPr>
        <w:t xml:space="preserve">14.  </w:t>
      </w:r>
      <w:r w:rsidRPr="00653DB7">
        <w:rPr>
          <w:rFonts w:ascii="Arial" w:hAnsi="Arial" w:cs="Arial"/>
          <w:sz w:val="24"/>
          <w:szCs w:val="24"/>
        </w:rPr>
        <w:t>Reef SE, Redd S, Abernathy E, Zimmerman L, Icenolge JP.  The epidemiological profile of rubella and congenital rubella syndrome in the United States, 1998-2004:  the evidence for absence of endemic transmission.  Clin Infect Dis., 2006;43 (Suppl)3</w:t>
      </w:r>
    </w:p>
    <w:p w:rsidR="00601507" w:rsidRDefault="00601507" w:rsidP="00601507">
      <w:pPr>
        <w:pStyle w:val="Numbered"/>
        <w:spacing w:before="40"/>
        <w:ind w:left="0" w:firstLine="0"/>
        <w:rPr>
          <w:rFonts w:ascii="Arial" w:hAnsi="Arial" w:cs="Arial"/>
          <w:sz w:val="24"/>
          <w:szCs w:val="24"/>
        </w:rPr>
      </w:pPr>
      <w:r w:rsidRPr="00653DB7">
        <w:rPr>
          <w:rFonts w:ascii="Arial" w:hAnsi="Arial" w:cs="Arial"/>
          <w:sz w:val="24"/>
          <w:szCs w:val="24"/>
        </w:rPr>
        <w:t xml:space="preserve">                   :S126-132.</w:t>
      </w:r>
    </w:p>
    <w:p w:rsidR="008B0E15" w:rsidRPr="00653DB7" w:rsidRDefault="008B0E15" w:rsidP="00601507">
      <w:pPr>
        <w:pStyle w:val="Numbered"/>
        <w:spacing w:before="40"/>
        <w:ind w:left="0" w:firstLine="0"/>
        <w:rPr>
          <w:rFonts w:ascii="Arial" w:hAnsi="Arial" w:cs="Arial"/>
          <w:sz w:val="24"/>
          <w:szCs w:val="24"/>
        </w:rPr>
      </w:pPr>
    </w:p>
    <w:tbl>
      <w:tblPr>
        <w:tblW w:w="9861" w:type="dxa"/>
        <w:tblBorders>
          <w:top w:val="single" w:sz="8" w:space="0" w:color="4BACC6"/>
          <w:bottom w:val="single" w:sz="8" w:space="0" w:color="4BACC6"/>
        </w:tblBorders>
        <w:tblLook w:val="04A0" w:firstRow="1" w:lastRow="0" w:firstColumn="1" w:lastColumn="0" w:noHBand="0" w:noVBand="1"/>
      </w:tblPr>
      <w:tblGrid>
        <w:gridCol w:w="7938"/>
        <w:gridCol w:w="1923"/>
      </w:tblGrid>
      <w:tr w:rsidR="00331BEC" w:rsidRPr="00E67989" w:rsidTr="00FE7E58">
        <w:trPr>
          <w:trHeight w:val="260"/>
        </w:trPr>
        <w:tc>
          <w:tcPr>
            <w:tcW w:w="7938" w:type="dxa"/>
            <w:tcBorders>
              <w:top w:val="single" w:sz="8" w:space="0" w:color="4BACC6"/>
              <w:bottom w:val="single" w:sz="8" w:space="0" w:color="4BACC6"/>
            </w:tcBorders>
            <w:shd w:val="clear" w:color="auto" w:fill="auto"/>
          </w:tcPr>
          <w:p w:rsidR="00331BEC" w:rsidRPr="00E67989" w:rsidRDefault="00331BEC" w:rsidP="00C83435">
            <w:pPr>
              <w:tabs>
                <w:tab w:val="left" w:pos="-720"/>
              </w:tabs>
              <w:suppressAutoHyphens/>
              <w:rPr>
                <w:b/>
                <w:bCs/>
                <w:i/>
                <w:color w:val="17365D"/>
                <w:sz w:val="18"/>
                <w:szCs w:val="18"/>
              </w:rPr>
            </w:pPr>
            <w:r w:rsidRPr="00E67989">
              <w:rPr>
                <w:b/>
                <w:bCs/>
                <w:i/>
                <w:color w:val="17365D"/>
                <w:sz w:val="18"/>
                <w:szCs w:val="18"/>
              </w:rPr>
              <w:t>POLICY CREATION :</w:t>
            </w:r>
          </w:p>
        </w:tc>
        <w:tc>
          <w:tcPr>
            <w:tcW w:w="1923" w:type="dxa"/>
            <w:tcBorders>
              <w:top w:val="single" w:sz="8" w:space="0" w:color="4BACC6"/>
              <w:bottom w:val="single" w:sz="8" w:space="0" w:color="4BACC6"/>
            </w:tcBorders>
            <w:shd w:val="clear" w:color="auto" w:fill="auto"/>
          </w:tcPr>
          <w:p w:rsidR="00331BEC" w:rsidRPr="00E67989" w:rsidRDefault="00331BEC" w:rsidP="00C83435">
            <w:pPr>
              <w:tabs>
                <w:tab w:val="left" w:pos="-720"/>
              </w:tabs>
              <w:suppressAutoHyphens/>
              <w:rPr>
                <w:b/>
                <w:bCs/>
                <w:i/>
                <w:color w:val="31849B"/>
                <w:sz w:val="18"/>
                <w:szCs w:val="18"/>
              </w:rPr>
            </w:pPr>
          </w:p>
        </w:tc>
      </w:tr>
      <w:tr w:rsidR="00331BEC" w:rsidRPr="00E67989" w:rsidTr="00FE7E58">
        <w:trPr>
          <w:trHeight w:val="279"/>
        </w:trPr>
        <w:tc>
          <w:tcPr>
            <w:tcW w:w="7938" w:type="dxa"/>
            <w:shd w:val="clear" w:color="auto" w:fill="D2EAF1"/>
          </w:tcPr>
          <w:p w:rsidR="00331BEC" w:rsidRPr="00E67989" w:rsidRDefault="00331BEC" w:rsidP="00331BEC">
            <w:pPr>
              <w:tabs>
                <w:tab w:val="left" w:pos="-720"/>
              </w:tabs>
              <w:suppressAutoHyphens/>
              <w:rPr>
                <w:b/>
                <w:bCs/>
                <w:i/>
                <w:color w:val="31849B"/>
                <w:sz w:val="18"/>
                <w:szCs w:val="18"/>
              </w:rPr>
            </w:pPr>
            <w:r w:rsidRPr="00E67989">
              <w:rPr>
                <w:b/>
                <w:bCs/>
                <w:i/>
                <w:color w:val="17365D"/>
                <w:sz w:val="18"/>
                <w:szCs w:val="18"/>
              </w:rPr>
              <w:t>Author:</w:t>
            </w:r>
            <w:r w:rsidRPr="00E67989">
              <w:rPr>
                <w:b/>
                <w:bCs/>
                <w:i/>
                <w:color w:val="31849B"/>
                <w:sz w:val="18"/>
                <w:szCs w:val="18"/>
              </w:rPr>
              <w:t xml:space="preserve">           </w:t>
            </w:r>
            <w:r w:rsidR="00FE7E58">
              <w:rPr>
                <w:b/>
                <w:bCs/>
                <w:i/>
                <w:color w:val="31849B"/>
                <w:sz w:val="18"/>
                <w:szCs w:val="18"/>
              </w:rPr>
              <w:t xml:space="preserve">            </w:t>
            </w:r>
            <w:r>
              <w:rPr>
                <w:b/>
                <w:bCs/>
                <w:i/>
                <w:color w:val="31849B"/>
                <w:sz w:val="18"/>
                <w:szCs w:val="18"/>
              </w:rPr>
              <w:t>Michelle Greer</w:t>
            </w:r>
          </w:p>
        </w:tc>
        <w:tc>
          <w:tcPr>
            <w:tcW w:w="1923" w:type="dxa"/>
            <w:tcBorders>
              <w:left w:val="nil"/>
              <w:right w:val="nil"/>
            </w:tcBorders>
            <w:shd w:val="clear" w:color="auto" w:fill="D2EAF1"/>
          </w:tcPr>
          <w:p w:rsidR="00331BEC" w:rsidRPr="00E67989" w:rsidRDefault="00FE7E58" w:rsidP="00C83435">
            <w:pPr>
              <w:tabs>
                <w:tab w:val="left" w:pos="-720"/>
              </w:tabs>
              <w:suppressAutoHyphens/>
              <w:rPr>
                <w:b/>
                <w:i/>
                <w:color w:val="31849B"/>
                <w:sz w:val="18"/>
                <w:szCs w:val="18"/>
              </w:rPr>
            </w:pPr>
            <w:r>
              <w:rPr>
                <w:b/>
                <w:i/>
                <w:color w:val="31849B"/>
                <w:sz w:val="18"/>
                <w:szCs w:val="18"/>
              </w:rPr>
              <w:t>11/13/18</w:t>
            </w:r>
          </w:p>
        </w:tc>
      </w:tr>
      <w:tr w:rsidR="00331BEC" w:rsidRPr="00E67989" w:rsidTr="00FE7E58">
        <w:trPr>
          <w:trHeight w:val="279"/>
        </w:trPr>
        <w:tc>
          <w:tcPr>
            <w:tcW w:w="7938" w:type="dxa"/>
            <w:shd w:val="clear" w:color="auto" w:fill="auto"/>
          </w:tcPr>
          <w:p w:rsidR="00331BEC" w:rsidRPr="00E67989" w:rsidRDefault="00FE7E58" w:rsidP="00331BEC">
            <w:pPr>
              <w:tabs>
                <w:tab w:val="left" w:pos="-720"/>
              </w:tabs>
              <w:suppressAutoHyphens/>
              <w:rPr>
                <w:b/>
                <w:bCs/>
                <w:i/>
                <w:color w:val="31849B"/>
                <w:sz w:val="18"/>
                <w:szCs w:val="18"/>
              </w:rPr>
            </w:pPr>
            <w:r>
              <w:rPr>
                <w:noProof/>
                <w:snapToGrid/>
                <w:sz w:val="20"/>
              </w:rPr>
              <w:drawing>
                <wp:anchor distT="0" distB="0" distL="114300" distR="114300" simplePos="0" relativeHeight="251658240" behindDoc="1" locked="0" layoutInCell="1" allowOverlap="1" wp14:anchorId="2984D312" wp14:editId="67A23433">
                  <wp:simplePos x="0" y="0"/>
                  <wp:positionH relativeFrom="column">
                    <wp:posOffset>3305175</wp:posOffset>
                  </wp:positionH>
                  <wp:positionV relativeFrom="paragraph">
                    <wp:posOffset>13970</wp:posOffset>
                  </wp:positionV>
                  <wp:extent cx="1457325" cy="180975"/>
                  <wp:effectExtent l="0" t="0" r="9525" b="9525"/>
                  <wp:wrapTight wrapText="bothSides">
                    <wp:wrapPolygon edited="0">
                      <wp:start x="0" y="0"/>
                      <wp:lineTo x="0" y="20463"/>
                      <wp:lineTo x="21459" y="20463"/>
                      <wp:lineTo x="2145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5732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BEC" w:rsidRPr="00E67989">
              <w:rPr>
                <w:b/>
                <w:bCs/>
                <w:i/>
                <w:color w:val="17365D"/>
                <w:sz w:val="18"/>
                <w:szCs w:val="18"/>
              </w:rPr>
              <w:t>Medical Director:</w:t>
            </w:r>
            <w:r w:rsidR="00331BEC" w:rsidRPr="00E67989">
              <w:rPr>
                <w:b/>
                <w:bCs/>
                <w:i/>
                <w:color w:val="31849B"/>
                <w:sz w:val="18"/>
                <w:szCs w:val="18"/>
              </w:rPr>
              <w:t xml:space="preserve">      </w:t>
            </w:r>
            <w:r w:rsidR="008B0E15">
              <w:rPr>
                <w:b/>
                <w:bCs/>
                <w:i/>
                <w:color w:val="31849B"/>
                <w:sz w:val="18"/>
                <w:szCs w:val="18"/>
              </w:rPr>
              <w:t>Elizabeth A. Bauer-Marsh, M.D.</w:t>
            </w:r>
            <w:r w:rsidRPr="00CD4FFB">
              <w:rPr>
                <w:sz w:val="20"/>
              </w:rPr>
              <w:t xml:space="preserve"> </w:t>
            </w:r>
          </w:p>
        </w:tc>
        <w:tc>
          <w:tcPr>
            <w:tcW w:w="1923" w:type="dxa"/>
            <w:shd w:val="clear" w:color="auto" w:fill="auto"/>
          </w:tcPr>
          <w:p w:rsidR="00331BEC" w:rsidRPr="00E67989" w:rsidRDefault="00FE7E58" w:rsidP="00C83435">
            <w:pPr>
              <w:tabs>
                <w:tab w:val="left" w:pos="-720"/>
              </w:tabs>
              <w:suppressAutoHyphens/>
              <w:rPr>
                <w:b/>
                <w:i/>
                <w:color w:val="31849B"/>
                <w:sz w:val="18"/>
                <w:szCs w:val="18"/>
              </w:rPr>
            </w:pPr>
            <w:r>
              <w:rPr>
                <w:b/>
                <w:i/>
                <w:color w:val="31849B"/>
                <w:sz w:val="18"/>
                <w:szCs w:val="18"/>
              </w:rPr>
              <w:t>11/27/18</w:t>
            </w:r>
          </w:p>
        </w:tc>
      </w:tr>
    </w:tbl>
    <w:p w:rsidR="00241388" w:rsidRDefault="00241388" w:rsidP="00E37325">
      <w:pPr>
        <w:ind w:left="-720"/>
        <w:jc w:val="both"/>
        <w:rPr>
          <w:rFonts w:ascii="Arial" w:hAnsi="Arial" w:cs="Arial"/>
          <w:color w:val="000000"/>
          <w:szCs w:val="24"/>
        </w:rPr>
      </w:pPr>
    </w:p>
    <w:p w:rsidR="00FE7E58" w:rsidRDefault="00FE7E58" w:rsidP="00E37325">
      <w:pPr>
        <w:ind w:left="-720"/>
        <w:jc w:val="both"/>
        <w:rPr>
          <w:rFonts w:ascii="Arial" w:hAnsi="Arial" w:cs="Arial"/>
          <w:color w:val="000000"/>
          <w:szCs w:val="24"/>
        </w:rPr>
      </w:pPr>
    </w:p>
    <w:p w:rsidR="00FE7E58" w:rsidRDefault="00FE7E58" w:rsidP="00E37325">
      <w:pPr>
        <w:ind w:left="-720"/>
        <w:jc w:val="both"/>
        <w:rPr>
          <w:rFonts w:ascii="Arial" w:hAnsi="Arial" w:cs="Arial"/>
          <w:color w:val="000000"/>
          <w:szCs w:val="24"/>
        </w:rPr>
      </w:pPr>
    </w:p>
    <w:p w:rsidR="00FE7E58" w:rsidRDefault="00FE7E58" w:rsidP="00E37325">
      <w:pPr>
        <w:ind w:left="-720"/>
        <w:jc w:val="both"/>
        <w:rPr>
          <w:rFonts w:ascii="Arial" w:hAnsi="Arial" w:cs="Arial"/>
          <w:color w:val="000000"/>
          <w:szCs w:val="24"/>
        </w:rPr>
      </w:pPr>
    </w:p>
    <w:p w:rsidR="00FE7E58" w:rsidRDefault="00FE7E58" w:rsidP="00E37325">
      <w:pPr>
        <w:ind w:left="-720"/>
        <w:jc w:val="both"/>
        <w:rPr>
          <w:rFonts w:ascii="Arial" w:hAnsi="Arial" w:cs="Arial"/>
          <w:color w:val="000000"/>
          <w:szCs w:val="24"/>
        </w:rPr>
      </w:pPr>
    </w:p>
    <w:tbl>
      <w:tblPr>
        <w:tblpPr w:leftFromText="180" w:rightFromText="180" w:vertAnchor="text" w:horzAnchor="margin" w:tblpY="-19"/>
        <w:tblW w:w="9885" w:type="dxa"/>
        <w:tblLayout w:type="fixed"/>
        <w:tblCellMar>
          <w:left w:w="120" w:type="dxa"/>
          <w:right w:w="120" w:type="dxa"/>
        </w:tblCellMar>
        <w:tblLook w:val="0000" w:firstRow="0" w:lastRow="0" w:firstColumn="0" w:lastColumn="0" w:noHBand="0" w:noVBand="0"/>
      </w:tblPr>
      <w:tblGrid>
        <w:gridCol w:w="2520"/>
        <w:gridCol w:w="3101"/>
        <w:gridCol w:w="4264"/>
      </w:tblGrid>
      <w:tr w:rsidR="00FE7E58" w:rsidRPr="00484E64" w:rsidTr="001B0A99">
        <w:trPr>
          <w:trHeight w:val="421"/>
        </w:trPr>
        <w:tc>
          <w:tcPr>
            <w:tcW w:w="9885" w:type="dxa"/>
            <w:gridSpan w:val="3"/>
            <w:tcBorders>
              <w:top w:val="double" w:sz="2" w:space="0" w:color="auto"/>
              <w:left w:val="double" w:sz="2" w:space="0" w:color="auto"/>
              <w:right w:val="double" w:sz="2" w:space="0" w:color="auto"/>
            </w:tcBorders>
            <w:shd w:val="clear" w:color="auto" w:fill="B6DDE8"/>
            <w:vAlign w:val="center"/>
          </w:tcPr>
          <w:p w:rsidR="00FE7E58" w:rsidRPr="00730305" w:rsidRDefault="00FE7E58" w:rsidP="001B0A99">
            <w:pPr>
              <w:shd w:val="clear" w:color="auto" w:fill="DAEEF3"/>
              <w:tabs>
                <w:tab w:val="center" w:pos="672"/>
              </w:tabs>
              <w:suppressAutoHyphens/>
              <w:spacing w:before="90" w:after="54"/>
              <w:jc w:val="center"/>
              <w:rPr>
                <w:i/>
                <w:sz w:val="22"/>
                <w:szCs w:val="22"/>
              </w:rPr>
            </w:pPr>
            <w:r w:rsidRPr="00730305">
              <w:rPr>
                <w:b/>
                <w:i/>
                <w:sz w:val="22"/>
                <w:szCs w:val="22"/>
              </w:rPr>
              <w:t>MEDICAL DIRECTOR</w:t>
            </w:r>
          </w:p>
        </w:tc>
      </w:tr>
      <w:tr w:rsidR="00FE7E58" w:rsidRPr="00484E64" w:rsidTr="001B0A99">
        <w:trPr>
          <w:trHeight w:hRule="exact" w:val="558"/>
        </w:trPr>
        <w:tc>
          <w:tcPr>
            <w:tcW w:w="2520" w:type="dxa"/>
            <w:tcBorders>
              <w:top w:val="double" w:sz="7" w:space="0" w:color="auto"/>
              <w:left w:val="double" w:sz="2" w:space="0" w:color="auto"/>
              <w:right w:val="single" w:sz="8" w:space="0" w:color="auto"/>
            </w:tcBorders>
            <w:shd w:val="clear" w:color="auto" w:fill="B6DDE8"/>
          </w:tcPr>
          <w:p w:rsidR="00FE7E58" w:rsidRPr="005F6D94" w:rsidRDefault="00FE7E58" w:rsidP="001B0A99">
            <w:pPr>
              <w:tabs>
                <w:tab w:val="left" w:pos="-720"/>
              </w:tabs>
              <w:suppressAutoHyphens/>
              <w:spacing w:before="90" w:after="54"/>
              <w:jc w:val="center"/>
            </w:pPr>
            <w:r w:rsidRPr="005F6D94">
              <w:t>DATE</w:t>
            </w:r>
          </w:p>
        </w:tc>
        <w:tc>
          <w:tcPr>
            <w:tcW w:w="3101" w:type="dxa"/>
            <w:tcBorders>
              <w:top w:val="double" w:sz="7" w:space="0" w:color="auto"/>
              <w:left w:val="single" w:sz="8" w:space="0" w:color="auto"/>
              <w:right w:val="single" w:sz="8" w:space="0" w:color="auto"/>
            </w:tcBorders>
            <w:shd w:val="clear" w:color="auto" w:fill="B6DDE8"/>
          </w:tcPr>
          <w:p w:rsidR="00FE7E58" w:rsidRPr="005F6D94" w:rsidRDefault="00FE7E58" w:rsidP="001B0A99">
            <w:pPr>
              <w:tabs>
                <w:tab w:val="left" w:pos="-720"/>
              </w:tabs>
              <w:suppressAutoHyphens/>
              <w:spacing w:before="90" w:after="54"/>
              <w:jc w:val="center"/>
            </w:pPr>
            <w:r w:rsidRPr="005F6D94">
              <w:t>NAME</w:t>
            </w:r>
          </w:p>
        </w:tc>
        <w:tc>
          <w:tcPr>
            <w:tcW w:w="4264" w:type="dxa"/>
            <w:tcBorders>
              <w:top w:val="double" w:sz="7" w:space="0" w:color="auto"/>
              <w:left w:val="single" w:sz="8" w:space="0" w:color="auto"/>
              <w:right w:val="double" w:sz="2" w:space="0" w:color="auto"/>
            </w:tcBorders>
            <w:shd w:val="clear" w:color="auto" w:fill="B6DDE8"/>
          </w:tcPr>
          <w:p w:rsidR="00FE7E58" w:rsidRPr="005F6D94" w:rsidRDefault="00FE7E58" w:rsidP="001B0A99">
            <w:pPr>
              <w:tabs>
                <w:tab w:val="left" w:pos="-720"/>
              </w:tabs>
              <w:suppressAutoHyphens/>
              <w:spacing w:before="90" w:after="54"/>
              <w:jc w:val="center"/>
            </w:pPr>
            <w:r w:rsidRPr="005F6D94">
              <w:t>SIGNATURE</w:t>
            </w:r>
          </w:p>
        </w:tc>
      </w:tr>
      <w:tr w:rsidR="00FE7E58" w:rsidRPr="00484E64" w:rsidTr="001B0A99">
        <w:trPr>
          <w:trHeight w:hRule="exact" w:val="558"/>
        </w:trPr>
        <w:tc>
          <w:tcPr>
            <w:tcW w:w="2520" w:type="dxa"/>
            <w:tcBorders>
              <w:top w:val="single" w:sz="7" w:space="0" w:color="auto"/>
              <w:left w:val="double" w:sz="2" w:space="0" w:color="auto"/>
              <w:right w:val="single" w:sz="8" w:space="0" w:color="auto"/>
            </w:tcBorders>
            <w:vAlign w:val="center"/>
          </w:tcPr>
          <w:p w:rsidR="00FE7E58" w:rsidRPr="00FE7E58" w:rsidRDefault="00FE7E58" w:rsidP="00FE7E58">
            <w:pPr>
              <w:tabs>
                <w:tab w:val="left" w:pos="-720"/>
              </w:tabs>
              <w:suppressAutoHyphens/>
              <w:spacing w:before="90" w:after="54"/>
              <w:rPr>
                <w:rFonts w:asciiTheme="minorHAnsi" w:hAnsiTheme="minorHAnsi"/>
                <w:sz w:val="22"/>
                <w:szCs w:val="22"/>
              </w:rPr>
            </w:pPr>
            <w:r w:rsidRPr="00FE7E58">
              <w:rPr>
                <w:rFonts w:asciiTheme="minorHAnsi" w:hAnsiTheme="minorHAnsi"/>
                <w:sz w:val="22"/>
                <w:szCs w:val="22"/>
              </w:rPr>
              <w:t>November 27, 2018</w:t>
            </w:r>
          </w:p>
        </w:tc>
        <w:tc>
          <w:tcPr>
            <w:tcW w:w="3101" w:type="dxa"/>
            <w:tcBorders>
              <w:top w:val="single" w:sz="7" w:space="0" w:color="auto"/>
              <w:left w:val="single" w:sz="8" w:space="0" w:color="auto"/>
              <w:right w:val="single" w:sz="8" w:space="0" w:color="auto"/>
            </w:tcBorders>
            <w:vAlign w:val="center"/>
          </w:tcPr>
          <w:p w:rsidR="00FE7E58" w:rsidRPr="00FE7E58" w:rsidRDefault="00FE7E58" w:rsidP="00FE7E58">
            <w:pPr>
              <w:tabs>
                <w:tab w:val="left" w:pos="-720"/>
              </w:tabs>
              <w:suppressAutoHyphens/>
              <w:spacing w:before="90" w:after="54"/>
              <w:rPr>
                <w:rFonts w:asciiTheme="minorHAnsi" w:hAnsiTheme="minorHAnsi"/>
                <w:sz w:val="22"/>
                <w:szCs w:val="22"/>
              </w:rPr>
            </w:pPr>
            <w:r w:rsidRPr="00FE7E58">
              <w:rPr>
                <w:rFonts w:asciiTheme="minorHAnsi" w:hAnsiTheme="minorHAnsi"/>
                <w:sz w:val="22"/>
                <w:szCs w:val="22"/>
              </w:rPr>
              <w:t>Elizabeth A. Bauer-Marsh, M.D.</w:t>
            </w:r>
          </w:p>
        </w:tc>
        <w:tc>
          <w:tcPr>
            <w:tcW w:w="4264" w:type="dxa"/>
            <w:tcBorders>
              <w:top w:val="single" w:sz="7" w:space="0" w:color="auto"/>
              <w:left w:val="single" w:sz="8" w:space="0" w:color="auto"/>
              <w:right w:val="double" w:sz="2" w:space="0" w:color="auto"/>
            </w:tcBorders>
            <w:vAlign w:val="center"/>
          </w:tcPr>
          <w:p w:rsidR="00FE7E58" w:rsidRPr="00817364" w:rsidRDefault="00C46B9B" w:rsidP="00FE7E58">
            <w:pPr>
              <w:tabs>
                <w:tab w:val="left" w:pos="-720"/>
              </w:tabs>
              <w:suppressAutoHyphens/>
              <w:spacing w:before="90" w:after="54"/>
            </w:pPr>
            <w:r>
              <w:rPr>
                <w:sz w:val="20"/>
              </w:rPr>
              <w:pict w14:anchorId="697B0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85pt;height:14.25pt">
                  <v:imagedata r:id="rId35" o:title=""/>
                </v:shape>
              </w:pict>
            </w:r>
          </w:p>
        </w:tc>
      </w:tr>
      <w:tr w:rsidR="00FE7E58" w:rsidRPr="00484E64" w:rsidTr="001B0A99">
        <w:trPr>
          <w:trHeight w:hRule="exact" w:val="464"/>
        </w:trPr>
        <w:tc>
          <w:tcPr>
            <w:tcW w:w="9885" w:type="dxa"/>
            <w:gridSpan w:val="3"/>
            <w:tcBorders>
              <w:top w:val="single" w:sz="7" w:space="0" w:color="auto"/>
              <w:left w:val="double" w:sz="2" w:space="0" w:color="auto"/>
              <w:right w:val="double" w:sz="2" w:space="0" w:color="auto"/>
            </w:tcBorders>
            <w:shd w:val="clear" w:color="auto" w:fill="B6DDE8"/>
          </w:tcPr>
          <w:p w:rsidR="00FE7E58" w:rsidRPr="00730305" w:rsidRDefault="00FE7E58" w:rsidP="00FE7E58">
            <w:pPr>
              <w:jc w:val="center"/>
              <w:rPr>
                <w:i/>
              </w:rPr>
            </w:pPr>
            <w:r w:rsidRPr="00730305">
              <w:rPr>
                <w:b/>
                <w:i/>
              </w:rPr>
              <w:t>SECTION MEDICAL DIRECTOR</w:t>
            </w:r>
          </w:p>
        </w:tc>
      </w:tr>
      <w:tr w:rsidR="00FE7E58" w:rsidRPr="00484E64" w:rsidTr="001B0A99">
        <w:trPr>
          <w:trHeight w:hRule="exact" w:val="558"/>
        </w:trPr>
        <w:tc>
          <w:tcPr>
            <w:tcW w:w="2520" w:type="dxa"/>
            <w:tcBorders>
              <w:top w:val="single" w:sz="7" w:space="0" w:color="auto"/>
              <w:left w:val="double" w:sz="2" w:space="0" w:color="auto"/>
              <w:right w:val="single" w:sz="8" w:space="0" w:color="auto"/>
            </w:tcBorders>
            <w:vAlign w:val="center"/>
          </w:tcPr>
          <w:p w:rsidR="00FE7E58" w:rsidRPr="00D23B7F" w:rsidRDefault="00FE7E58" w:rsidP="00FE7E58">
            <w:pPr>
              <w:tabs>
                <w:tab w:val="left" w:pos="-720"/>
              </w:tabs>
              <w:suppressAutoHyphens/>
              <w:spacing w:before="90" w:after="54"/>
              <w:rPr>
                <w:rFonts w:ascii="Times New Roman" w:hAnsi="Times New Roman"/>
                <w:sz w:val="20"/>
              </w:rPr>
            </w:pPr>
            <w:r>
              <w:rPr>
                <w:rFonts w:ascii="Times New Roman" w:hAnsi="Times New Roman"/>
                <w:sz w:val="20"/>
              </w:rPr>
              <w:t>November 28, 2018</w:t>
            </w:r>
          </w:p>
        </w:tc>
        <w:tc>
          <w:tcPr>
            <w:tcW w:w="3101" w:type="dxa"/>
            <w:tcBorders>
              <w:top w:val="single" w:sz="7" w:space="0" w:color="auto"/>
              <w:left w:val="single" w:sz="8" w:space="0" w:color="auto"/>
              <w:right w:val="single" w:sz="8" w:space="0" w:color="auto"/>
            </w:tcBorders>
            <w:vAlign w:val="center"/>
          </w:tcPr>
          <w:p w:rsidR="00FE7E58" w:rsidRPr="00D23B7F" w:rsidRDefault="00FE7E58" w:rsidP="00FE7E58">
            <w:pPr>
              <w:tabs>
                <w:tab w:val="left" w:pos="-720"/>
              </w:tabs>
              <w:suppressAutoHyphens/>
              <w:spacing w:before="90" w:after="54"/>
              <w:rPr>
                <w:rFonts w:ascii="Times New Roman" w:hAnsi="Times New Roman"/>
                <w:sz w:val="20"/>
              </w:rPr>
            </w:pPr>
            <w:r w:rsidRPr="00D23B7F">
              <w:rPr>
                <w:rFonts w:ascii="Times New Roman" w:hAnsi="Times New Roman"/>
                <w:sz w:val="20"/>
              </w:rPr>
              <w:t>Lori Racsa, DO</w:t>
            </w:r>
          </w:p>
        </w:tc>
        <w:tc>
          <w:tcPr>
            <w:tcW w:w="4264" w:type="dxa"/>
            <w:tcBorders>
              <w:top w:val="single" w:sz="7" w:space="0" w:color="auto"/>
              <w:left w:val="single" w:sz="8" w:space="0" w:color="auto"/>
              <w:right w:val="double" w:sz="2" w:space="0" w:color="auto"/>
            </w:tcBorders>
            <w:vAlign w:val="center"/>
          </w:tcPr>
          <w:p w:rsidR="00FE7E58" w:rsidRPr="00CC7D14" w:rsidRDefault="00C46B9B" w:rsidP="00FE7E58">
            <w:pPr>
              <w:tabs>
                <w:tab w:val="left" w:pos="-720"/>
              </w:tabs>
              <w:suppressAutoHyphens/>
              <w:spacing w:before="90" w:after="54"/>
            </w:pPr>
            <w:r>
              <w:rPr>
                <w:noProof/>
              </w:rPr>
              <w:pict w14:anchorId="19E86F04">
                <v:shape id="_x0000_i1026" type="#_x0000_t75" style="width:63.15pt;height:23.95pt">
                  <v:imagedata r:id="rId36" o:title=""/>
                </v:shape>
              </w:pict>
            </w:r>
          </w:p>
        </w:tc>
      </w:tr>
      <w:tr w:rsidR="00FE7E58" w:rsidRPr="00484E64" w:rsidTr="001B0A99">
        <w:trPr>
          <w:trHeight w:hRule="exact" w:val="215"/>
        </w:trPr>
        <w:tc>
          <w:tcPr>
            <w:tcW w:w="2520" w:type="dxa"/>
            <w:tcBorders>
              <w:top w:val="single" w:sz="7" w:space="0" w:color="auto"/>
              <w:left w:val="double" w:sz="2" w:space="0" w:color="auto"/>
              <w:bottom w:val="double" w:sz="2" w:space="0" w:color="auto"/>
              <w:right w:val="single" w:sz="8" w:space="0" w:color="auto"/>
            </w:tcBorders>
            <w:vAlign w:val="center"/>
          </w:tcPr>
          <w:p w:rsidR="00FE7E58" w:rsidRPr="00817364" w:rsidRDefault="00FE7E58" w:rsidP="00FE7E58">
            <w:pPr>
              <w:tabs>
                <w:tab w:val="left" w:pos="-720"/>
              </w:tabs>
              <w:suppressAutoHyphens/>
              <w:spacing w:before="90" w:after="54"/>
            </w:pPr>
          </w:p>
        </w:tc>
        <w:tc>
          <w:tcPr>
            <w:tcW w:w="3101" w:type="dxa"/>
            <w:tcBorders>
              <w:top w:val="single" w:sz="7" w:space="0" w:color="auto"/>
              <w:left w:val="single" w:sz="8" w:space="0" w:color="auto"/>
              <w:bottom w:val="double" w:sz="2" w:space="0" w:color="auto"/>
              <w:right w:val="single" w:sz="8" w:space="0" w:color="auto"/>
            </w:tcBorders>
            <w:vAlign w:val="center"/>
          </w:tcPr>
          <w:p w:rsidR="00FE7E58" w:rsidRPr="00817364" w:rsidRDefault="00FE7E58" w:rsidP="00FE7E58">
            <w:pPr>
              <w:tabs>
                <w:tab w:val="left" w:pos="-720"/>
              </w:tabs>
              <w:suppressAutoHyphens/>
              <w:spacing w:before="90" w:after="54"/>
            </w:pPr>
          </w:p>
        </w:tc>
        <w:tc>
          <w:tcPr>
            <w:tcW w:w="4264" w:type="dxa"/>
            <w:tcBorders>
              <w:top w:val="single" w:sz="7" w:space="0" w:color="auto"/>
              <w:left w:val="single" w:sz="8" w:space="0" w:color="auto"/>
              <w:bottom w:val="double" w:sz="2" w:space="0" w:color="auto"/>
              <w:right w:val="double" w:sz="2" w:space="0" w:color="auto"/>
            </w:tcBorders>
            <w:vAlign w:val="center"/>
          </w:tcPr>
          <w:p w:rsidR="00FE7E58" w:rsidRPr="00817364" w:rsidRDefault="00FE7E58" w:rsidP="00FE7E58">
            <w:pPr>
              <w:tabs>
                <w:tab w:val="left" w:pos="-720"/>
              </w:tabs>
              <w:suppressAutoHyphens/>
              <w:spacing w:before="90" w:after="54"/>
            </w:pPr>
          </w:p>
        </w:tc>
      </w:tr>
    </w:tbl>
    <w:p w:rsidR="00FE7E58" w:rsidRDefault="00FE7E58" w:rsidP="00E37325">
      <w:pPr>
        <w:ind w:left="-720"/>
        <w:jc w:val="both"/>
        <w:rPr>
          <w:rFonts w:ascii="Arial" w:hAnsi="Arial" w:cs="Arial"/>
          <w:color w:val="000000"/>
          <w:szCs w:val="24"/>
        </w:rPr>
      </w:pPr>
    </w:p>
    <w:tbl>
      <w:tblPr>
        <w:tblpPr w:leftFromText="180" w:rightFromText="180" w:vertAnchor="text" w:horzAnchor="margin" w:tblpY="24"/>
        <w:tblW w:w="99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7"/>
        <w:gridCol w:w="5211"/>
        <w:gridCol w:w="1710"/>
        <w:gridCol w:w="1890"/>
      </w:tblGrid>
      <w:tr w:rsidR="00FE7E58" w:rsidTr="001B0A99">
        <w:trPr>
          <w:trHeight w:val="485"/>
        </w:trPr>
        <w:tc>
          <w:tcPr>
            <w:tcW w:w="9918" w:type="dxa"/>
            <w:gridSpan w:val="4"/>
            <w:tcBorders>
              <w:top w:val="single" w:sz="6" w:space="0" w:color="auto"/>
              <w:left w:val="single" w:sz="6" w:space="0" w:color="auto"/>
              <w:bottom w:val="single" w:sz="6" w:space="0" w:color="auto"/>
              <w:right w:val="single" w:sz="6" w:space="0" w:color="auto"/>
            </w:tcBorders>
            <w:shd w:val="clear" w:color="auto" w:fill="92CDDC"/>
          </w:tcPr>
          <w:p w:rsidR="00FE7E58" w:rsidRPr="005D5A97" w:rsidRDefault="00FE7E58" w:rsidP="001B0A99">
            <w:pPr>
              <w:suppressAutoHyphens/>
              <w:overflowPunct w:val="0"/>
              <w:autoSpaceDE w:val="0"/>
              <w:autoSpaceDN w:val="0"/>
              <w:adjustRightInd w:val="0"/>
              <w:spacing w:before="60" w:after="60"/>
              <w:jc w:val="center"/>
              <w:rPr>
                <w:b/>
              </w:rPr>
            </w:pPr>
            <w:r>
              <w:rPr>
                <w:b/>
              </w:rPr>
              <w:lastRenderedPageBreak/>
              <w:t>REVISION HISTORY</w:t>
            </w:r>
          </w:p>
        </w:tc>
      </w:tr>
      <w:tr w:rsidR="00FE7E58" w:rsidTr="001B0A99">
        <w:trPr>
          <w:trHeight w:val="531"/>
        </w:trPr>
        <w:tc>
          <w:tcPr>
            <w:tcW w:w="1107" w:type="dxa"/>
            <w:tcBorders>
              <w:top w:val="single" w:sz="6" w:space="0" w:color="auto"/>
              <w:left w:val="single" w:sz="6" w:space="0" w:color="auto"/>
              <w:bottom w:val="single" w:sz="6" w:space="0" w:color="auto"/>
              <w:right w:val="single" w:sz="6" w:space="0" w:color="auto"/>
            </w:tcBorders>
            <w:shd w:val="clear" w:color="auto" w:fill="92CDDC"/>
          </w:tcPr>
          <w:p w:rsidR="00FE7E58" w:rsidRPr="005D5A97" w:rsidRDefault="00FE7E58" w:rsidP="001B0A99">
            <w:pPr>
              <w:suppressAutoHyphens/>
              <w:overflowPunct w:val="0"/>
              <w:autoSpaceDE w:val="0"/>
              <w:autoSpaceDN w:val="0"/>
              <w:adjustRightInd w:val="0"/>
              <w:spacing w:before="60" w:after="60"/>
              <w:jc w:val="center"/>
              <w:rPr>
                <w:b/>
              </w:rPr>
            </w:pPr>
            <w:r w:rsidRPr="005D5A97">
              <w:rPr>
                <w:b/>
              </w:rPr>
              <w:t>Rev</w:t>
            </w:r>
          </w:p>
        </w:tc>
        <w:tc>
          <w:tcPr>
            <w:tcW w:w="5211" w:type="dxa"/>
            <w:tcBorders>
              <w:top w:val="single" w:sz="6" w:space="0" w:color="auto"/>
              <w:left w:val="single" w:sz="6" w:space="0" w:color="auto"/>
              <w:bottom w:val="single" w:sz="6" w:space="0" w:color="auto"/>
              <w:right w:val="single" w:sz="6" w:space="0" w:color="auto"/>
            </w:tcBorders>
            <w:shd w:val="clear" w:color="auto" w:fill="92CDDC"/>
          </w:tcPr>
          <w:p w:rsidR="00FE7E58" w:rsidRPr="005D5A97" w:rsidRDefault="00FE7E58" w:rsidP="001B0A99">
            <w:pPr>
              <w:suppressAutoHyphens/>
              <w:overflowPunct w:val="0"/>
              <w:autoSpaceDE w:val="0"/>
              <w:autoSpaceDN w:val="0"/>
              <w:adjustRightInd w:val="0"/>
              <w:spacing w:before="60" w:after="60"/>
              <w:jc w:val="center"/>
              <w:rPr>
                <w:b/>
              </w:rPr>
            </w:pPr>
            <w:r w:rsidRPr="005D5A97">
              <w:rPr>
                <w:b/>
              </w:rPr>
              <w:t>Description of Change</w:t>
            </w:r>
          </w:p>
        </w:tc>
        <w:tc>
          <w:tcPr>
            <w:tcW w:w="1710" w:type="dxa"/>
            <w:tcBorders>
              <w:top w:val="single" w:sz="6" w:space="0" w:color="auto"/>
              <w:left w:val="single" w:sz="6" w:space="0" w:color="auto"/>
              <w:bottom w:val="single" w:sz="6" w:space="0" w:color="auto"/>
              <w:right w:val="single" w:sz="6" w:space="0" w:color="auto"/>
            </w:tcBorders>
            <w:shd w:val="clear" w:color="auto" w:fill="92CDDC"/>
          </w:tcPr>
          <w:p w:rsidR="00FE7E58" w:rsidRPr="005D5A97" w:rsidRDefault="00FE7E58" w:rsidP="001B0A99">
            <w:pPr>
              <w:suppressAutoHyphens/>
              <w:overflowPunct w:val="0"/>
              <w:autoSpaceDE w:val="0"/>
              <w:autoSpaceDN w:val="0"/>
              <w:adjustRightInd w:val="0"/>
              <w:spacing w:before="60" w:after="60"/>
              <w:jc w:val="center"/>
              <w:rPr>
                <w:b/>
              </w:rPr>
            </w:pPr>
            <w:r w:rsidRPr="005D5A97">
              <w:rPr>
                <w:b/>
              </w:rPr>
              <w:t>Author</w:t>
            </w:r>
          </w:p>
        </w:tc>
        <w:tc>
          <w:tcPr>
            <w:tcW w:w="1890" w:type="dxa"/>
            <w:tcBorders>
              <w:top w:val="single" w:sz="6" w:space="0" w:color="auto"/>
              <w:left w:val="single" w:sz="6" w:space="0" w:color="auto"/>
              <w:bottom w:val="single" w:sz="6" w:space="0" w:color="auto"/>
              <w:right w:val="single" w:sz="6" w:space="0" w:color="auto"/>
            </w:tcBorders>
            <w:shd w:val="clear" w:color="auto" w:fill="92CDDC"/>
          </w:tcPr>
          <w:p w:rsidR="00FE7E58" w:rsidRPr="005D5A97" w:rsidRDefault="00FE7E58" w:rsidP="001B0A99">
            <w:pPr>
              <w:suppressAutoHyphens/>
              <w:overflowPunct w:val="0"/>
              <w:autoSpaceDE w:val="0"/>
              <w:autoSpaceDN w:val="0"/>
              <w:adjustRightInd w:val="0"/>
              <w:spacing w:before="60" w:after="60"/>
              <w:jc w:val="center"/>
              <w:rPr>
                <w:b/>
              </w:rPr>
            </w:pPr>
            <w:r w:rsidRPr="005D5A97">
              <w:rPr>
                <w:b/>
              </w:rPr>
              <w:t>Effective Date</w:t>
            </w:r>
          </w:p>
        </w:tc>
      </w:tr>
      <w:tr w:rsidR="00FE7E58" w:rsidTr="001B0A99">
        <w:trPr>
          <w:trHeight w:val="405"/>
        </w:trPr>
        <w:tc>
          <w:tcPr>
            <w:tcW w:w="1107" w:type="dxa"/>
            <w:tcBorders>
              <w:top w:val="single" w:sz="6" w:space="0" w:color="auto"/>
              <w:left w:val="single" w:sz="6" w:space="0" w:color="auto"/>
              <w:bottom w:val="single" w:sz="6" w:space="0" w:color="auto"/>
              <w:right w:val="single" w:sz="6" w:space="0" w:color="auto"/>
            </w:tcBorders>
          </w:tcPr>
          <w:p w:rsidR="00FE7E58" w:rsidRPr="00FE7E58" w:rsidRDefault="00FE7E58" w:rsidP="001B0A99">
            <w:pPr>
              <w:suppressAutoHyphens/>
              <w:overflowPunct w:val="0"/>
              <w:autoSpaceDE w:val="0"/>
              <w:autoSpaceDN w:val="0"/>
              <w:adjustRightInd w:val="0"/>
              <w:spacing w:before="60" w:after="60"/>
              <w:jc w:val="center"/>
              <w:rPr>
                <w:rFonts w:ascii="Arial" w:hAnsi="Arial" w:cs="Arial"/>
                <w:sz w:val="20"/>
              </w:rPr>
            </w:pPr>
            <w:r w:rsidRPr="00FE7E58">
              <w:rPr>
                <w:rFonts w:ascii="Arial" w:hAnsi="Arial" w:cs="Arial"/>
                <w:sz w:val="20"/>
              </w:rPr>
              <w:t>1</w:t>
            </w:r>
          </w:p>
        </w:tc>
        <w:tc>
          <w:tcPr>
            <w:tcW w:w="5211" w:type="dxa"/>
            <w:tcBorders>
              <w:top w:val="single" w:sz="6" w:space="0" w:color="auto"/>
              <w:left w:val="single" w:sz="6" w:space="0" w:color="auto"/>
              <w:bottom w:val="single" w:sz="6" w:space="0" w:color="auto"/>
              <w:right w:val="single" w:sz="6" w:space="0" w:color="auto"/>
            </w:tcBorders>
          </w:tcPr>
          <w:p w:rsidR="00FE7E58" w:rsidRPr="00FE7E58" w:rsidRDefault="00FE7E58" w:rsidP="001B0A99">
            <w:pPr>
              <w:suppressAutoHyphens/>
              <w:overflowPunct w:val="0"/>
              <w:autoSpaceDE w:val="0"/>
              <w:autoSpaceDN w:val="0"/>
              <w:adjustRightInd w:val="0"/>
              <w:spacing w:before="60" w:after="60"/>
              <w:rPr>
                <w:rFonts w:ascii="Arial" w:hAnsi="Arial" w:cs="Arial"/>
                <w:sz w:val="20"/>
              </w:rPr>
            </w:pPr>
            <w:r w:rsidRPr="00FE7E58">
              <w:rPr>
                <w:rFonts w:ascii="Arial" w:hAnsi="Arial" w:cs="Arial"/>
                <w:sz w:val="20"/>
              </w:rPr>
              <w:t>Initial Release</w:t>
            </w:r>
          </w:p>
        </w:tc>
        <w:tc>
          <w:tcPr>
            <w:tcW w:w="1710" w:type="dxa"/>
            <w:tcBorders>
              <w:top w:val="single" w:sz="6" w:space="0" w:color="auto"/>
              <w:left w:val="single" w:sz="6" w:space="0" w:color="auto"/>
              <w:bottom w:val="single" w:sz="6" w:space="0" w:color="auto"/>
              <w:right w:val="single" w:sz="6" w:space="0" w:color="auto"/>
            </w:tcBorders>
          </w:tcPr>
          <w:p w:rsidR="00FE7E58" w:rsidRPr="00FE7E58" w:rsidRDefault="00FE7E58" w:rsidP="001B0A99">
            <w:pPr>
              <w:overflowPunct w:val="0"/>
              <w:autoSpaceDE w:val="0"/>
              <w:autoSpaceDN w:val="0"/>
              <w:adjustRightInd w:val="0"/>
              <w:rPr>
                <w:rFonts w:ascii="Arial" w:hAnsi="Arial" w:cs="Arial"/>
                <w:sz w:val="20"/>
              </w:rPr>
            </w:pPr>
            <w:r w:rsidRPr="00FE7E58">
              <w:rPr>
                <w:rFonts w:ascii="Arial" w:hAnsi="Arial" w:cs="Arial"/>
                <w:sz w:val="20"/>
              </w:rPr>
              <w:t>M. Greer</w:t>
            </w:r>
          </w:p>
        </w:tc>
        <w:tc>
          <w:tcPr>
            <w:tcW w:w="1890" w:type="dxa"/>
            <w:tcBorders>
              <w:top w:val="single" w:sz="6" w:space="0" w:color="auto"/>
              <w:left w:val="single" w:sz="6" w:space="0" w:color="auto"/>
              <w:bottom w:val="single" w:sz="6" w:space="0" w:color="auto"/>
              <w:right w:val="single" w:sz="6" w:space="0" w:color="auto"/>
            </w:tcBorders>
          </w:tcPr>
          <w:p w:rsidR="00FE7E58" w:rsidRPr="00FE7E58" w:rsidRDefault="00FE7E58" w:rsidP="001B0A99">
            <w:pPr>
              <w:suppressAutoHyphens/>
              <w:overflowPunct w:val="0"/>
              <w:autoSpaceDE w:val="0"/>
              <w:autoSpaceDN w:val="0"/>
              <w:adjustRightInd w:val="0"/>
              <w:spacing w:before="60" w:after="60"/>
              <w:jc w:val="center"/>
              <w:rPr>
                <w:rFonts w:ascii="Arial" w:hAnsi="Arial" w:cs="Arial"/>
                <w:sz w:val="20"/>
              </w:rPr>
            </w:pPr>
            <w:r w:rsidRPr="00FE7E58">
              <w:rPr>
                <w:rFonts w:ascii="Arial" w:hAnsi="Arial" w:cs="Arial"/>
                <w:sz w:val="20"/>
              </w:rPr>
              <w:t>11/13/18</w:t>
            </w:r>
          </w:p>
        </w:tc>
      </w:tr>
    </w:tbl>
    <w:p w:rsidR="00FE7E58" w:rsidRDefault="00FE7E58" w:rsidP="00E37325">
      <w:pPr>
        <w:ind w:left="-720"/>
        <w:jc w:val="both"/>
        <w:rPr>
          <w:rFonts w:ascii="Arial" w:hAnsi="Arial" w:cs="Arial"/>
          <w:color w:val="000000"/>
          <w:szCs w:val="24"/>
        </w:rPr>
      </w:pPr>
    </w:p>
    <w:p w:rsidR="00FE7E58" w:rsidRPr="00EC7553" w:rsidRDefault="00FE7E58" w:rsidP="00FE7E58">
      <w:pPr>
        <w:tabs>
          <w:tab w:val="left" w:pos="-720"/>
        </w:tabs>
        <w:suppressAutoHyphens/>
        <w:ind w:left="-720"/>
        <w:rPr>
          <w:rFonts w:ascii="Arial" w:hAnsi="Arial"/>
          <w:szCs w:val="24"/>
        </w:rPr>
      </w:pPr>
      <w:r w:rsidRPr="00EC7553">
        <w:rPr>
          <w:b/>
          <w:szCs w:val="24"/>
        </w:rPr>
        <w:t>REVIEWED BY</w:t>
      </w:r>
    </w:p>
    <w:tbl>
      <w:tblPr>
        <w:tblW w:w="9937" w:type="dxa"/>
        <w:jc w:val="center"/>
        <w:tblInd w:w="35" w:type="dxa"/>
        <w:tblLayout w:type="fixed"/>
        <w:tblCellMar>
          <w:left w:w="120" w:type="dxa"/>
          <w:right w:w="120" w:type="dxa"/>
        </w:tblCellMar>
        <w:tblLook w:val="0000" w:firstRow="0" w:lastRow="0" w:firstColumn="0" w:lastColumn="0" w:noHBand="0" w:noVBand="0"/>
      </w:tblPr>
      <w:tblGrid>
        <w:gridCol w:w="1787"/>
        <w:gridCol w:w="1278"/>
        <w:gridCol w:w="1996"/>
        <w:gridCol w:w="1201"/>
        <w:gridCol w:w="2236"/>
        <w:gridCol w:w="1439"/>
      </w:tblGrid>
      <w:tr w:rsidR="00FE7E58" w:rsidTr="00FE7E58">
        <w:trPr>
          <w:trHeight w:val="1041"/>
          <w:jc w:val="center"/>
        </w:trPr>
        <w:tc>
          <w:tcPr>
            <w:tcW w:w="1787" w:type="dxa"/>
            <w:tcBorders>
              <w:top w:val="double" w:sz="12" w:space="0" w:color="auto"/>
              <w:left w:val="double" w:sz="12" w:space="0" w:color="auto"/>
              <w:right w:val="single" w:sz="8" w:space="0" w:color="auto"/>
            </w:tcBorders>
            <w:shd w:val="clear" w:color="auto" w:fill="31849B"/>
            <w:vAlign w:val="center"/>
          </w:tcPr>
          <w:p w:rsidR="00FE7E58" w:rsidRPr="00FE7E58" w:rsidRDefault="00FE7E58" w:rsidP="001B0A99">
            <w:pPr>
              <w:tabs>
                <w:tab w:val="center" w:pos="672"/>
              </w:tabs>
              <w:suppressAutoHyphens/>
              <w:jc w:val="center"/>
              <w:rPr>
                <w:rFonts w:ascii="Arial" w:hAnsi="Arial" w:cs="Arial"/>
                <w:b/>
                <w:color w:val="FFFFFF"/>
                <w:sz w:val="20"/>
              </w:rPr>
            </w:pPr>
            <w:r w:rsidRPr="00FE7E58">
              <w:rPr>
                <w:rFonts w:ascii="Arial" w:hAnsi="Arial" w:cs="Arial"/>
                <w:b/>
                <w:color w:val="FFFFFF"/>
                <w:sz w:val="20"/>
              </w:rPr>
              <w:t>Lead</w:t>
            </w:r>
          </w:p>
        </w:tc>
        <w:tc>
          <w:tcPr>
            <w:tcW w:w="1278" w:type="dxa"/>
            <w:tcBorders>
              <w:top w:val="double" w:sz="12" w:space="0" w:color="auto"/>
              <w:left w:val="single" w:sz="8" w:space="0" w:color="auto"/>
              <w:right w:val="single" w:sz="8" w:space="0" w:color="auto"/>
            </w:tcBorders>
            <w:shd w:val="clear" w:color="auto" w:fill="31849B"/>
            <w:vAlign w:val="center"/>
          </w:tcPr>
          <w:p w:rsidR="00FE7E58" w:rsidRPr="00FE7E58" w:rsidRDefault="00FE7E58" w:rsidP="001B0A99">
            <w:pPr>
              <w:tabs>
                <w:tab w:val="center" w:pos="672"/>
              </w:tabs>
              <w:suppressAutoHyphens/>
              <w:jc w:val="center"/>
              <w:rPr>
                <w:rFonts w:ascii="Arial" w:hAnsi="Arial" w:cs="Arial"/>
                <w:b/>
                <w:color w:val="FFFFFF"/>
                <w:sz w:val="20"/>
              </w:rPr>
            </w:pPr>
            <w:r w:rsidRPr="00FE7E58">
              <w:rPr>
                <w:rFonts w:ascii="Arial" w:hAnsi="Arial" w:cs="Arial"/>
                <w:b/>
                <w:color w:val="FFFFFF"/>
                <w:sz w:val="20"/>
              </w:rPr>
              <w:t>Date</w:t>
            </w:r>
          </w:p>
        </w:tc>
        <w:tc>
          <w:tcPr>
            <w:tcW w:w="1996" w:type="dxa"/>
            <w:tcBorders>
              <w:top w:val="double" w:sz="12" w:space="0" w:color="auto"/>
              <w:left w:val="single" w:sz="8" w:space="0" w:color="auto"/>
              <w:right w:val="single" w:sz="8" w:space="0" w:color="auto"/>
            </w:tcBorders>
            <w:shd w:val="clear" w:color="auto" w:fill="31849B"/>
            <w:vAlign w:val="center"/>
          </w:tcPr>
          <w:p w:rsidR="00FE7E58" w:rsidRPr="00FE7E58" w:rsidRDefault="00FE7E58" w:rsidP="001B0A99">
            <w:pPr>
              <w:tabs>
                <w:tab w:val="center" w:pos="672"/>
              </w:tabs>
              <w:suppressAutoHyphens/>
              <w:jc w:val="center"/>
              <w:rPr>
                <w:rFonts w:ascii="Arial" w:hAnsi="Arial" w:cs="Arial"/>
                <w:b/>
                <w:color w:val="FFFFFF"/>
                <w:sz w:val="20"/>
              </w:rPr>
            </w:pPr>
            <w:r w:rsidRPr="00FE7E58">
              <w:rPr>
                <w:rFonts w:ascii="Arial" w:hAnsi="Arial" w:cs="Arial"/>
                <w:b/>
                <w:color w:val="FFFFFF"/>
                <w:sz w:val="20"/>
              </w:rPr>
              <w:t>Coordinator/</w:t>
            </w:r>
          </w:p>
          <w:p w:rsidR="00FE7E58" w:rsidRPr="00FE7E58" w:rsidRDefault="00FE7E58" w:rsidP="001B0A99">
            <w:pPr>
              <w:tabs>
                <w:tab w:val="center" w:pos="672"/>
              </w:tabs>
              <w:suppressAutoHyphens/>
              <w:jc w:val="center"/>
              <w:rPr>
                <w:rFonts w:ascii="Arial" w:hAnsi="Arial" w:cs="Arial"/>
                <w:b/>
                <w:color w:val="FFFFFF"/>
                <w:sz w:val="20"/>
              </w:rPr>
            </w:pPr>
            <w:r w:rsidRPr="00FE7E58">
              <w:rPr>
                <w:rFonts w:ascii="Arial" w:hAnsi="Arial" w:cs="Arial"/>
                <w:b/>
                <w:color w:val="FFFFFF"/>
                <w:sz w:val="20"/>
              </w:rPr>
              <w:t>Manager</w:t>
            </w:r>
          </w:p>
        </w:tc>
        <w:tc>
          <w:tcPr>
            <w:tcW w:w="1201" w:type="dxa"/>
            <w:tcBorders>
              <w:top w:val="double" w:sz="12" w:space="0" w:color="auto"/>
              <w:left w:val="single" w:sz="8" w:space="0" w:color="auto"/>
              <w:right w:val="single" w:sz="8" w:space="0" w:color="auto"/>
            </w:tcBorders>
            <w:shd w:val="clear" w:color="auto" w:fill="31849B"/>
            <w:vAlign w:val="center"/>
          </w:tcPr>
          <w:p w:rsidR="00FE7E58" w:rsidRPr="00FE7E58" w:rsidRDefault="00FE7E58" w:rsidP="001B0A99">
            <w:pPr>
              <w:tabs>
                <w:tab w:val="center" w:pos="672"/>
              </w:tabs>
              <w:suppressAutoHyphens/>
              <w:jc w:val="center"/>
              <w:rPr>
                <w:rFonts w:ascii="Arial" w:hAnsi="Arial" w:cs="Arial"/>
                <w:b/>
                <w:color w:val="FFFFFF"/>
                <w:sz w:val="20"/>
              </w:rPr>
            </w:pPr>
            <w:r w:rsidRPr="00FE7E58">
              <w:rPr>
                <w:rFonts w:ascii="Arial" w:hAnsi="Arial" w:cs="Arial"/>
                <w:b/>
                <w:color w:val="FFFFFF"/>
                <w:sz w:val="20"/>
              </w:rPr>
              <w:t>Date</w:t>
            </w:r>
          </w:p>
        </w:tc>
        <w:tc>
          <w:tcPr>
            <w:tcW w:w="2236" w:type="dxa"/>
            <w:tcBorders>
              <w:top w:val="double" w:sz="12" w:space="0" w:color="auto"/>
              <w:left w:val="single" w:sz="8" w:space="0" w:color="auto"/>
              <w:right w:val="single" w:sz="8" w:space="0" w:color="auto"/>
            </w:tcBorders>
            <w:shd w:val="clear" w:color="auto" w:fill="31849B"/>
            <w:vAlign w:val="center"/>
          </w:tcPr>
          <w:p w:rsidR="00FE7E58" w:rsidRPr="00FE7E58" w:rsidRDefault="00FE7E58" w:rsidP="001B0A99">
            <w:pPr>
              <w:pStyle w:val="Heading7"/>
              <w:spacing w:before="0"/>
              <w:jc w:val="center"/>
              <w:rPr>
                <w:rFonts w:ascii="Arial" w:hAnsi="Arial" w:cs="Arial"/>
                <w:b/>
                <w:i w:val="0"/>
                <w:color w:val="FFFFFF"/>
                <w:sz w:val="20"/>
              </w:rPr>
            </w:pPr>
            <w:r w:rsidRPr="00FE7E58">
              <w:rPr>
                <w:rFonts w:ascii="Arial" w:hAnsi="Arial" w:cs="Arial"/>
                <w:b/>
                <w:i w:val="0"/>
                <w:color w:val="FFFFFF"/>
                <w:sz w:val="20"/>
              </w:rPr>
              <w:t>Medical Director</w:t>
            </w:r>
          </w:p>
        </w:tc>
        <w:tc>
          <w:tcPr>
            <w:tcW w:w="1439" w:type="dxa"/>
            <w:tcBorders>
              <w:top w:val="double" w:sz="12" w:space="0" w:color="auto"/>
              <w:left w:val="single" w:sz="8" w:space="0" w:color="auto"/>
              <w:right w:val="double" w:sz="12" w:space="0" w:color="auto"/>
            </w:tcBorders>
            <w:shd w:val="clear" w:color="auto" w:fill="31849B"/>
            <w:vAlign w:val="center"/>
          </w:tcPr>
          <w:p w:rsidR="00FE7E58" w:rsidRPr="00FE7E58" w:rsidRDefault="00FE7E58" w:rsidP="001B0A99">
            <w:pPr>
              <w:tabs>
                <w:tab w:val="center" w:pos="608"/>
              </w:tabs>
              <w:suppressAutoHyphens/>
              <w:jc w:val="center"/>
              <w:rPr>
                <w:rFonts w:ascii="Arial" w:hAnsi="Arial" w:cs="Arial"/>
                <w:b/>
                <w:color w:val="FFFFFF"/>
                <w:sz w:val="20"/>
              </w:rPr>
            </w:pPr>
            <w:r w:rsidRPr="00FE7E58">
              <w:rPr>
                <w:rFonts w:ascii="Arial" w:hAnsi="Arial" w:cs="Arial"/>
                <w:b/>
                <w:color w:val="FFFFFF"/>
                <w:sz w:val="20"/>
              </w:rPr>
              <w:t>Date</w:t>
            </w:r>
          </w:p>
        </w:tc>
      </w:tr>
      <w:tr w:rsidR="00FE7E58" w:rsidTr="00FE7E58">
        <w:trPr>
          <w:trHeight w:hRule="exact" w:val="589"/>
          <w:jc w:val="center"/>
        </w:trPr>
        <w:tc>
          <w:tcPr>
            <w:tcW w:w="1787" w:type="dxa"/>
            <w:tcBorders>
              <w:top w:val="double" w:sz="7" w:space="0" w:color="auto"/>
              <w:left w:val="double" w:sz="12" w:space="0" w:color="auto"/>
              <w:right w:val="single" w:sz="8" w:space="0" w:color="auto"/>
            </w:tcBorders>
            <w:vAlign w:val="center"/>
          </w:tcPr>
          <w:p w:rsidR="00FE7E58" w:rsidRPr="00FE7E58" w:rsidRDefault="00FE7E58" w:rsidP="001B0A99">
            <w:pPr>
              <w:keepNext/>
              <w:keepLines/>
              <w:tabs>
                <w:tab w:val="left" w:pos="0"/>
              </w:tabs>
              <w:suppressAutoHyphens/>
              <w:rPr>
                <w:rFonts w:ascii="Arial" w:hAnsi="Arial" w:cs="Arial"/>
                <w:sz w:val="20"/>
              </w:rPr>
            </w:pPr>
            <w:r w:rsidRPr="00FE7E58">
              <w:rPr>
                <w:rFonts w:ascii="Arial" w:hAnsi="Arial" w:cs="Arial"/>
                <w:sz w:val="20"/>
              </w:rPr>
              <w:t>Michelle Greer</w:t>
            </w:r>
          </w:p>
        </w:tc>
        <w:tc>
          <w:tcPr>
            <w:tcW w:w="1278" w:type="dxa"/>
            <w:tcBorders>
              <w:top w:val="double" w:sz="7" w:space="0" w:color="auto"/>
              <w:left w:val="single" w:sz="8" w:space="0" w:color="auto"/>
              <w:right w:val="single" w:sz="8" w:space="0" w:color="auto"/>
            </w:tcBorders>
            <w:vAlign w:val="center"/>
          </w:tcPr>
          <w:p w:rsidR="00FE7E58" w:rsidRPr="00FE7E58" w:rsidRDefault="00FE7E58" w:rsidP="001B0A99">
            <w:pPr>
              <w:keepNext/>
              <w:keepLines/>
              <w:tabs>
                <w:tab w:val="left" w:pos="0"/>
              </w:tabs>
              <w:suppressAutoHyphens/>
              <w:jc w:val="center"/>
              <w:rPr>
                <w:rFonts w:ascii="Arial" w:hAnsi="Arial" w:cs="Arial"/>
                <w:sz w:val="20"/>
              </w:rPr>
            </w:pPr>
            <w:r w:rsidRPr="00FE7E58">
              <w:rPr>
                <w:rFonts w:ascii="Arial" w:hAnsi="Arial" w:cs="Arial"/>
                <w:sz w:val="20"/>
              </w:rPr>
              <w:t>11/13/18</w:t>
            </w:r>
          </w:p>
        </w:tc>
        <w:tc>
          <w:tcPr>
            <w:tcW w:w="1996" w:type="dxa"/>
            <w:tcBorders>
              <w:top w:val="double" w:sz="7" w:space="0" w:color="auto"/>
              <w:left w:val="single" w:sz="8" w:space="0" w:color="auto"/>
              <w:right w:val="single" w:sz="8" w:space="0" w:color="auto"/>
            </w:tcBorders>
          </w:tcPr>
          <w:p w:rsidR="00FE7E58" w:rsidRPr="00FE7E58" w:rsidRDefault="00C46B9B" w:rsidP="001B0A99">
            <w:pPr>
              <w:keepNext/>
              <w:keepLines/>
              <w:tabs>
                <w:tab w:val="left" w:pos="0"/>
              </w:tabs>
              <w:suppressAutoHyphens/>
              <w:rPr>
                <w:rFonts w:ascii="Arial" w:hAnsi="Arial" w:cs="Arial"/>
              </w:rPr>
            </w:pPr>
            <w:r>
              <w:rPr>
                <w:rFonts w:ascii="Arial" w:hAnsi="Arial" w:cs="Arial"/>
                <w:sz w:val="20"/>
              </w:rPr>
              <w:pict w14:anchorId="04C7F6F0">
                <v:shape id="_x0000_i1027" type="#_x0000_t75" style="width:57.9pt;height:23.9pt">
                  <v:imagedata r:id="rId37" o:title=""/>
                </v:shape>
              </w:pict>
            </w:r>
          </w:p>
        </w:tc>
        <w:tc>
          <w:tcPr>
            <w:tcW w:w="1201" w:type="dxa"/>
            <w:tcBorders>
              <w:top w:val="double" w:sz="7" w:space="0" w:color="auto"/>
              <w:left w:val="single" w:sz="8" w:space="0" w:color="auto"/>
              <w:right w:val="single" w:sz="8" w:space="0" w:color="auto"/>
            </w:tcBorders>
            <w:vAlign w:val="center"/>
          </w:tcPr>
          <w:p w:rsidR="00FE7E58" w:rsidRPr="00FE7E58" w:rsidRDefault="00FE7E58" w:rsidP="001B0A99">
            <w:pPr>
              <w:keepNext/>
              <w:keepLines/>
              <w:tabs>
                <w:tab w:val="left" w:pos="0"/>
              </w:tabs>
              <w:suppressAutoHyphens/>
              <w:rPr>
                <w:rFonts w:ascii="Arial" w:hAnsi="Arial" w:cs="Arial"/>
                <w:sz w:val="20"/>
              </w:rPr>
            </w:pPr>
            <w:r w:rsidRPr="00FE7E58">
              <w:rPr>
                <w:rFonts w:ascii="Arial" w:hAnsi="Arial" w:cs="Arial"/>
                <w:sz w:val="20"/>
              </w:rPr>
              <w:t>11/13/18</w:t>
            </w:r>
          </w:p>
        </w:tc>
        <w:tc>
          <w:tcPr>
            <w:tcW w:w="2236" w:type="dxa"/>
            <w:tcBorders>
              <w:top w:val="double" w:sz="7" w:space="0" w:color="auto"/>
              <w:left w:val="single" w:sz="8" w:space="0" w:color="auto"/>
              <w:right w:val="single" w:sz="8" w:space="0" w:color="auto"/>
            </w:tcBorders>
            <w:vAlign w:val="center"/>
          </w:tcPr>
          <w:p w:rsidR="00FE7E58" w:rsidRPr="00FE7E58" w:rsidRDefault="00C46B9B" w:rsidP="001B0A99">
            <w:pPr>
              <w:keepNext/>
              <w:keepLines/>
              <w:tabs>
                <w:tab w:val="left" w:pos="0"/>
              </w:tabs>
              <w:suppressAutoHyphens/>
              <w:rPr>
                <w:rFonts w:ascii="Arial" w:hAnsi="Arial" w:cs="Arial"/>
                <w:noProof/>
              </w:rPr>
            </w:pPr>
            <w:r>
              <w:rPr>
                <w:rFonts w:ascii="Arial" w:hAnsi="Arial" w:cs="Arial"/>
                <w:noProof/>
                <w:snapToGrid/>
              </w:rPr>
              <w:pict w14:anchorId="71A5E826">
                <v:shape id="_x0000_s1028" type="#_x0000_t75" style="position:absolute;margin-left:5.6pt;margin-top:-14.75pt;width:71.9pt;height:27.5pt;z-index:-251657216;mso-position-horizontal-relative:text;mso-position-vertical-relative:text" wrapcoords="-322 0 -322 20736 21600 20736 21600 0 -322 0">
                  <v:imagedata r:id="rId36" o:title=""/>
                  <w10:wrap type="tight"/>
                </v:shape>
              </w:pict>
            </w:r>
          </w:p>
        </w:tc>
        <w:tc>
          <w:tcPr>
            <w:tcW w:w="1439" w:type="dxa"/>
            <w:tcBorders>
              <w:top w:val="double" w:sz="7" w:space="0" w:color="auto"/>
              <w:left w:val="single" w:sz="8" w:space="0" w:color="auto"/>
              <w:right w:val="double" w:sz="12" w:space="0" w:color="auto"/>
            </w:tcBorders>
            <w:vAlign w:val="center"/>
          </w:tcPr>
          <w:p w:rsidR="00FE7E58" w:rsidRPr="00FE7E58" w:rsidRDefault="00FE7E58" w:rsidP="001B0A99">
            <w:pPr>
              <w:keepNext/>
              <w:keepLines/>
              <w:tabs>
                <w:tab w:val="left" w:pos="0"/>
              </w:tabs>
              <w:suppressAutoHyphens/>
              <w:jc w:val="center"/>
              <w:rPr>
                <w:rFonts w:ascii="Arial" w:hAnsi="Arial" w:cs="Arial"/>
                <w:sz w:val="20"/>
              </w:rPr>
            </w:pPr>
            <w:r w:rsidRPr="00FE7E58">
              <w:rPr>
                <w:rFonts w:ascii="Arial" w:hAnsi="Arial" w:cs="Arial"/>
                <w:sz w:val="20"/>
              </w:rPr>
              <w:t>11/28/18</w:t>
            </w:r>
          </w:p>
        </w:tc>
      </w:tr>
      <w:tr w:rsidR="00FE7E58" w:rsidTr="00FE7E58">
        <w:trPr>
          <w:trHeight w:hRule="exact" w:val="323"/>
          <w:jc w:val="center"/>
        </w:trPr>
        <w:tc>
          <w:tcPr>
            <w:tcW w:w="1787" w:type="dxa"/>
            <w:tcBorders>
              <w:top w:val="single" w:sz="7" w:space="0" w:color="auto"/>
              <w:left w:val="double" w:sz="12" w:space="0" w:color="auto"/>
              <w:bottom w:val="single" w:sz="7" w:space="0" w:color="auto"/>
              <w:right w:val="single" w:sz="8" w:space="0" w:color="auto"/>
            </w:tcBorders>
            <w:vAlign w:val="center"/>
          </w:tcPr>
          <w:p w:rsidR="00FE7E58" w:rsidRPr="00FE7E58" w:rsidRDefault="00FE7E58" w:rsidP="001B0A99">
            <w:pPr>
              <w:keepNext/>
              <w:keepLines/>
              <w:tabs>
                <w:tab w:val="left" w:pos="0"/>
              </w:tabs>
              <w:suppressAutoHyphens/>
              <w:rPr>
                <w:rFonts w:ascii="Arial" w:hAnsi="Arial" w:cs="Arial"/>
                <w:noProof/>
                <w:sz w:val="20"/>
              </w:rPr>
            </w:pPr>
          </w:p>
        </w:tc>
        <w:tc>
          <w:tcPr>
            <w:tcW w:w="1278" w:type="dxa"/>
            <w:tcBorders>
              <w:top w:val="single" w:sz="7" w:space="0" w:color="auto"/>
              <w:left w:val="single" w:sz="8" w:space="0" w:color="auto"/>
              <w:bottom w:val="single" w:sz="7" w:space="0" w:color="auto"/>
              <w:right w:val="single" w:sz="8" w:space="0" w:color="auto"/>
            </w:tcBorders>
            <w:vAlign w:val="center"/>
          </w:tcPr>
          <w:p w:rsidR="00FE7E58" w:rsidRPr="00FE7E58" w:rsidRDefault="00FE7E58" w:rsidP="001B0A99">
            <w:pPr>
              <w:keepNext/>
              <w:keepLines/>
              <w:tabs>
                <w:tab w:val="left" w:pos="0"/>
              </w:tabs>
              <w:suppressAutoHyphens/>
              <w:jc w:val="center"/>
              <w:rPr>
                <w:rFonts w:ascii="Arial" w:hAnsi="Arial" w:cs="Arial"/>
                <w:sz w:val="20"/>
              </w:rPr>
            </w:pPr>
          </w:p>
        </w:tc>
        <w:tc>
          <w:tcPr>
            <w:tcW w:w="1996" w:type="dxa"/>
            <w:tcBorders>
              <w:top w:val="single" w:sz="7" w:space="0" w:color="auto"/>
              <w:left w:val="single" w:sz="8" w:space="0" w:color="auto"/>
              <w:bottom w:val="single" w:sz="7" w:space="0" w:color="auto"/>
              <w:right w:val="single" w:sz="8" w:space="0" w:color="auto"/>
            </w:tcBorders>
          </w:tcPr>
          <w:p w:rsidR="00FE7E58" w:rsidRPr="00FE7E58" w:rsidRDefault="00FE7E58" w:rsidP="001B0A99">
            <w:pPr>
              <w:keepNext/>
              <w:keepLines/>
              <w:tabs>
                <w:tab w:val="left" w:pos="0"/>
              </w:tabs>
              <w:suppressAutoHyphens/>
              <w:jc w:val="center"/>
              <w:rPr>
                <w:rFonts w:ascii="Arial" w:hAnsi="Arial" w:cs="Arial"/>
                <w:sz w:val="20"/>
              </w:rPr>
            </w:pPr>
          </w:p>
        </w:tc>
        <w:tc>
          <w:tcPr>
            <w:tcW w:w="1201" w:type="dxa"/>
            <w:tcBorders>
              <w:top w:val="single" w:sz="7" w:space="0" w:color="auto"/>
              <w:left w:val="single" w:sz="8" w:space="0" w:color="auto"/>
              <w:bottom w:val="single" w:sz="7" w:space="0" w:color="auto"/>
              <w:right w:val="single" w:sz="8" w:space="0" w:color="auto"/>
            </w:tcBorders>
            <w:vAlign w:val="center"/>
          </w:tcPr>
          <w:p w:rsidR="00FE7E58" w:rsidRPr="00FE7E58" w:rsidRDefault="00FE7E58" w:rsidP="001B0A99">
            <w:pPr>
              <w:keepNext/>
              <w:keepLines/>
              <w:tabs>
                <w:tab w:val="left" w:pos="0"/>
              </w:tabs>
              <w:suppressAutoHyphens/>
              <w:jc w:val="center"/>
              <w:rPr>
                <w:rFonts w:ascii="Arial" w:hAnsi="Arial" w:cs="Arial"/>
                <w:sz w:val="20"/>
              </w:rPr>
            </w:pPr>
          </w:p>
        </w:tc>
        <w:tc>
          <w:tcPr>
            <w:tcW w:w="2236" w:type="dxa"/>
            <w:tcBorders>
              <w:top w:val="single" w:sz="7" w:space="0" w:color="auto"/>
              <w:left w:val="single" w:sz="8" w:space="0" w:color="auto"/>
              <w:bottom w:val="single" w:sz="7" w:space="0" w:color="auto"/>
              <w:right w:val="single" w:sz="8" w:space="0" w:color="auto"/>
            </w:tcBorders>
            <w:vAlign w:val="center"/>
          </w:tcPr>
          <w:p w:rsidR="00FE7E58" w:rsidRPr="00FE7E58" w:rsidRDefault="00FE7E58" w:rsidP="001B0A99">
            <w:pPr>
              <w:keepNext/>
              <w:keepLines/>
              <w:tabs>
                <w:tab w:val="left" w:pos="0"/>
              </w:tabs>
              <w:suppressAutoHyphens/>
              <w:rPr>
                <w:rFonts w:ascii="Arial" w:hAnsi="Arial" w:cs="Arial"/>
                <w:sz w:val="20"/>
              </w:rPr>
            </w:pPr>
          </w:p>
        </w:tc>
        <w:tc>
          <w:tcPr>
            <w:tcW w:w="1439" w:type="dxa"/>
            <w:tcBorders>
              <w:top w:val="single" w:sz="7" w:space="0" w:color="auto"/>
              <w:left w:val="single" w:sz="8" w:space="0" w:color="auto"/>
              <w:bottom w:val="single" w:sz="7" w:space="0" w:color="auto"/>
              <w:right w:val="double" w:sz="12" w:space="0" w:color="auto"/>
            </w:tcBorders>
            <w:vAlign w:val="center"/>
          </w:tcPr>
          <w:p w:rsidR="00FE7E58" w:rsidRPr="00FE7E58" w:rsidRDefault="00FE7E58" w:rsidP="001B0A99">
            <w:pPr>
              <w:keepNext/>
              <w:keepLines/>
              <w:tabs>
                <w:tab w:val="left" w:pos="0"/>
              </w:tabs>
              <w:suppressAutoHyphens/>
              <w:jc w:val="center"/>
              <w:rPr>
                <w:rFonts w:ascii="Arial" w:hAnsi="Arial" w:cs="Arial"/>
                <w:sz w:val="20"/>
              </w:rPr>
            </w:pPr>
          </w:p>
        </w:tc>
      </w:tr>
      <w:tr w:rsidR="00FE7E58" w:rsidTr="00FE7E58">
        <w:trPr>
          <w:trHeight w:hRule="exact" w:val="323"/>
          <w:jc w:val="center"/>
        </w:trPr>
        <w:tc>
          <w:tcPr>
            <w:tcW w:w="1787" w:type="dxa"/>
            <w:tcBorders>
              <w:top w:val="single" w:sz="7" w:space="0" w:color="auto"/>
              <w:left w:val="double" w:sz="12" w:space="0" w:color="auto"/>
              <w:bottom w:val="double" w:sz="12" w:space="0" w:color="auto"/>
              <w:right w:val="single" w:sz="8" w:space="0" w:color="auto"/>
            </w:tcBorders>
            <w:vAlign w:val="center"/>
          </w:tcPr>
          <w:p w:rsidR="00FE7E58" w:rsidRPr="00FE7E58" w:rsidRDefault="00FE7E58" w:rsidP="001B0A99">
            <w:pPr>
              <w:keepNext/>
              <w:keepLines/>
              <w:tabs>
                <w:tab w:val="left" w:pos="0"/>
              </w:tabs>
              <w:suppressAutoHyphens/>
              <w:rPr>
                <w:rFonts w:ascii="Arial" w:hAnsi="Arial" w:cs="Arial"/>
                <w:sz w:val="20"/>
              </w:rPr>
            </w:pPr>
          </w:p>
        </w:tc>
        <w:tc>
          <w:tcPr>
            <w:tcW w:w="1278" w:type="dxa"/>
            <w:tcBorders>
              <w:top w:val="single" w:sz="7" w:space="0" w:color="auto"/>
              <w:left w:val="single" w:sz="8" w:space="0" w:color="auto"/>
              <w:bottom w:val="double" w:sz="12" w:space="0" w:color="auto"/>
              <w:right w:val="single" w:sz="8" w:space="0" w:color="auto"/>
            </w:tcBorders>
            <w:vAlign w:val="center"/>
          </w:tcPr>
          <w:p w:rsidR="00FE7E58" w:rsidRPr="00FE7E58" w:rsidRDefault="00FE7E58" w:rsidP="001B0A99">
            <w:pPr>
              <w:keepNext/>
              <w:keepLines/>
              <w:tabs>
                <w:tab w:val="left" w:pos="0"/>
              </w:tabs>
              <w:suppressAutoHyphens/>
              <w:jc w:val="center"/>
              <w:rPr>
                <w:rFonts w:ascii="Arial" w:hAnsi="Arial" w:cs="Arial"/>
                <w:sz w:val="20"/>
              </w:rPr>
            </w:pPr>
          </w:p>
        </w:tc>
        <w:tc>
          <w:tcPr>
            <w:tcW w:w="1996" w:type="dxa"/>
            <w:tcBorders>
              <w:top w:val="single" w:sz="7" w:space="0" w:color="auto"/>
              <w:left w:val="single" w:sz="8" w:space="0" w:color="auto"/>
              <w:bottom w:val="double" w:sz="12" w:space="0" w:color="auto"/>
              <w:right w:val="single" w:sz="8" w:space="0" w:color="auto"/>
            </w:tcBorders>
          </w:tcPr>
          <w:p w:rsidR="00FE7E58" w:rsidRPr="00FE7E58" w:rsidRDefault="00FE7E58" w:rsidP="001B0A99">
            <w:pPr>
              <w:keepNext/>
              <w:keepLines/>
              <w:tabs>
                <w:tab w:val="left" w:pos="0"/>
              </w:tabs>
              <w:suppressAutoHyphens/>
              <w:jc w:val="center"/>
              <w:rPr>
                <w:rFonts w:ascii="Arial" w:hAnsi="Arial" w:cs="Arial"/>
                <w:sz w:val="20"/>
              </w:rPr>
            </w:pPr>
          </w:p>
        </w:tc>
        <w:tc>
          <w:tcPr>
            <w:tcW w:w="1201" w:type="dxa"/>
            <w:tcBorders>
              <w:top w:val="single" w:sz="7" w:space="0" w:color="auto"/>
              <w:left w:val="single" w:sz="8" w:space="0" w:color="auto"/>
              <w:bottom w:val="double" w:sz="12" w:space="0" w:color="auto"/>
              <w:right w:val="single" w:sz="8" w:space="0" w:color="auto"/>
            </w:tcBorders>
            <w:vAlign w:val="center"/>
          </w:tcPr>
          <w:p w:rsidR="00FE7E58" w:rsidRPr="00FE7E58" w:rsidRDefault="00FE7E58" w:rsidP="001B0A99">
            <w:pPr>
              <w:keepNext/>
              <w:keepLines/>
              <w:tabs>
                <w:tab w:val="left" w:pos="0"/>
              </w:tabs>
              <w:suppressAutoHyphens/>
              <w:jc w:val="center"/>
              <w:rPr>
                <w:rFonts w:ascii="Arial" w:hAnsi="Arial" w:cs="Arial"/>
                <w:sz w:val="20"/>
              </w:rPr>
            </w:pPr>
          </w:p>
        </w:tc>
        <w:tc>
          <w:tcPr>
            <w:tcW w:w="2236" w:type="dxa"/>
            <w:tcBorders>
              <w:top w:val="single" w:sz="7" w:space="0" w:color="auto"/>
              <w:left w:val="single" w:sz="8" w:space="0" w:color="auto"/>
              <w:bottom w:val="double" w:sz="12" w:space="0" w:color="auto"/>
              <w:right w:val="single" w:sz="8" w:space="0" w:color="auto"/>
            </w:tcBorders>
            <w:vAlign w:val="center"/>
          </w:tcPr>
          <w:p w:rsidR="00FE7E58" w:rsidRPr="00FE7E58" w:rsidRDefault="00FE7E58" w:rsidP="001B0A99">
            <w:pPr>
              <w:keepNext/>
              <w:keepLines/>
              <w:tabs>
                <w:tab w:val="left" w:pos="0"/>
              </w:tabs>
              <w:suppressAutoHyphens/>
              <w:rPr>
                <w:rFonts w:ascii="Arial" w:hAnsi="Arial" w:cs="Arial"/>
                <w:noProof/>
                <w:sz w:val="20"/>
              </w:rPr>
            </w:pPr>
          </w:p>
        </w:tc>
        <w:tc>
          <w:tcPr>
            <w:tcW w:w="1439" w:type="dxa"/>
            <w:tcBorders>
              <w:top w:val="single" w:sz="7" w:space="0" w:color="auto"/>
              <w:left w:val="single" w:sz="8" w:space="0" w:color="auto"/>
              <w:bottom w:val="double" w:sz="12" w:space="0" w:color="auto"/>
              <w:right w:val="double" w:sz="12" w:space="0" w:color="auto"/>
            </w:tcBorders>
            <w:vAlign w:val="center"/>
          </w:tcPr>
          <w:p w:rsidR="00FE7E58" w:rsidRPr="00FE7E58" w:rsidRDefault="00FE7E58" w:rsidP="001B0A99">
            <w:pPr>
              <w:keepNext/>
              <w:keepLines/>
              <w:tabs>
                <w:tab w:val="left" w:pos="0"/>
              </w:tabs>
              <w:suppressAutoHyphens/>
              <w:jc w:val="center"/>
              <w:rPr>
                <w:rFonts w:ascii="Arial" w:hAnsi="Arial" w:cs="Arial"/>
                <w:sz w:val="20"/>
              </w:rPr>
            </w:pPr>
          </w:p>
        </w:tc>
      </w:tr>
    </w:tbl>
    <w:p w:rsidR="00FE7E58" w:rsidRPr="00653DB7" w:rsidRDefault="00FE7E58" w:rsidP="00E37325">
      <w:pPr>
        <w:ind w:left="-720"/>
        <w:jc w:val="both"/>
        <w:rPr>
          <w:rFonts w:ascii="Arial" w:hAnsi="Arial" w:cs="Arial"/>
          <w:color w:val="000000"/>
          <w:szCs w:val="24"/>
        </w:rPr>
      </w:pPr>
    </w:p>
    <w:sectPr w:rsidR="00FE7E58" w:rsidRPr="00653DB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A26" w:rsidRDefault="00132A26" w:rsidP="00132A26">
      <w:r>
        <w:separator/>
      </w:r>
    </w:p>
  </w:endnote>
  <w:endnote w:type="continuationSeparator" w:id="0">
    <w:p w:rsidR="00132A26" w:rsidRDefault="00132A26" w:rsidP="0013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LT Pro 57 Cn">
    <w:panose1 w:val="00000000000000000000"/>
    <w:charset w:val="00"/>
    <w:family w:val="swiss"/>
    <w:notTrueType/>
    <w:pitch w:val="variable"/>
    <w:sig w:usb0="800000AF" w:usb1="5000204A" w:usb2="00000000" w:usb3="00000000" w:csb0="0000009B" w:csb1="00000000"/>
  </w:font>
  <w:font w:name="HelveticaNeue-Condensed">
    <w:panose1 w:val="00000000000000000000"/>
    <w:charset w:val="4D"/>
    <w:family w:val="auto"/>
    <w:notTrueType/>
    <w:pitch w:val="default"/>
    <w:sig w:usb0="00000003" w:usb1="00000000" w:usb2="00000000" w:usb3="00000000" w:csb0="00000001" w:csb1="00000000"/>
  </w:font>
  <w:font w:name="HelveticaNeue-BoldCond">
    <w:panose1 w:val="00000000000000000000"/>
    <w:charset w:val="4D"/>
    <w:family w:val="auto"/>
    <w:notTrueType/>
    <w:pitch w:val="default"/>
    <w:sig w:usb0="00000003" w:usb1="00000000" w:usb2="00000000" w:usb3="00000000" w:csb0="00000001" w:csb1="00000000"/>
  </w:font>
  <w:font w:name="HelveticaNeue-HeavyCond">
    <w:panose1 w:val="00000000000000000000"/>
    <w:charset w:val="4D"/>
    <w:family w:val="auto"/>
    <w:notTrueType/>
    <w:pitch w:val="default"/>
    <w:sig w:usb0="00000003" w:usb1="00000000" w:usb2="00000000" w:usb3="00000000" w:csb0="00000001" w:csb1="00000000"/>
  </w:font>
  <w:font w:name="Helvetica 55 Roman">
    <w:panose1 w:val="00000000000000000000"/>
    <w:charset w:val="00"/>
    <w:family w:val="swiss"/>
    <w:notTrueType/>
    <w:pitch w:val="variable"/>
    <w:sig w:usb0="00000003" w:usb1="00000000" w:usb2="00000000" w:usb3="00000000" w:csb0="00000001" w:csb1="00000000"/>
  </w:font>
  <w:font w:name="HelveticaNeueLT Pro 67 MdCn">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26" w:rsidRDefault="00132A26" w:rsidP="00132A26">
    <w:pPr>
      <w:pStyle w:val="Footer"/>
      <w:jc w:val="right"/>
    </w:pPr>
    <w:r>
      <w:t>UPCHEMI: TORC, IGM (04.047)</w:t>
    </w:r>
  </w:p>
  <w:p w:rsidR="00132A26" w:rsidRDefault="00132A26" w:rsidP="00132A26">
    <w:pPr>
      <w:pStyle w:val="Footer"/>
      <w:jc w:val="center"/>
    </w:pPr>
    <w:r w:rsidRPr="00EF1FEA">
      <w:rPr>
        <w:snapToGrid w:val="0"/>
        <w:sz w:val="18"/>
        <w:szCs w:val="18"/>
      </w:rPr>
      <w:t xml:space="preserve">Page </w:t>
    </w:r>
    <w:r w:rsidRPr="00EF1FEA">
      <w:rPr>
        <w:snapToGrid w:val="0"/>
        <w:sz w:val="18"/>
        <w:szCs w:val="18"/>
      </w:rPr>
      <w:fldChar w:fldCharType="begin"/>
    </w:r>
    <w:r w:rsidRPr="00EF1FEA">
      <w:rPr>
        <w:snapToGrid w:val="0"/>
        <w:sz w:val="18"/>
        <w:szCs w:val="18"/>
      </w:rPr>
      <w:instrText xml:space="preserve"> PAGE </w:instrText>
    </w:r>
    <w:r w:rsidRPr="00EF1FEA">
      <w:rPr>
        <w:snapToGrid w:val="0"/>
        <w:sz w:val="18"/>
        <w:szCs w:val="18"/>
      </w:rPr>
      <w:fldChar w:fldCharType="separate"/>
    </w:r>
    <w:r w:rsidR="00C46B9B">
      <w:rPr>
        <w:noProof/>
        <w:snapToGrid w:val="0"/>
        <w:sz w:val="18"/>
        <w:szCs w:val="18"/>
      </w:rPr>
      <w:t>1</w:t>
    </w:r>
    <w:r w:rsidRPr="00EF1FEA">
      <w:rPr>
        <w:snapToGrid w:val="0"/>
        <w:sz w:val="18"/>
        <w:szCs w:val="18"/>
      </w:rPr>
      <w:fldChar w:fldCharType="end"/>
    </w:r>
    <w:r w:rsidRPr="00EF1FEA">
      <w:rPr>
        <w:snapToGrid w:val="0"/>
        <w:sz w:val="18"/>
        <w:szCs w:val="18"/>
      </w:rPr>
      <w:t xml:space="preserve"> of </w:t>
    </w:r>
    <w:r w:rsidRPr="00EF1FEA">
      <w:rPr>
        <w:snapToGrid w:val="0"/>
        <w:sz w:val="18"/>
        <w:szCs w:val="18"/>
      </w:rPr>
      <w:fldChar w:fldCharType="begin"/>
    </w:r>
    <w:r w:rsidRPr="00EF1FEA">
      <w:rPr>
        <w:snapToGrid w:val="0"/>
        <w:sz w:val="18"/>
        <w:szCs w:val="18"/>
      </w:rPr>
      <w:instrText xml:space="preserve"> NUMPAGES </w:instrText>
    </w:r>
    <w:r w:rsidRPr="00EF1FEA">
      <w:rPr>
        <w:snapToGrid w:val="0"/>
        <w:sz w:val="18"/>
        <w:szCs w:val="18"/>
      </w:rPr>
      <w:fldChar w:fldCharType="separate"/>
    </w:r>
    <w:r w:rsidR="00C46B9B">
      <w:rPr>
        <w:noProof/>
        <w:snapToGrid w:val="0"/>
        <w:sz w:val="18"/>
        <w:szCs w:val="18"/>
      </w:rPr>
      <w:t>29</w:t>
    </w:r>
    <w:r w:rsidRPr="00EF1FEA">
      <w:rPr>
        <w:snapToGrid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A26" w:rsidRDefault="00132A26" w:rsidP="00132A26">
      <w:r>
        <w:separator/>
      </w:r>
    </w:p>
  </w:footnote>
  <w:footnote w:type="continuationSeparator" w:id="0">
    <w:p w:rsidR="00132A26" w:rsidRDefault="00132A26" w:rsidP="00132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396"/>
    <w:multiLevelType w:val="hybridMultilevel"/>
    <w:tmpl w:val="4BA454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19378C"/>
    <w:multiLevelType w:val="hybridMultilevel"/>
    <w:tmpl w:val="4778307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12749"/>
    <w:multiLevelType w:val="hybridMultilevel"/>
    <w:tmpl w:val="A0AEAAF2"/>
    <w:lvl w:ilvl="0" w:tplc="04090013">
      <w:start w:val="1"/>
      <w:numFmt w:val="upperRoman"/>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C7004C"/>
    <w:multiLevelType w:val="hybridMultilevel"/>
    <w:tmpl w:val="3954A7AC"/>
    <w:lvl w:ilvl="0" w:tplc="0409001B">
      <w:start w:val="1"/>
      <w:numFmt w:val="lowerRoman"/>
      <w:lvlText w:val="%1."/>
      <w:lvlJc w:val="righ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1A8A59D1"/>
    <w:multiLevelType w:val="hybridMultilevel"/>
    <w:tmpl w:val="4BA454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DF02741"/>
    <w:multiLevelType w:val="hybridMultilevel"/>
    <w:tmpl w:val="90B87B9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FD667DC"/>
    <w:multiLevelType w:val="hybridMultilevel"/>
    <w:tmpl w:val="9EE41A42"/>
    <w:lvl w:ilvl="0" w:tplc="9BDE067A">
      <w:start w:val="1"/>
      <w:numFmt w:val="upperLetter"/>
      <w:lvlText w:val="%1."/>
      <w:lvlJc w:val="left"/>
      <w:pPr>
        <w:ind w:left="108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E42885"/>
    <w:multiLevelType w:val="hybridMultilevel"/>
    <w:tmpl w:val="8D4E60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9040A55"/>
    <w:multiLevelType w:val="hybridMultilevel"/>
    <w:tmpl w:val="D56667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E7B3CE0"/>
    <w:multiLevelType w:val="hybridMultilevel"/>
    <w:tmpl w:val="9CCCC13E"/>
    <w:lvl w:ilvl="0" w:tplc="1CFE99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0320555"/>
    <w:multiLevelType w:val="hybridMultilevel"/>
    <w:tmpl w:val="91586C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4D26BB8"/>
    <w:multiLevelType w:val="hybridMultilevel"/>
    <w:tmpl w:val="36523C9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8AD2FD3"/>
    <w:multiLevelType w:val="hybridMultilevel"/>
    <w:tmpl w:val="C6C86E4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FC7248"/>
    <w:multiLevelType w:val="hybridMultilevel"/>
    <w:tmpl w:val="8D4E60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CD80D4A"/>
    <w:multiLevelType w:val="hybridMultilevel"/>
    <w:tmpl w:val="4DB8DF5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2F7C0C"/>
    <w:multiLevelType w:val="hybridMultilevel"/>
    <w:tmpl w:val="6B5C324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0A569FF"/>
    <w:multiLevelType w:val="hybridMultilevel"/>
    <w:tmpl w:val="B7246AD2"/>
    <w:lvl w:ilvl="0" w:tplc="04090019">
      <w:start w:val="1"/>
      <w:numFmt w:val="lowerLetter"/>
      <w:lvlText w:val="%1."/>
      <w:lvlJc w:val="left"/>
      <w:pPr>
        <w:ind w:left="2220" w:hanging="360"/>
      </w:pPr>
      <w:rPr>
        <w:rFont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7">
    <w:nsid w:val="71C5513D"/>
    <w:multiLevelType w:val="hybridMultilevel"/>
    <w:tmpl w:val="4D308CB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9032AFA"/>
    <w:multiLevelType w:val="hybridMultilevel"/>
    <w:tmpl w:val="C9820FF8"/>
    <w:lvl w:ilvl="0" w:tplc="04090019">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nsid w:val="7B530322"/>
    <w:multiLevelType w:val="hybridMultilevel"/>
    <w:tmpl w:val="9F6C8EC2"/>
    <w:lvl w:ilvl="0" w:tplc="CFCC5884">
      <w:start w:val="1"/>
      <w:numFmt w:val="decimal"/>
      <w:lvlText w:val="%1."/>
      <w:lvlJc w:val="left"/>
      <w:pPr>
        <w:ind w:left="144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4"/>
  </w:num>
  <w:num w:numId="4">
    <w:abstractNumId w:val="11"/>
  </w:num>
  <w:num w:numId="5">
    <w:abstractNumId w:val="15"/>
  </w:num>
  <w:num w:numId="6">
    <w:abstractNumId w:val="5"/>
  </w:num>
  <w:num w:numId="7">
    <w:abstractNumId w:val="8"/>
  </w:num>
  <w:num w:numId="8">
    <w:abstractNumId w:val="9"/>
  </w:num>
  <w:num w:numId="9">
    <w:abstractNumId w:val="16"/>
  </w:num>
  <w:num w:numId="10">
    <w:abstractNumId w:val="3"/>
  </w:num>
  <w:num w:numId="11">
    <w:abstractNumId w:val="18"/>
  </w:num>
  <w:num w:numId="12">
    <w:abstractNumId w:val="17"/>
  </w:num>
  <w:num w:numId="13">
    <w:abstractNumId w:val="19"/>
  </w:num>
  <w:num w:numId="14">
    <w:abstractNumId w:val="1"/>
  </w:num>
  <w:num w:numId="15">
    <w:abstractNumId w:val="10"/>
  </w:num>
  <w:num w:numId="16">
    <w:abstractNumId w:val="7"/>
  </w:num>
  <w:num w:numId="17">
    <w:abstractNumId w:val="13"/>
  </w:num>
  <w:num w:numId="18">
    <w:abstractNumId w:val="6"/>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72"/>
    <w:rsid w:val="00060C84"/>
    <w:rsid w:val="00063948"/>
    <w:rsid w:val="00132A26"/>
    <w:rsid w:val="001336E8"/>
    <w:rsid w:val="00163437"/>
    <w:rsid w:val="00207239"/>
    <w:rsid w:val="00241388"/>
    <w:rsid w:val="002439B1"/>
    <w:rsid w:val="002626CD"/>
    <w:rsid w:val="0028626F"/>
    <w:rsid w:val="00324E74"/>
    <w:rsid w:val="00331BEC"/>
    <w:rsid w:val="003469C4"/>
    <w:rsid w:val="00357C2B"/>
    <w:rsid w:val="003E7AF9"/>
    <w:rsid w:val="00440B55"/>
    <w:rsid w:val="004C04D4"/>
    <w:rsid w:val="0056032B"/>
    <w:rsid w:val="005A2A72"/>
    <w:rsid w:val="005E6708"/>
    <w:rsid w:val="005F7B02"/>
    <w:rsid w:val="00601507"/>
    <w:rsid w:val="00632369"/>
    <w:rsid w:val="00653DB7"/>
    <w:rsid w:val="006972DA"/>
    <w:rsid w:val="006A5E1F"/>
    <w:rsid w:val="006C0053"/>
    <w:rsid w:val="0087172B"/>
    <w:rsid w:val="00885A20"/>
    <w:rsid w:val="008B0E15"/>
    <w:rsid w:val="008C7114"/>
    <w:rsid w:val="008F4BA6"/>
    <w:rsid w:val="0096153D"/>
    <w:rsid w:val="00991136"/>
    <w:rsid w:val="009E6508"/>
    <w:rsid w:val="00B33E31"/>
    <w:rsid w:val="00B60994"/>
    <w:rsid w:val="00BF7436"/>
    <w:rsid w:val="00C46B9B"/>
    <w:rsid w:val="00C519EE"/>
    <w:rsid w:val="00DB3C28"/>
    <w:rsid w:val="00DD48B3"/>
    <w:rsid w:val="00DD6FF1"/>
    <w:rsid w:val="00E37325"/>
    <w:rsid w:val="00F61EA8"/>
    <w:rsid w:val="00FE3CAB"/>
    <w:rsid w:val="00FE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A72"/>
    <w:pPr>
      <w:widowControl w:val="0"/>
      <w:spacing w:after="0" w:line="240" w:lineRule="auto"/>
    </w:pPr>
    <w:rPr>
      <w:rFonts w:ascii="Univers" w:eastAsia="Times New Roman" w:hAnsi="Univers" w:cs="Times New Roman"/>
      <w:snapToGrid w:val="0"/>
      <w:sz w:val="24"/>
      <w:szCs w:val="20"/>
    </w:rPr>
  </w:style>
  <w:style w:type="paragraph" w:styleId="Heading1">
    <w:name w:val="heading 1"/>
    <w:basedOn w:val="Normal"/>
    <w:next w:val="Normal"/>
    <w:link w:val="Heading1Char"/>
    <w:uiPriority w:val="9"/>
    <w:qFormat/>
    <w:rsid w:val="006C00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207239"/>
    <w:pPr>
      <w:keepNext/>
      <w:widowControl/>
      <w:spacing w:before="120" w:after="60"/>
      <w:jc w:val="both"/>
      <w:outlineLvl w:val="1"/>
    </w:pPr>
    <w:rPr>
      <w:rFonts w:ascii="Arial" w:hAnsi="Arial" w:cs="Arial"/>
      <w:b/>
      <w:bCs/>
      <w:iCs/>
      <w:snapToGrid/>
      <w:szCs w:val="28"/>
    </w:rPr>
  </w:style>
  <w:style w:type="paragraph" w:styleId="Heading4">
    <w:name w:val="heading 4"/>
    <w:basedOn w:val="Normal"/>
    <w:next w:val="Normal"/>
    <w:link w:val="Heading4Char"/>
    <w:semiHidden/>
    <w:unhideWhenUsed/>
    <w:qFormat/>
    <w:rsid w:val="00FE7E58"/>
    <w:pPr>
      <w:keepNext/>
      <w:widowControl/>
      <w:spacing w:before="240" w:after="60"/>
      <w:outlineLvl w:val="3"/>
    </w:pPr>
    <w:rPr>
      <w:rFonts w:ascii="Calibri" w:hAnsi="Calibri"/>
      <w:b/>
      <w:bCs/>
      <w:snapToGrid/>
      <w:sz w:val="28"/>
      <w:szCs w:val="28"/>
    </w:rPr>
  </w:style>
  <w:style w:type="paragraph" w:styleId="Heading7">
    <w:name w:val="heading 7"/>
    <w:basedOn w:val="Normal"/>
    <w:next w:val="Normal"/>
    <w:link w:val="Heading7Char"/>
    <w:uiPriority w:val="9"/>
    <w:semiHidden/>
    <w:unhideWhenUsed/>
    <w:qFormat/>
    <w:rsid w:val="00FE7E5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2A72"/>
    <w:pPr>
      <w:tabs>
        <w:tab w:val="center" w:pos="4320"/>
        <w:tab w:val="right" w:pos="8640"/>
      </w:tabs>
    </w:pPr>
  </w:style>
  <w:style w:type="character" w:customStyle="1" w:styleId="HeaderChar">
    <w:name w:val="Header Char"/>
    <w:basedOn w:val="DefaultParagraphFont"/>
    <w:link w:val="Header"/>
    <w:rsid w:val="005A2A72"/>
    <w:rPr>
      <w:rFonts w:ascii="Univers" w:eastAsia="Times New Roman" w:hAnsi="Univers" w:cs="Times New Roman"/>
      <w:snapToGrid w:val="0"/>
      <w:sz w:val="24"/>
      <w:szCs w:val="20"/>
    </w:rPr>
  </w:style>
  <w:style w:type="paragraph" w:customStyle="1" w:styleId="CLSI-text">
    <w:name w:val="CLSI-text"/>
    <w:basedOn w:val="Normal"/>
    <w:link w:val="CLSI-textChar"/>
    <w:rsid w:val="005A2A72"/>
    <w:pPr>
      <w:autoSpaceDE w:val="0"/>
      <w:autoSpaceDN w:val="0"/>
      <w:adjustRightInd w:val="0"/>
      <w:spacing w:after="144" w:line="220" w:lineRule="atLeast"/>
      <w:textAlignment w:val="baseline"/>
    </w:pPr>
    <w:rPr>
      <w:rFonts w:ascii="Arial" w:hAnsi="Arial" w:cs="Arial"/>
      <w:snapToGrid/>
      <w:spacing w:val="-2"/>
      <w:sz w:val="20"/>
    </w:rPr>
  </w:style>
  <w:style w:type="character" w:customStyle="1" w:styleId="CLSI-textChar">
    <w:name w:val="CLSI-text Char"/>
    <w:link w:val="CLSI-text"/>
    <w:rsid w:val="005A2A72"/>
    <w:rPr>
      <w:rFonts w:ascii="Arial" w:eastAsia="Times New Roman" w:hAnsi="Arial" w:cs="Arial"/>
      <w:spacing w:val="-2"/>
      <w:sz w:val="20"/>
      <w:szCs w:val="20"/>
    </w:rPr>
  </w:style>
  <w:style w:type="paragraph" w:styleId="ListParagraph">
    <w:name w:val="List Paragraph"/>
    <w:basedOn w:val="Normal"/>
    <w:uiPriority w:val="34"/>
    <w:qFormat/>
    <w:rsid w:val="006A5E1F"/>
    <w:pPr>
      <w:ind w:left="720"/>
      <w:contextualSpacing/>
    </w:pPr>
  </w:style>
  <w:style w:type="paragraph" w:customStyle="1" w:styleId="CLSI-SUBSUBHead">
    <w:name w:val="CLSI-SUB SUB Head"/>
    <w:basedOn w:val="Normal"/>
    <w:rsid w:val="006A5E1F"/>
    <w:pPr>
      <w:widowControl/>
    </w:pPr>
    <w:rPr>
      <w:rFonts w:ascii="Arial" w:hAnsi="Times New Roman"/>
      <w:b/>
      <w:snapToGrid/>
      <w:szCs w:val="24"/>
    </w:rPr>
  </w:style>
  <w:style w:type="character" w:customStyle="1" w:styleId="A8">
    <w:name w:val="A8"/>
    <w:rsid w:val="006A5E1F"/>
    <w:rPr>
      <w:rFonts w:cs="HelveticaNeueLT Pro 57 Cn"/>
      <w:color w:val="000000"/>
      <w:sz w:val="14"/>
      <w:szCs w:val="14"/>
    </w:rPr>
  </w:style>
  <w:style w:type="paragraph" w:customStyle="1" w:styleId="CLSI-MainHeaders">
    <w:name w:val="CLSI-Main Headers"/>
    <w:basedOn w:val="Normal"/>
    <w:link w:val="CLSI-MainHeadersChar"/>
    <w:rsid w:val="0087172B"/>
    <w:pPr>
      <w:keepNext/>
      <w:widowControl/>
      <w:spacing w:before="120"/>
      <w:ind w:left="-720"/>
    </w:pPr>
    <w:rPr>
      <w:rFonts w:ascii="Arial" w:hAnsi="Arial" w:cs="Arial"/>
      <w:b/>
      <w:snapToGrid/>
      <w:sz w:val="32"/>
    </w:rPr>
  </w:style>
  <w:style w:type="paragraph" w:customStyle="1" w:styleId="CLSINumbered">
    <w:name w:val="CLSI Numbered"/>
    <w:basedOn w:val="Normal"/>
    <w:link w:val="CLSINumberedCharChar"/>
    <w:rsid w:val="0087172B"/>
    <w:pPr>
      <w:widowControl/>
      <w:tabs>
        <w:tab w:val="left" w:pos="360"/>
      </w:tabs>
      <w:overflowPunct w:val="0"/>
      <w:autoSpaceDE w:val="0"/>
      <w:autoSpaceDN w:val="0"/>
      <w:adjustRightInd w:val="0"/>
      <w:spacing w:before="20"/>
      <w:ind w:left="360" w:hanging="360"/>
      <w:jc w:val="both"/>
      <w:textAlignment w:val="baseline"/>
    </w:pPr>
    <w:rPr>
      <w:rFonts w:ascii="Arial" w:hAnsi="Arial" w:cs="Arial"/>
      <w:noProof/>
      <w:snapToGrid/>
      <w:sz w:val="20"/>
    </w:rPr>
  </w:style>
  <w:style w:type="character" w:customStyle="1" w:styleId="CLSINumberedCharChar">
    <w:name w:val="CLSI Numbered Char Char"/>
    <w:link w:val="CLSINumbered"/>
    <w:rsid w:val="0087172B"/>
    <w:rPr>
      <w:rFonts w:ascii="Arial" w:eastAsia="Times New Roman" w:hAnsi="Arial" w:cs="Arial"/>
      <w:noProof/>
      <w:sz w:val="20"/>
      <w:szCs w:val="20"/>
    </w:rPr>
  </w:style>
  <w:style w:type="character" w:customStyle="1" w:styleId="CLSI-MainHeadersChar">
    <w:name w:val="CLSI-Main Headers Char"/>
    <w:link w:val="CLSI-MainHeaders"/>
    <w:rsid w:val="0087172B"/>
    <w:rPr>
      <w:rFonts w:ascii="Arial" w:eastAsia="Times New Roman" w:hAnsi="Arial" w:cs="Arial"/>
      <w:b/>
      <w:sz w:val="32"/>
      <w:szCs w:val="20"/>
    </w:rPr>
  </w:style>
  <w:style w:type="paragraph" w:customStyle="1" w:styleId="Text">
    <w:name w:val="Text"/>
    <w:basedOn w:val="Normal"/>
    <w:rsid w:val="00991136"/>
    <w:pPr>
      <w:autoSpaceDE w:val="0"/>
      <w:autoSpaceDN w:val="0"/>
      <w:adjustRightInd w:val="0"/>
      <w:spacing w:line="220" w:lineRule="atLeast"/>
      <w:textAlignment w:val="baseline"/>
    </w:pPr>
    <w:rPr>
      <w:rFonts w:ascii="HelveticaNeue-Condensed" w:hAnsi="HelveticaNeue-Condensed" w:cs="HelveticaNeue-Condensed"/>
      <w:snapToGrid/>
      <w:color w:val="000000"/>
      <w:spacing w:val="-2"/>
      <w:sz w:val="20"/>
    </w:rPr>
  </w:style>
  <w:style w:type="character" w:customStyle="1" w:styleId="Bold">
    <w:name w:val="Bold"/>
    <w:rsid w:val="00991136"/>
    <w:rPr>
      <w:rFonts w:ascii="HelveticaNeue-BoldCond" w:hAnsi="HelveticaNeue-BoldCond" w:cs="HelveticaNeue-BoldCond"/>
      <w:b/>
      <w:bCs/>
    </w:rPr>
  </w:style>
  <w:style w:type="paragraph" w:customStyle="1" w:styleId="Textnospaceunder">
    <w:name w:val="Text no space under"/>
    <w:basedOn w:val="Text"/>
    <w:rsid w:val="00991136"/>
    <w:pPr>
      <w:spacing w:line="288" w:lineRule="auto"/>
    </w:pPr>
  </w:style>
  <w:style w:type="paragraph" w:customStyle="1" w:styleId="TextwithPPSpace">
    <w:name w:val="Text with PP Space"/>
    <w:basedOn w:val="Normal"/>
    <w:link w:val="TextwithPPSpaceChar"/>
    <w:rsid w:val="00DD6FF1"/>
    <w:pPr>
      <w:autoSpaceDE w:val="0"/>
      <w:autoSpaceDN w:val="0"/>
      <w:adjustRightInd w:val="0"/>
      <w:spacing w:after="144" w:line="220" w:lineRule="atLeast"/>
      <w:textAlignment w:val="baseline"/>
    </w:pPr>
    <w:rPr>
      <w:rFonts w:ascii="HelveticaNeue-Condensed" w:hAnsi="HelveticaNeue-Condensed" w:cs="HelveticaNeue-Condensed"/>
      <w:snapToGrid/>
      <w:color w:val="000000"/>
      <w:spacing w:val="-2"/>
      <w:sz w:val="20"/>
    </w:rPr>
  </w:style>
  <w:style w:type="paragraph" w:customStyle="1" w:styleId="NumberedQC">
    <w:name w:val="Numbered QC"/>
    <w:basedOn w:val="Normal"/>
    <w:rsid w:val="00DD6FF1"/>
    <w:pPr>
      <w:tabs>
        <w:tab w:val="left" w:pos="1080"/>
      </w:tabs>
      <w:autoSpaceDE w:val="0"/>
      <w:autoSpaceDN w:val="0"/>
      <w:adjustRightInd w:val="0"/>
      <w:spacing w:line="288" w:lineRule="auto"/>
      <w:ind w:left="360" w:hanging="360"/>
      <w:textAlignment w:val="baseline"/>
    </w:pPr>
    <w:rPr>
      <w:rFonts w:ascii="HelveticaNeue-Condensed" w:hAnsi="HelveticaNeue-Condensed" w:cs="HelveticaNeue-Condensed"/>
      <w:snapToGrid/>
      <w:color w:val="000000"/>
      <w:sz w:val="20"/>
    </w:rPr>
  </w:style>
  <w:style w:type="character" w:customStyle="1" w:styleId="TextwithPPSpaceChar">
    <w:name w:val="Text with PP Space Char"/>
    <w:link w:val="TextwithPPSpace"/>
    <w:rsid w:val="00DD6FF1"/>
    <w:rPr>
      <w:rFonts w:ascii="HelveticaNeue-Condensed" w:eastAsia="Times New Roman" w:hAnsi="HelveticaNeue-Condensed" w:cs="HelveticaNeue-Condensed"/>
      <w:color w:val="000000"/>
      <w:spacing w:val="-2"/>
      <w:sz w:val="20"/>
      <w:szCs w:val="20"/>
    </w:rPr>
  </w:style>
  <w:style w:type="character" w:customStyle="1" w:styleId="A13">
    <w:name w:val="A13"/>
    <w:rsid w:val="00DD6FF1"/>
    <w:rPr>
      <w:rFonts w:cs="HelveticaNeueLT Pro 57 Cn"/>
      <w:b/>
      <w:bCs/>
      <w:color w:val="000000"/>
      <w:sz w:val="20"/>
      <w:szCs w:val="20"/>
      <w:u w:val="single"/>
    </w:rPr>
  </w:style>
  <w:style w:type="paragraph" w:customStyle="1" w:styleId="SectionSubheaderinTOC">
    <w:name w:val="Section Subheader in TOC"/>
    <w:basedOn w:val="Normal"/>
    <w:rsid w:val="00DD6FF1"/>
    <w:pPr>
      <w:tabs>
        <w:tab w:val="left" w:pos="540"/>
      </w:tabs>
      <w:autoSpaceDE w:val="0"/>
      <w:autoSpaceDN w:val="0"/>
      <w:adjustRightInd w:val="0"/>
      <w:spacing w:before="72" w:after="36" w:line="220" w:lineRule="atLeast"/>
      <w:textAlignment w:val="baseline"/>
    </w:pPr>
    <w:rPr>
      <w:rFonts w:ascii="HelveticaNeue-HeavyCond" w:hAnsi="HelveticaNeue-HeavyCond" w:cs="HelveticaNeue-HeavyCond"/>
      <w:snapToGrid/>
      <w:color w:val="000000"/>
      <w:sz w:val="22"/>
      <w:szCs w:val="22"/>
    </w:rPr>
  </w:style>
  <w:style w:type="paragraph" w:customStyle="1" w:styleId="CLSIText">
    <w:name w:val="CLSI Text"/>
    <w:basedOn w:val="Normal"/>
    <w:rsid w:val="00DD6FF1"/>
    <w:pPr>
      <w:autoSpaceDE w:val="0"/>
      <w:autoSpaceDN w:val="0"/>
      <w:adjustRightInd w:val="0"/>
      <w:jc w:val="both"/>
      <w:textAlignment w:val="baseline"/>
    </w:pPr>
    <w:rPr>
      <w:rFonts w:ascii="Arial" w:hAnsi="Arial" w:cs="Arial"/>
      <w:snapToGrid/>
      <w:color w:val="000000"/>
      <w:spacing w:val="-2"/>
      <w:sz w:val="20"/>
    </w:rPr>
  </w:style>
  <w:style w:type="paragraph" w:customStyle="1" w:styleId="BulletTextIndent">
    <w:name w:val="Bullet Text Indent"/>
    <w:basedOn w:val="Normal"/>
    <w:link w:val="BulletTextIndentChar"/>
    <w:rsid w:val="00163437"/>
    <w:pPr>
      <w:tabs>
        <w:tab w:val="left" w:pos="612"/>
      </w:tabs>
      <w:autoSpaceDE w:val="0"/>
      <w:autoSpaceDN w:val="0"/>
      <w:adjustRightInd w:val="0"/>
      <w:spacing w:line="220" w:lineRule="atLeast"/>
      <w:ind w:left="612" w:hanging="252"/>
      <w:textAlignment w:val="baseline"/>
    </w:pPr>
    <w:rPr>
      <w:rFonts w:ascii="HelveticaNeue-Condensed" w:hAnsi="HelveticaNeue-Condensed" w:cs="HelveticaNeue-Condensed"/>
      <w:snapToGrid/>
      <w:color w:val="000000"/>
      <w:sz w:val="20"/>
    </w:rPr>
  </w:style>
  <w:style w:type="character" w:customStyle="1" w:styleId="BulletTextIndentChar">
    <w:name w:val="Bullet Text Indent Char"/>
    <w:link w:val="BulletTextIndent"/>
    <w:rsid w:val="00163437"/>
    <w:rPr>
      <w:rFonts w:ascii="HelveticaNeue-Condensed" w:eastAsia="Times New Roman" w:hAnsi="HelveticaNeue-Condensed" w:cs="HelveticaNeue-Condensed"/>
      <w:color w:val="000000"/>
      <w:sz w:val="20"/>
      <w:szCs w:val="20"/>
    </w:rPr>
  </w:style>
  <w:style w:type="paragraph" w:customStyle="1" w:styleId="Numbered">
    <w:name w:val="Numbered"/>
    <w:basedOn w:val="Normal"/>
    <w:link w:val="NumberedChar"/>
    <w:rsid w:val="00241388"/>
    <w:pPr>
      <w:widowControl/>
      <w:tabs>
        <w:tab w:val="left" w:pos="360"/>
      </w:tabs>
      <w:overflowPunct w:val="0"/>
      <w:autoSpaceDE w:val="0"/>
      <w:autoSpaceDN w:val="0"/>
      <w:adjustRightInd w:val="0"/>
      <w:spacing w:before="20"/>
      <w:ind w:left="360" w:hanging="360"/>
      <w:jc w:val="both"/>
      <w:textAlignment w:val="baseline"/>
    </w:pPr>
    <w:rPr>
      <w:rFonts w:ascii="Helvetica 55 Roman" w:hAnsi="Helvetica 55 Roman"/>
      <w:noProof/>
      <w:snapToGrid/>
      <w:color w:val="000000"/>
      <w:sz w:val="16"/>
    </w:rPr>
  </w:style>
  <w:style w:type="character" w:customStyle="1" w:styleId="NumberedChar">
    <w:name w:val="Numbered Char"/>
    <w:link w:val="Numbered"/>
    <w:rsid w:val="00241388"/>
    <w:rPr>
      <w:rFonts w:ascii="Helvetica 55 Roman" w:eastAsia="Times New Roman" w:hAnsi="Helvetica 55 Roman" w:cs="Times New Roman"/>
      <w:noProof/>
      <w:color w:val="000000"/>
      <w:sz w:val="16"/>
      <w:szCs w:val="20"/>
    </w:rPr>
  </w:style>
  <w:style w:type="character" w:styleId="Hyperlink">
    <w:name w:val="Hyperlink"/>
    <w:basedOn w:val="DefaultParagraphFont"/>
    <w:uiPriority w:val="99"/>
    <w:unhideWhenUsed/>
    <w:rsid w:val="00241388"/>
    <w:rPr>
      <w:color w:val="0563C1" w:themeColor="hyperlink"/>
      <w:u w:val="single"/>
    </w:rPr>
  </w:style>
  <w:style w:type="character" w:customStyle="1" w:styleId="Heading2Char">
    <w:name w:val="Heading 2 Char"/>
    <w:basedOn w:val="DefaultParagraphFont"/>
    <w:link w:val="Heading2"/>
    <w:semiHidden/>
    <w:rsid w:val="00207239"/>
    <w:rPr>
      <w:rFonts w:ascii="Arial" w:eastAsia="Times New Roman" w:hAnsi="Arial" w:cs="Arial"/>
      <w:b/>
      <w:bCs/>
      <w:iCs/>
      <w:sz w:val="24"/>
      <w:szCs w:val="28"/>
    </w:rPr>
  </w:style>
  <w:style w:type="table" w:styleId="TableGrid">
    <w:name w:val="Table Grid"/>
    <w:basedOn w:val="TableNormal"/>
    <w:uiPriority w:val="39"/>
    <w:rsid w:val="00207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6C0053"/>
    <w:pPr>
      <w:widowControl/>
      <w:spacing w:after="120"/>
    </w:pPr>
    <w:rPr>
      <w:rFonts w:ascii="Arial" w:hAnsi="Arial"/>
      <w:snapToGrid/>
      <w:sz w:val="20"/>
      <w:szCs w:val="24"/>
    </w:rPr>
  </w:style>
  <w:style w:type="character" w:customStyle="1" w:styleId="BodyTextChar">
    <w:name w:val="Body Text Char"/>
    <w:basedOn w:val="DefaultParagraphFont"/>
    <w:link w:val="BodyText"/>
    <w:semiHidden/>
    <w:rsid w:val="006C0053"/>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6C0053"/>
    <w:rPr>
      <w:rFonts w:asciiTheme="majorHAnsi" w:eastAsiaTheme="majorEastAsia" w:hAnsiTheme="majorHAnsi" w:cstheme="majorBidi"/>
      <w:b/>
      <w:bCs/>
      <w:snapToGrid w:val="0"/>
      <w:color w:val="2E74B5" w:themeColor="accent1" w:themeShade="BF"/>
      <w:sz w:val="28"/>
      <w:szCs w:val="28"/>
    </w:rPr>
  </w:style>
  <w:style w:type="paragraph" w:styleId="Footer">
    <w:name w:val="footer"/>
    <w:basedOn w:val="Normal"/>
    <w:link w:val="FooterChar"/>
    <w:rsid w:val="00132A26"/>
    <w:pPr>
      <w:widowControl/>
      <w:tabs>
        <w:tab w:val="center" w:pos="4320"/>
        <w:tab w:val="right" w:pos="8640"/>
      </w:tabs>
    </w:pPr>
    <w:rPr>
      <w:rFonts w:ascii="Times New Roman" w:hAnsi="Times New Roman"/>
      <w:snapToGrid/>
      <w:sz w:val="20"/>
    </w:rPr>
  </w:style>
  <w:style w:type="character" w:customStyle="1" w:styleId="FooterChar">
    <w:name w:val="Footer Char"/>
    <w:basedOn w:val="DefaultParagraphFont"/>
    <w:link w:val="Footer"/>
    <w:rsid w:val="00132A26"/>
    <w:rPr>
      <w:rFonts w:ascii="Times New Roman" w:eastAsia="Times New Roman" w:hAnsi="Times New Roman" w:cs="Times New Roman"/>
      <w:sz w:val="20"/>
      <w:szCs w:val="20"/>
    </w:rPr>
  </w:style>
  <w:style w:type="character" w:styleId="PageNumber">
    <w:name w:val="page number"/>
    <w:rsid w:val="00132A26"/>
  </w:style>
  <w:style w:type="character" w:customStyle="1" w:styleId="Heading7Char">
    <w:name w:val="Heading 7 Char"/>
    <w:basedOn w:val="DefaultParagraphFont"/>
    <w:link w:val="Heading7"/>
    <w:uiPriority w:val="9"/>
    <w:semiHidden/>
    <w:rsid w:val="00FE7E58"/>
    <w:rPr>
      <w:rFonts w:asciiTheme="majorHAnsi" w:eastAsiaTheme="majorEastAsia" w:hAnsiTheme="majorHAnsi" w:cstheme="majorBidi"/>
      <w:i/>
      <w:iCs/>
      <w:snapToGrid w:val="0"/>
      <w:color w:val="404040" w:themeColor="text1" w:themeTint="BF"/>
      <w:sz w:val="24"/>
      <w:szCs w:val="20"/>
    </w:rPr>
  </w:style>
  <w:style w:type="character" w:customStyle="1" w:styleId="Heading4Char">
    <w:name w:val="Heading 4 Char"/>
    <w:basedOn w:val="DefaultParagraphFont"/>
    <w:link w:val="Heading4"/>
    <w:semiHidden/>
    <w:rsid w:val="00FE7E58"/>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A72"/>
    <w:pPr>
      <w:widowControl w:val="0"/>
      <w:spacing w:after="0" w:line="240" w:lineRule="auto"/>
    </w:pPr>
    <w:rPr>
      <w:rFonts w:ascii="Univers" w:eastAsia="Times New Roman" w:hAnsi="Univers" w:cs="Times New Roman"/>
      <w:snapToGrid w:val="0"/>
      <w:sz w:val="24"/>
      <w:szCs w:val="20"/>
    </w:rPr>
  </w:style>
  <w:style w:type="paragraph" w:styleId="Heading1">
    <w:name w:val="heading 1"/>
    <w:basedOn w:val="Normal"/>
    <w:next w:val="Normal"/>
    <w:link w:val="Heading1Char"/>
    <w:uiPriority w:val="9"/>
    <w:qFormat/>
    <w:rsid w:val="006C00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207239"/>
    <w:pPr>
      <w:keepNext/>
      <w:widowControl/>
      <w:spacing w:before="120" w:after="60"/>
      <w:jc w:val="both"/>
      <w:outlineLvl w:val="1"/>
    </w:pPr>
    <w:rPr>
      <w:rFonts w:ascii="Arial" w:hAnsi="Arial" w:cs="Arial"/>
      <w:b/>
      <w:bCs/>
      <w:iCs/>
      <w:snapToGrid/>
      <w:szCs w:val="28"/>
    </w:rPr>
  </w:style>
  <w:style w:type="paragraph" w:styleId="Heading4">
    <w:name w:val="heading 4"/>
    <w:basedOn w:val="Normal"/>
    <w:next w:val="Normal"/>
    <w:link w:val="Heading4Char"/>
    <w:semiHidden/>
    <w:unhideWhenUsed/>
    <w:qFormat/>
    <w:rsid w:val="00FE7E58"/>
    <w:pPr>
      <w:keepNext/>
      <w:widowControl/>
      <w:spacing w:before="240" w:after="60"/>
      <w:outlineLvl w:val="3"/>
    </w:pPr>
    <w:rPr>
      <w:rFonts w:ascii="Calibri" w:hAnsi="Calibri"/>
      <w:b/>
      <w:bCs/>
      <w:snapToGrid/>
      <w:sz w:val="28"/>
      <w:szCs w:val="28"/>
    </w:rPr>
  </w:style>
  <w:style w:type="paragraph" w:styleId="Heading7">
    <w:name w:val="heading 7"/>
    <w:basedOn w:val="Normal"/>
    <w:next w:val="Normal"/>
    <w:link w:val="Heading7Char"/>
    <w:uiPriority w:val="9"/>
    <w:semiHidden/>
    <w:unhideWhenUsed/>
    <w:qFormat/>
    <w:rsid w:val="00FE7E5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2A72"/>
    <w:pPr>
      <w:tabs>
        <w:tab w:val="center" w:pos="4320"/>
        <w:tab w:val="right" w:pos="8640"/>
      </w:tabs>
    </w:pPr>
  </w:style>
  <w:style w:type="character" w:customStyle="1" w:styleId="HeaderChar">
    <w:name w:val="Header Char"/>
    <w:basedOn w:val="DefaultParagraphFont"/>
    <w:link w:val="Header"/>
    <w:rsid w:val="005A2A72"/>
    <w:rPr>
      <w:rFonts w:ascii="Univers" w:eastAsia="Times New Roman" w:hAnsi="Univers" w:cs="Times New Roman"/>
      <w:snapToGrid w:val="0"/>
      <w:sz w:val="24"/>
      <w:szCs w:val="20"/>
    </w:rPr>
  </w:style>
  <w:style w:type="paragraph" w:customStyle="1" w:styleId="CLSI-text">
    <w:name w:val="CLSI-text"/>
    <w:basedOn w:val="Normal"/>
    <w:link w:val="CLSI-textChar"/>
    <w:rsid w:val="005A2A72"/>
    <w:pPr>
      <w:autoSpaceDE w:val="0"/>
      <w:autoSpaceDN w:val="0"/>
      <w:adjustRightInd w:val="0"/>
      <w:spacing w:after="144" w:line="220" w:lineRule="atLeast"/>
      <w:textAlignment w:val="baseline"/>
    </w:pPr>
    <w:rPr>
      <w:rFonts w:ascii="Arial" w:hAnsi="Arial" w:cs="Arial"/>
      <w:snapToGrid/>
      <w:spacing w:val="-2"/>
      <w:sz w:val="20"/>
    </w:rPr>
  </w:style>
  <w:style w:type="character" w:customStyle="1" w:styleId="CLSI-textChar">
    <w:name w:val="CLSI-text Char"/>
    <w:link w:val="CLSI-text"/>
    <w:rsid w:val="005A2A72"/>
    <w:rPr>
      <w:rFonts w:ascii="Arial" w:eastAsia="Times New Roman" w:hAnsi="Arial" w:cs="Arial"/>
      <w:spacing w:val="-2"/>
      <w:sz w:val="20"/>
      <w:szCs w:val="20"/>
    </w:rPr>
  </w:style>
  <w:style w:type="paragraph" w:styleId="ListParagraph">
    <w:name w:val="List Paragraph"/>
    <w:basedOn w:val="Normal"/>
    <w:uiPriority w:val="34"/>
    <w:qFormat/>
    <w:rsid w:val="006A5E1F"/>
    <w:pPr>
      <w:ind w:left="720"/>
      <w:contextualSpacing/>
    </w:pPr>
  </w:style>
  <w:style w:type="paragraph" w:customStyle="1" w:styleId="CLSI-SUBSUBHead">
    <w:name w:val="CLSI-SUB SUB Head"/>
    <w:basedOn w:val="Normal"/>
    <w:rsid w:val="006A5E1F"/>
    <w:pPr>
      <w:widowControl/>
    </w:pPr>
    <w:rPr>
      <w:rFonts w:ascii="Arial" w:hAnsi="Times New Roman"/>
      <w:b/>
      <w:snapToGrid/>
      <w:szCs w:val="24"/>
    </w:rPr>
  </w:style>
  <w:style w:type="character" w:customStyle="1" w:styleId="A8">
    <w:name w:val="A8"/>
    <w:rsid w:val="006A5E1F"/>
    <w:rPr>
      <w:rFonts w:cs="HelveticaNeueLT Pro 57 Cn"/>
      <w:color w:val="000000"/>
      <w:sz w:val="14"/>
      <w:szCs w:val="14"/>
    </w:rPr>
  </w:style>
  <w:style w:type="paragraph" w:customStyle="1" w:styleId="CLSI-MainHeaders">
    <w:name w:val="CLSI-Main Headers"/>
    <w:basedOn w:val="Normal"/>
    <w:link w:val="CLSI-MainHeadersChar"/>
    <w:rsid w:val="0087172B"/>
    <w:pPr>
      <w:keepNext/>
      <w:widowControl/>
      <w:spacing w:before="120"/>
      <w:ind w:left="-720"/>
    </w:pPr>
    <w:rPr>
      <w:rFonts w:ascii="Arial" w:hAnsi="Arial" w:cs="Arial"/>
      <w:b/>
      <w:snapToGrid/>
      <w:sz w:val="32"/>
    </w:rPr>
  </w:style>
  <w:style w:type="paragraph" w:customStyle="1" w:styleId="CLSINumbered">
    <w:name w:val="CLSI Numbered"/>
    <w:basedOn w:val="Normal"/>
    <w:link w:val="CLSINumberedCharChar"/>
    <w:rsid w:val="0087172B"/>
    <w:pPr>
      <w:widowControl/>
      <w:tabs>
        <w:tab w:val="left" w:pos="360"/>
      </w:tabs>
      <w:overflowPunct w:val="0"/>
      <w:autoSpaceDE w:val="0"/>
      <w:autoSpaceDN w:val="0"/>
      <w:adjustRightInd w:val="0"/>
      <w:spacing w:before="20"/>
      <w:ind w:left="360" w:hanging="360"/>
      <w:jc w:val="both"/>
      <w:textAlignment w:val="baseline"/>
    </w:pPr>
    <w:rPr>
      <w:rFonts w:ascii="Arial" w:hAnsi="Arial" w:cs="Arial"/>
      <w:noProof/>
      <w:snapToGrid/>
      <w:sz w:val="20"/>
    </w:rPr>
  </w:style>
  <w:style w:type="character" w:customStyle="1" w:styleId="CLSINumberedCharChar">
    <w:name w:val="CLSI Numbered Char Char"/>
    <w:link w:val="CLSINumbered"/>
    <w:rsid w:val="0087172B"/>
    <w:rPr>
      <w:rFonts w:ascii="Arial" w:eastAsia="Times New Roman" w:hAnsi="Arial" w:cs="Arial"/>
      <w:noProof/>
      <w:sz w:val="20"/>
      <w:szCs w:val="20"/>
    </w:rPr>
  </w:style>
  <w:style w:type="character" w:customStyle="1" w:styleId="CLSI-MainHeadersChar">
    <w:name w:val="CLSI-Main Headers Char"/>
    <w:link w:val="CLSI-MainHeaders"/>
    <w:rsid w:val="0087172B"/>
    <w:rPr>
      <w:rFonts w:ascii="Arial" w:eastAsia="Times New Roman" w:hAnsi="Arial" w:cs="Arial"/>
      <w:b/>
      <w:sz w:val="32"/>
      <w:szCs w:val="20"/>
    </w:rPr>
  </w:style>
  <w:style w:type="paragraph" w:customStyle="1" w:styleId="Text">
    <w:name w:val="Text"/>
    <w:basedOn w:val="Normal"/>
    <w:rsid w:val="00991136"/>
    <w:pPr>
      <w:autoSpaceDE w:val="0"/>
      <w:autoSpaceDN w:val="0"/>
      <w:adjustRightInd w:val="0"/>
      <w:spacing w:line="220" w:lineRule="atLeast"/>
      <w:textAlignment w:val="baseline"/>
    </w:pPr>
    <w:rPr>
      <w:rFonts w:ascii="HelveticaNeue-Condensed" w:hAnsi="HelveticaNeue-Condensed" w:cs="HelveticaNeue-Condensed"/>
      <w:snapToGrid/>
      <w:color w:val="000000"/>
      <w:spacing w:val="-2"/>
      <w:sz w:val="20"/>
    </w:rPr>
  </w:style>
  <w:style w:type="character" w:customStyle="1" w:styleId="Bold">
    <w:name w:val="Bold"/>
    <w:rsid w:val="00991136"/>
    <w:rPr>
      <w:rFonts w:ascii="HelveticaNeue-BoldCond" w:hAnsi="HelveticaNeue-BoldCond" w:cs="HelveticaNeue-BoldCond"/>
      <w:b/>
      <w:bCs/>
    </w:rPr>
  </w:style>
  <w:style w:type="paragraph" w:customStyle="1" w:styleId="Textnospaceunder">
    <w:name w:val="Text no space under"/>
    <w:basedOn w:val="Text"/>
    <w:rsid w:val="00991136"/>
    <w:pPr>
      <w:spacing w:line="288" w:lineRule="auto"/>
    </w:pPr>
  </w:style>
  <w:style w:type="paragraph" w:customStyle="1" w:styleId="TextwithPPSpace">
    <w:name w:val="Text with PP Space"/>
    <w:basedOn w:val="Normal"/>
    <w:link w:val="TextwithPPSpaceChar"/>
    <w:rsid w:val="00DD6FF1"/>
    <w:pPr>
      <w:autoSpaceDE w:val="0"/>
      <w:autoSpaceDN w:val="0"/>
      <w:adjustRightInd w:val="0"/>
      <w:spacing w:after="144" w:line="220" w:lineRule="atLeast"/>
      <w:textAlignment w:val="baseline"/>
    </w:pPr>
    <w:rPr>
      <w:rFonts w:ascii="HelveticaNeue-Condensed" w:hAnsi="HelveticaNeue-Condensed" w:cs="HelveticaNeue-Condensed"/>
      <w:snapToGrid/>
      <w:color w:val="000000"/>
      <w:spacing w:val="-2"/>
      <w:sz w:val="20"/>
    </w:rPr>
  </w:style>
  <w:style w:type="paragraph" w:customStyle="1" w:styleId="NumberedQC">
    <w:name w:val="Numbered QC"/>
    <w:basedOn w:val="Normal"/>
    <w:rsid w:val="00DD6FF1"/>
    <w:pPr>
      <w:tabs>
        <w:tab w:val="left" w:pos="1080"/>
      </w:tabs>
      <w:autoSpaceDE w:val="0"/>
      <w:autoSpaceDN w:val="0"/>
      <w:adjustRightInd w:val="0"/>
      <w:spacing w:line="288" w:lineRule="auto"/>
      <w:ind w:left="360" w:hanging="360"/>
      <w:textAlignment w:val="baseline"/>
    </w:pPr>
    <w:rPr>
      <w:rFonts w:ascii="HelveticaNeue-Condensed" w:hAnsi="HelveticaNeue-Condensed" w:cs="HelveticaNeue-Condensed"/>
      <w:snapToGrid/>
      <w:color w:val="000000"/>
      <w:sz w:val="20"/>
    </w:rPr>
  </w:style>
  <w:style w:type="character" w:customStyle="1" w:styleId="TextwithPPSpaceChar">
    <w:name w:val="Text with PP Space Char"/>
    <w:link w:val="TextwithPPSpace"/>
    <w:rsid w:val="00DD6FF1"/>
    <w:rPr>
      <w:rFonts w:ascii="HelveticaNeue-Condensed" w:eastAsia="Times New Roman" w:hAnsi="HelveticaNeue-Condensed" w:cs="HelveticaNeue-Condensed"/>
      <w:color w:val="000000"/>
      <w:spacing w:val="-2"/>
      <w:sz w:val="20"/>
      <w:szCs w:val="20"/>
    </w:rPr>
  </w:style>
  <w:style w:type="character" w:customStyle="1" w:styleId="A13">
    <w:name w:val="A13"/>
    <w:rsid w:val="00DD6FF1"/>
    <w:rPr>
      <w:rFonts w:cs="HelveticaNeueLT Pro 57 Cn"/>
      <w:b/>
      <w:bCs/>
      <w:color w:val="000000"/>
      <w:sz w:val="20"/>
      <w:szCs w:val="20"/>
      <w:u w:val="single"/>
    </w:rPr>
  </w:style>
  <w:style w:type="paragraph" w:customStyle="1" w:styleId="SectionSubheaderinTOC">
    <w:name w:val="Section Subheader in TOC"/>
    <w:basedOn w:val="Normal"/>
    <w:rsid w:val="00DD6FF1"/>
    <w:pPr>
      <w:tabs>
        <w:tab w:val="left" w:pos="540"/>
      </w:tabs>
      <w:autoSpaceDE w:val="0"/>
      <w:autoSpaceDN w:val="0"/>
      <w:adjustRightInd w:val="0"/>
      <w:spacing w:before="72" w:after="36" w:line="220" w:lineRule="atLeast"/>
      <w:textAlignment w:val="baseline"/>
    </w:pPr>
    <w:rPr>
      <w:rFonts w:ascii="HelveticaNeue-HeavyCond" w:hAnsi="HelveticaNeue-HeavyCond" w:cs="HelveticaNeue-HeavyCond"/>
      <w:snapToGrid/>
      <w:color w:val="000000"/>
      <w:sz w:val="22"/>
      <w:szCs w:val="22"/>
    </w:rPr>
  </w:style>
  <w:style w:type="paragraph" w:customStyle="1" w:styleId="CLSIText">
    <w:name w:val="CLSI Text"/>
    <w:basedOn w:val="Normal"/>
    <w:rsid w:val="00DD6FF1"/>
    <w:pPr>
      <w:autoSpaceDE w:val="0"/>
      <w:autoSpaceDN w:val="0"/>
      <w:adjustRightInd w:val="0"/>
      <w:jc w:val="both"/>
      <w:textAlignment w:val="baseline"/>
    </w:pPr>
    <w:rPr>
      <w:rFonts w:ascii="Arial" w:hAnsi="Arial" w:cs="Arial"/>
      <w:snapToGrid/>
      <w:color w:val="000000"/>
      <w:spacing w:val="-2"/>
      <w:sz w:val="20"/>
    </w:rPr>
  </w:style>
  <w:style w:type="paragraph" w:customStyle="1" w:styleId="BulletTextIndent">
    <w:name w:val="Bullet Text Indent"/>
    <w:basedOn w:val="Normal"/>
    <w:link w:val="BulletTextIndentChar"/>
    <w:rsid w:val="00163437"/>
    <w:pPr>
      <w:tabs>
        <w:tab w:val="left" w:pos="612"/>
      </w:tabs>
      <w:autoSpaceDE w:val="0"/>
      <w:autoSpaceDN w:val="0"/>
      <w:adjustRightInd w:val="0"/>
      <w:spacing w:line="220" w:lineRule="atLeast"/>
      <w:ind w:left="612" w:hanging="252"/>
      <w:textAlignment w:val="baseline"/>
    </w:pPr>
    <w:rPr>
      <w:rFonts w:ascii="HelveticaNeue-Condensed" w:hAnsi="HelveticaNeue-Condensed" w:cs="HelveticaNeue-Condensed"/>
      <w:snapToGrid/>
      <w:color w:val="000000"/>
      <w:sz w:val="20"/>
    </w:rPr>
  </w:style>
  <w:style w:type="character" w:customStyle="1" w:styleId="BulletTextIndentChar">
    <w:name w:val="Bullet Text Indent Char"/>
    <w:link w:val="BulletTextIndent"/>
    <w:rsid w:val="00163437"/>
    <w:rPr>
      <w:rFonts w:ascii="HelveticaNeue-Condensed" w:eastAsia="Times New Roman" w:hAnsi="HelveticaNeue-Condensed" w:cs="HelveticaNeue-Condensed"/>
      <w:color w:val="000000"/>
      <w:sz w:val="20"/>
      <w:szCs w:val="20"/>
    </w:rPr>
  </w:style>
  <w:style w:type="paragraph" w:customStyle="1" w:styleId="Numbered">
    <w:name w:val="Numbered"/>
    <w:basedOn w:val="Normal"/>
    <w:link w:val="NumberedChar"/>
    <w:rsid w:val="00241388"/>
    <w:pPr>
      <w:widowControl/>
      <w:tabs>
        <w:tab w:val="left" w:pos="360"/>
      </w:tabs>
      <w:overflowPunct w:val="0"/>
      <w:autoSpaceDE w:val="0"/>
      <w:autoSpaceDN w:val="0"/>
      <w:adjustRightInd w:val="0"/>
      <w:spacing w:before="20"/>
      <w:ind w:left="360" w:hanging="360"/>
      <w:jc w:val="both"/>
      <w:textAlignment w:val="baseline"/>
    </w:pPr>
    <w:rPr>
      <w:rFonts w:ascii="Helvetica 55 Roman" w:hAnsi="Helvetica 55 Roman"/>
      <w:noProof/>
      <w:snapToGrid/>
      <w:color w:val="000000"/>
      <w:sz w:val="16"/>
    </w:rPr>
  </w:style>
  <w:style w:type="character" w:customStyle="1" w:styleId="NumberedChar">
    <w:name w:val="Numbered Char"/>
    <w:link w:val="Numbered"/>
    <w:rsid w:val="00241388"/>
    <w:rPr>
      <w:rFonts w:ascii="Helvetica 55 Roman" w:eastAsia="Times New Roman" w:hAnsi="Helvetica 55 Roman" w:cs="Times New Roman"/>
      <w:noProof/>
      <w:color w:val="000000"/>
      <w:sz w:val="16"/>
      <w:szCs w:val="20"/>
    </w:rPr>
  </w:style>
  <w:style w:type="character" w:styleId="Hyperlink">
    <w:name w:val="Hyperlink"/>
    <w:basedOn w:val="DefaultParagraphFont"/>
    <w:uiPriority w:val="99"/>
    <w:unhideWhenUsed/>
    <w:rsid w:val="00241388"/>
    <w:rPr>
      <w:color w:val="0563C1" w:themeColor="hyperlink"/>
      <w:u w:val="single"/>
    </w:rPr>
  </w:style>
  <w:style w:type="character" w:customStyle="1" w:styleId="Heading2Char">
    <w:name w:val="Heading 2 Char"/>
    <w:basedOn w:val="DefaultParagraphFont"/>
    <w:link w:val="Heading2"/>
    <w:semiHidden/>
    <w:rsid w:val="00207239"/>
    <w:rPr>
      <w:rFonts w:ascii="Arial" w:eastAsia="Times New Roman" w:hAnsi="Arial" w:cs="Arial"/>
      <w:b/>
      <w:bCs/>
      <w:iCs/>
      <w:sz w:val="24"/>
      <w:szCs w:val="28"/>
    </w:rPr>
  </w:style>
  <w:style w:type="table" w:styleId="TableGrid">
    <w:name w:val="Table Grid"/>
    <w:basedOn w:val="TableNormal"/>
    <w:uiPriority w:val="39"/>
    <w:rsid w:val="00207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6C0053"/>
    <w:pPr>
      <w:widowControl/>
      <w:spacing w:after="120"/>
    </w:pPr>
    <w:rPr>
      <w:rFonts w:ascii="Arial" w:hAnsi="Arial"/>
      <w:snapToGrid/>
      <w:sz w:val="20"/>
      <w:szCs w:val="24"/>
    </w:rPr>
  </w:style>
  <w:style w:type="character" w:customStyle="1" w:styleId="BodyTextChar">
    <w:name w:val="Body Text Char"/>
    <w:basedOn w:val="DefaultParagraphFont"/>
    <w:link w:val="BodyText"/>
    <w:semiHidden/>
    <w:rsid w:val="006C0053"/>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6C0053"/>
    <w:rPr>
      <w:rFonts w:asciiTheme="majorHAnsi" w:eastAsiaTheme="majorEastAsia" w:hAnsiTheme="majorHAnsi" w:cstheme="majorBidi"/>
      <w:b/>
      <w:bCs/>
      <w:snapToGrid w:val="0"/>
      <w:color w:val="2E74B5" w:themeColor="accent1" w:themeShade="BF"/>
      <w:sz w:val="28"/>
      <w:szCs w:val="28"/>
    </w:rPr>
  </w:style>
  <w:style w:type="paragraph" w:styleId="Footer">
    <w:name w:val="footer"/>
    <w:basedOn w:val="Normal"/>
    <w:link w:val="FooterChar"/>
    <w:rsid w:val="00132A26"/>
    <w:pPr>
      <w:widowControl/>
      <w:tabs>
        <w:tab w:val="center" w:pos="4320"/>
        <w:tab w:val="right" w:pos="8640"/>
      </w:tabs>
    </w:pPr>
    <w:rPr>
      <w:rFonts w:ascii="Times New Roman" w:hAnsi="Times New Roman"/>
      <w:snapToGrid/>
      <w:sz w:val="20"/>
    </w:rPr>
  </w:style>
  <w:style w:type="character" w:customStyle="1" w:styleId="FooterChar">
    <w:name w:val="Footer Char"/>
    <w:basedOn w:val="DefaultParagraphFont"/>
    <w:link w:val="Footer"/>
    <w:rsid w:val="00132A26"/>
    <w:rPr>
      <w:rFonts w:ascii="Times New Roman" w:eastAsia="Times New Roman" w:hAnsi="Times New Roman" w:cs="Times New Roman"/>
      <w:sz w:val="20"/>
      <w:szCs w:val="20"/>
    </w:rPr>
  </w:style>
  <w:style w:type="character" w:styleId="PageNumber">
    <w:name w:val="page number"/>
    <w:rsid w:val="00132A26"/>
  </w:style>
  <w:style w:type="character" w:customStyle="1" w:styleId="Heading7Char">
    <w:name w:val="Heading 7 Char"/>
    <w:basedOn w:val="DefaultParagraphFont"/>
    <w:link w:val="Heading7"/>
    <w:uiPriority w:val="9"/>
    <w:semiHidden/>
    <w:rsid w:val="00FE7E58"/>
    <w:rPr>
      <w:rFonts w:asciiTheme="majorHAnsi" w:eastAsiaTheme="majorEastAsia" w:hAnsiTheme="majorHAnsi" w:cstheme="majorBidi"/>
      <w:i/>
      <w:iCs/>
      <w:snapToGrid w:val="0"/>
      <w:color w:val="404040" w:themeColor="text1" w:themeTint="BF"/>
      <w:sz w:val="24"/>
      <w:szCs w:val="20"/>
    </w:rPr>
  </w:style>
  <w:style w:type="character" w:customStyle="1" w:styleId="Heading4Char">
    <w:name w:val="Heading 4 Char"/>
    <w:basedOn w:val="DefaultParagraphFont"/>
    <w:link w:val="Heading4"/>
    <w:semiHidden/>
    <w:rsid w:val="00FE7E58"/>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509">
      <w:bodyDiv w:val="1"/>
      <w:marLeft w:val="0"/>
      <w:marRight w:val="0"/>
      <w:marTop w:val="0"/>
      <w:marBottom w:val="0"/>
      <w:divBdr>
        <w:top w:val="none" w:sz="0" w:space="0" w:color="auto"/>
        <w:left w:val="none" w:sz="0" w:space="0" w:color="auto"/>
        <w:bottom w:val="none" w:sz="0" w:space="0" w:color="auto"/>
        <w:right w:val="none" w:sz="0" w:space="0" w:color="auto"/>
      </w:divBdr>
    </w:div>
    <w:div w:id="114178136">
      <w:bodyDiv w:val="1"/>
      <w:marLeft w:val="0"/>
      <w:marRight w:val="0"/>
      <w:marTop w:val="0"/>
      <w:marBottom w:val="0"/>
      <w:divBdr>
        <w:top w:val="none" w:sz="0" w:space="0" w:color="auto"/>
        <w:left w:val="none" w:sz="0" w:space="0" w:color="auto"/>
        <w:bottom w:val="none" w:sz="0" w:space="0" w:color="auto"/>
        <w:right w:val="none" w:sz="0" w:space="0" w:color="auto"/>
      </w:divBdr>
    </w:div>
    <w:div w:id="377507522">
      <w:bodyDiv w:val="1"/>
      <w:marLeft w:val="0"/>
      <w:marRight w:val="0"/>
      <w:marTop w:val="0"/>
      <w:marBottom w:val="0"/>
      <w:divBdr>
        <w:top w:val="none" w:sz="0" w:space="0" w:color="auto"/>
        <w:left w:val="none" w:sz="0" w:space="0" w:color="auto"/>
        <w:bottom w:val="none" w:sz="0" w:space="0" w:color="auto"/>
        <w:right w:val="none" w:sz="0" w:space="0" w:color="auto"/>
      </w:divBdr>
    </w:div>
    <w:div w:id="474882144">
      <w:bodyDiv w:val="1"/>
      <w:marLeft w:val="0"/>
      <w:marRight w:val="0"/>
      <w:marTop w:val="0"/>
      <w:marBottom w:val="0"/>
      <w:divBdr>
        <w:top w:val="none" w:sz="0" w:space="0" w:color="auto"/>
        <w:left w:val="none" w:sz="0" w:space="0" w:color="auto"/>
        <w:bottom w:val="none" w:sz="0" w:space="0" w:color="auto"/>
        <w:right w:val="none" w:sz="0" w:space="0" w:color="auto"/>
      </w:divBdr>
    </w:div>
    <w:div w:id="655767339">
      <w:bodyDiv w:val="1"/>
      <w:marLeft w:val="0"/>
      <w:marRight w:val="0"/>
      <w:marTop w:val="0"/>
      <w:marBottom w:val="0"/>
      <w:divBdr>
        <w:top w:val="none" w:sz="0" w:space="0" w:color="auto"/>
        <w:left w:val="none" w:sz="0" w:space="0" w:color="auto"/>
        <w:bottom w:val="none" w:sz="0" w:space="0" w:color="auto"/>
        <w:right w:val="none" w:sz="0" w:space="0" w:color="auto"/>
      </w:divBdr>
    </w:div>
    <w:div w:id="723530711">
      <w:bodyDiv w:val="1"/>
      <w:marLeft w:val="0"/>
      <w:marRight w:val="0"/>
      <w:marTop w:val="0"/>
      <w:marBottom w:val="0"/>
      <w:divBdr>
        <w:top w:val="none" w:sz="0" w:space="0" w:color="auto"/>
        <w:left w:val="none" w:sz="0" w:space="0" w:color="auto"/>
        <w:bottom w:val="none" w:sz="0" w:space="0" w:color="auto"/>
        <w:right w:val="none" w:sz="0" w:space="0" w:color="auto"/>
      </w:divBdr>
    </w:div>
    <w:div w:id="788160926">
      <w:bodyDiv w:val="1"/>
      <w:marLeft w:val="0"/>
      <w:marRight w:val="0"/>
      <w:marTop w:val="0"/>
      <w:marBottom w:val="0"/>
      <w:divBdr>
        <w:top w:val="none" w:sz="0" w:space="0" w:color="auto"/>
        <w:left w:val="none" w:sz="0" w:space="0" w:color="auto"/>
        <w:bottom w:val="none" w:sz="0" w:space="0" w:color="auto"/>
        <w:right w:val="none" w:sz="0" w:space="0" w:color="auto"/>
      </w:divBdr>
    </w:div>
    <w:div w:id="804005022">
      <w:bodyDiv w:val="1"/>
      <w:marLeft w:val="0"/>
      <w:marRight w:val="0"/>
      <w:marTop w:val="0"/>
      <w:marBottom w:val="0"/>
      <w:divBdr>
        <w:top w:val="none" w:sz="0" w:space="0" w:color="auto"/>
        <w:left w:val="none" w:sz="0" w:space="0" w:color="auto"/>
        <w:bottom w:val="none" w:sz="0" w:space="0" w:color="auto"/>
        <w:right w:val="none" w:sz="0" w:space="0" w:color="auto"/>
      </w:divBdr>
    </w:div>
    <w:div w:id="816267461">
      <w:bodyDiv w:val="1"/>
      <w:marLeft w:val="0"/>
      <w:marRight w:val="0"/>
      <w:marTop w:val="0"/>
      <w:marBottom w:val="0"/>
      <w:divBdr>
        <w:top w:val="none" w:sz="0" w:space="0" w:color="auto"/>
        <w:left w:val="none" w:sz="0" w:space="0" w:color="auto"/>
        <w:bottom w:val="none" w:sz="0" w:space="0" w:color="auto"/>
        <w:right w:val="none" w:sz="0" w:space="0" w:color="auto"/>
      </w:divBdr>
    </w:div>
    <w:div w:id="953907618">
      <w:bodyDiv w:val="1"/>
      <w:marLeft w:val="0"/>
      <w:marRight w:val="0"/>
      <w:marTop w:val="0"/>
      <w:marBottom w:val="0"/>
      <w:divBdr>
        <w:top w:val="none" w:sz="0" w:space="0" w:color="auto"/>
        <w:left w:val="none" w:sz="0" w:space="0" w:color="auto"/>
        <w:bottom w:val="none" w:sz="0" w:space="0" w:color="auto"/>
        <w:right w:val="none" w:sz="0" w:space="0" w:color="auto"/>
      </w:divBdr>
    </w:div>
    <w:div w:id="1034312785">
      <w:bodyDiv w:val="1"/>
      <w:marLeft w:val="0"/>
      <w:marRight w:val="0"/>
      <w:marTop w:val="0"/>
      <w:marBottom w:val="0"/>
      <w:divBdr>
        <w:top w:val="none" w:sz="0" w:space="0" w:color="auto"/>
        <w:left w:val="none" w:sz="0" w:space="0" w:color="auto"/>
        <w:bottom w:val="none" w:sz="0" w:space="0" w:color="auto"/>
        <w:right w:val="none" w:sz="0" w:space="0" w:color="auto"/>
      </w:divBdr>
    </w:div>
    <w:div w:id="1073356563">
      <w:bodyDiv w:val="1"/>
      <w:marLeft w:val="0"/>
      <w:marRight w:val="0"/>
      <w:marTop w:val="0"/>
      <w:marBottom w:val="0"/>
      <w:divBdr>
        <w:top w:val="none" w:sz="0" w:space="0" w:color="auto"/>
        <w:left w:val="none" w:sz="0" w:space="0" w:color="auto"/>
        <w:bottom w:val="none" w:sz="0" w:space="0" w:color="auto"/>
        <w:right w:val="none" w:sz="0" w:space="0" w:color="auto"/>
      </w:divBdr>
    </w:div>
    <w:div w:id="1099762181">
      <w:bodyDiv w:val="1"/>
      <w:marLeft w:val="0"/>
      <w:marRight w:val="0"/>
      <w:marTop w:val="0"/>
      <w:marBottom w:val="0"/>
      <w:divBdr>
        <w:top w:val="none" w:sz="0" w:space="0" w:color="auto"/>
        <w:left w:val="none" w:sz="0" w:space="0" w:color="auto"/>
        <w:bottom w:val="none" w:sz="0" w:space="0" w:color="auto"/>
        <w:right w:val="none" w:sz="0" w:space="0" w:color="auto"/>
      </w:divBdr>
    </w:div>
    <w:div w:id="1116020278">
      <w:bodyDiv w:val="1"/>
      <w:marLeft w:val="0"/>
      <w:marRight w:val="0"/>
      <w:marTop w:val="0"/>
      <w:marBottom w:val="0"/>
      <w:divBdr>
        <w:top w:val="none" w:sz="0" w:space="0" w:color="auto"/>
        <w:left w:val="none" w:sz="0" w:space="0" w:color="auto"/>
        <w:bottom w:val="none" w:sz="0" w:space="0" w:color="auto"/>
        <w:right w:val="none" w:sz="0" w:space="0" w:color="auto"/>
      </w:divBdr>
    </w:div>
    <w:div w:id="1143893254">
      <w:bodyDiv w:val="1"/>
      <w:marLeft w:val="0"/>
      <w:marRight w:val="0"/>
      <w:marTop w:val="0"/>
      <w:marBottom w:val="0"/>
      <w:divBdr>
        <w:top w:val="none" w:sz="0" w:space="0" w:color="auto"/>
        <w:left w:val="none" w:sz="0" w:space="0" w:color="auto"/>
        <w:bottom w:val="none" w:sz="0" w:space="0" w:color="auto"/>
        <w:right w:val="none" w:sz="0" w:space="0" w:color="auto"/>
      </w:divBdr>
    </w:div>
    <w:div w:id="1165124224">
      <w:bodyDiv w:val="1"/>
      <w:marLeft w:val="0"/>
      <w:marRight w:val="0"/>
      <w:marTop w:val="0"/>
      <w:marBottom w:val="0"/>
      <w:divBdr>
        <w:top w:val="none" w:sz="0" w:space="0" w:color="auto"/>
        <w:left w:val="none" w:sz="0" w:space="0" w:color="auto"/>
        <w:bottom w:val="none" w:sz="0" w:space="0" w:color="auto"/>
        <w:right w:val="none" w:sz="0" w:space="0" w:color="auto"/>
      </w:divBdr>
    </w:div>
    <w:div w:id="1298146914">
      <w:bodyDiv w:val="1"/>
      <w:marLeft w:val="0"/>
      <w:marRight w:val="0"/>
      <w:marTop w:val="0"/>
      <w:marBottom w:val="0"/>
      <w:divBdr>
        <w:top w:val="none" w:sz="0" w:space="0" w:color="auto"/>
        <w:left w:val="none" w:sz="0" w:space="0" w:color="auto"/>
        <w:bottom w:val="none" w:sz="0" w:space="0" w:color="auto"/>
        <w:right w:val="none" w:sz="0" w:space="0" w:color="auto"/>
      </w:divBdr>
    </w:div>
    <w:div w:id="1400012791">
      <w:bodyDiv w:val="1"/>
      <w:marLeft w:val="0"/>
      <w:marRight w:val="0"/>
      <w:marTop w:val="0"/>
      <w:marBottom w:val="0"/>
      <w:divBdr>
        <w:top w:val="none" w:sz="0" w:space="0" w:color="auto"/>
        <w:left w:val="none" w:sz="0" w:space="0" w:color="auto"/>
        <w:bottom w:val="none" w:sz="0" w:space="0" w:color="auto"/>
        <w:right w:val="none" w:sz="0" w:space="0" w:color="auto"/>
      </w:divBdr>
    </w:div>
    <w:div w:id="214619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www.cdc.gov/cmv/clinical/features.htm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www.cdc.gov/rubella/about/index.html" TargetMode="External"/><Relationship Id="rId37" Type="http://schemas.openxmlformats.org/officeDocument/2006/relationships/image" Target="media/image27.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6.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www.cdc.gov/parasites/toxoplasmosis/gen_info/faqs.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29</Pages>
  <Words>4944</Words>
  <Characters>28182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UnityPoint Health</Company>
  <LinksUpToDate>false</LinksUpToDate>
  <CharactersWithSpaces>33060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 Michelle</dc:creator>
  <cp:keywords/>
  <dc:description/>
  <cp:lastModifiedBy>Porter-Lanan, Tina M.</cp:lastModifiedBy>
  <cp:revision>26</cp:revision>
  <cp:lastPrinted>2018-12-06T23:55:00Z</cp:lastPrinted>
  <dcterms:created xsi:type="dcterms:W3CDTF">2018-09-18T16:21:00Z</dcterms:created>
  <dcterms:modified xsi:type="dcterms:W3CDTF">2018-12-06T23:58:00Z</dcterms:modified>
</cp:coreProperties>
</file>