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C1" w:rsidRPr="0010254B" w:rsidRDefault="001858DE">
      <w:pPr>
        <w:rPr>
          <w:sz w:val="24"/>
          <w:szCs w:val="24"/>
        </w:rPr>
      </w:pPr>
      <w:r w:rsidRPr="0010254B">
        <w:rPr>
          <w:sz w:val="24"/>
          <w:szCs w:val="24"/>
        </w:rPr>
        <w:t>Technical Memo to Blood Bank staff</w:t>
      </w:r>
    </w:p>
    <w:p w:rsidR="001858DE" w:rsidRPr="0010254B" w:rsidRDefault="001858DE">
      <w:pPr>
        <w:rPr>
          <w:sz w:val="24"/>
          <w:szCs w:val="24"/>
        </w:rPr>
      </w:pPr>
      <w:r w:rsidRPr="0010254B">
        <w:rPr>
          <w:sz w:val="24"/>
          <w:szCs w:val="24"/>
        </w:rPr>
        <w:t>11/11/14</w:t>
      </w:r>
    </w:p>
    <w:p w:rsidR="001858DE" w:rsidRPr="0010254B" w:rsidRDefault="001858DE">
      <w:pPr>
        <w:rPr>
          <w:sz w:val="24"/>
          <w:szCs w:val="24"/>
        </w:rPr>
      </w:pPr>
      <w:r w:rsidRPr="0010254B">
        <w:rPr>
          <w:sz w:val="24"/>
          <w:szCs w:val="24"/>
        </w:rPr>
        <w:t>To: All BMH BB staff</w:t>
      </w:r>
    </w:p>
    <w:p w:rsidR="001858DE" w:rsidRPr="0010254B" w:rsidRDefault="00A84C22">
      <w:pPr>
        <w:rPr>
          <w:sz w:val="24"/>
          <w:szCs w:val="24"/>
        </w:rPr>
      </w:pPr>
      <w:r w:rsidRPr="0010254B">
        <w:rPr>
          <w:sz w:val="24"/>
          <w:szCs w:val="24"/>
        </w:rPr>
        <w:t>Re:  Antigen typing</w:t>
      </w:r>
    </w:p>
    <w:p w:rsidR="001858DE" w:rsidRPr="0010254B" w:rsidRDefault="001858DE" w:rsidP="001858DE">
      <w:pPr>
        <w:spacing w:line="240" w:lineRule="auto"/>
        <w:rPr>
          <w:sz w:val="24"/>
          <w:szCs w:val="24"/>
        </w:rPr>
      </w:pPr>
      <w:r w:rsidRPr="0010254B">
        <w:rPr>
          <w:sz w:val="24"/>
          <w:szCs w:val="24"/>
        </w:rPr>
        <w:t>It has recently come to my attention that there is no procedure on antigen typing of red cell products.  This is an essential function of our antibody workup capabilities.</w:t>
      </w:r>
    </w:p>
    <w:p w:rsidR="001858DE" w:rsidRPr="0010254B" w:rsidRDefault="001858DE" w:rsidP="001858DE">
      <w:pPr>
        <w:spacing w:line="240" w:lineRule="auto"/>
        <w:rPr>
          <w:sz w:val="24"/>
          <w:szCs w:val="24"/>
        </w:rPr>
      </w:pPr>
      <w:r w:rsidRPr="0010254B">
        <w:rPr>
          <w:sz w:val="24"/>
          <w:szCs w:val="24"/>
        </w:rPr>
        <w:t>A few major things have come to my attention recently that we need to correct in order to meet CAP, AABB and FDA standards of quality.</w:t>
      </w:r>
    </w:p>
    <w:p w:rsidR="009A13CB" w:rsidRPr="0010254B" w:rsidRDefault="009A13CB" w:rsidP="001858DE">
      <w:pPr>
        <w:spacing w:line="240" w:lineRule="auto"/>
        <w:rPr>
          <w:b/>
          <w:sz w:val="24"/>
          <w:szCs w:val="24"/>
        </w:rPr>
      </w:pPr>
      <w:r w:rsidRPr="0010254B">
        <w:rPr>
          <w:b/>
          <w:sz w:val="24"/>
          <w:szCs w:val="24"/>
        </w:rPr>
        <w:t>Effective immediately, we are no longer freezing in-date antisera.  This is directly against package inserts and it cannot be used for antigen typing of units if it has been frozen and freezing is prohibited by the manufacturer’s insert.</w:t>
      </w:r>
    </w:p>
    <w:p w:rsidR="001858DE" w:rsidRPr="0010254B" w:rsidRDefault="001858DE" w:rsidP="001858DE">
      <w:pPr>
        <w:pStyle w:val="ListParagraph"/>
        <w:numPr>
          <w:ilvl w:val="0"/>
          <w:numId w:val="1"/>
        </w:numPr>
        <w:spacing w:line="240" w:lineRule="auto"/>
        <w:rPr>
          <w:sz w:val="24"/>
          <w:szCs w:val="24"/>
        </w:rPr>
      </w:pPr>
      <w:r w:rsidRPr="0010254B">
        <w:rPr>
          <w:sz w:val="24"/>
          <w:szCs w:val="24"/>
        </w:rPr>
        <w:t>The only antisera that we will be using for antigen typing of units are anti-D, anti-C, anti-E, anti-c, anti-e,</w:t>
      </w:r>
      <w:r w:rsidR="00A84C22" w:rsidRPr="0010254B">
        <w:rPr>
          <w:sz w:val="24"/>
          <w:szCs w:val="24"/>
        </w:rPr>
        <w:t xml:space="preserve"> anti-K and anti-</w:t>
      </w:r>
      <w:proofErr w:type="spellStart"/>
      <w:r w:rsidR="00A84C22" w:rsidRPr="0010254B">
        <w:rPr>
          <w:sz w:val="24"/>
          <w:szCs w:val="24"/>
        </w:rPr>
        <w:t>Jk</w:t>
      </w:r>
      <w:r w:rsidR="00A84C22" w:rsidRPr="0010254B">
        <w:rPr>
          <w:sz w:val="24"/>
          <w:szCs w:val="24"/>
          <w:vertAlign w:val="superscript"/>
        </w:rPr>
        <w:t>a</w:t>
      </w:r>
      <w:proofErr w:type="spellEnd"/>
      <w:r w:rsidRPr="0010254B">
        <w:rPr>
          <w:sz w:val="24"/>
          <w:szCs w:val="24"/>
        </w:rPr>
        <w:t xml:space="preserve">.  </w:t>
      </w:r>
      <w:r w:rsidR="00A84C22" w:rsidRPr="0010254B">
        <w:rPr>
          <w:sz w:val="24"/>
          <w:szCs w:val="24"/>
        </w:rPr>
        <w:t>For all other antigens, you must order fully antigen typed units from MVBC.</w:t>
      </w:r>
    </w:p>
    <w:p w:rsidR="001858DE" w:rsidRPr="0010254B" w:rsidRDefault="001858DE" w:rsidP="001858DE">
      <w:pPr>
        <w:pStyle w:val="ListParagraph"/>
        <w:numPr>
          <w:ilvl w:val="1"/>
          <w:numId w:val="1"/>
        </w:numPr>
        <w:spacing w:line="240" w:lineRule="auto"/>
        <w:rPr>
          <w:sz w:val="24"/>
          <w:szCs w:val="24"/>
        </w:rPr>
      </w:pPr>
      <w:r w:rsidRPr="0010254B">
        <w:rPr>
          <w:sz w:val="24"/>
          <w:szCs w:val="24"/>
          <w:u w:val="single"/>
        </w:rPr>
        <w:t>Only</w:t>
      </w:r>
      <w:r w:rsidRPr="0010254B">
        <w:rPr>
          <w:sz w:val="24"/>
          <w:szCs w:val="24"/>
        </w:rPr>
        <w:t xml:space="preserve"> </w:t>
      </w:r>
      <w:r w:rsidR="00A84C22" w:rsidRPr="0010254B">
        <w:rPr>
          <w:sz w:val="24"/>
          <w:szCs w:val="24"/>
        </w:rPr>
        <w:t xml:space="preserve">use </w:t>
      </w:r>
      <w:r w:rsidRPr="0010254B">
        <w:rPr>
          <w:sz w:val="24"/>
          <w:szCs w:val="24"/>
        </w:rPr>
        <w:t xml:space="preserve">never frozen, </w:t>
      </w:r>
      <w:r w:rsidR="00A84C22" w:rsidRPr="0010254B">
        <w:rPr>
          <w:b/>
          <w:sz w:val="24"/>
          <w:szCs w:val="24"/>
        </w:rPr>
        <w:t>in-</w:t>
      </w:r>
      <w:r w:rsidRPr="0010254B">
        <w:rPr>
          <w:b/>
          <w:sz w:val="24"/>
          <w:szCs w:val="24"/>
        </w:rPr>
        <w:t>date</w:t>
      </w:r>
      <w:r w:rsidRPr="0010254B">
        <w:rPr>
          <w:sz w:val="24"/>
          <w:szCs w:val="24"/>
        </w:rPr>
        <w:t xml:space="preserve"> anti-sera </w:t>
      </w:r>
      <w:r w:rsidR="00A84C22" w:rsidRPr="0010254B">
        <w:rPr>
          <w:sz w:val="24"/>
          <w:szCs w:val="24"/>
        </w:rPr>
        <w:t xml:space="preserve">for the </w:t>
      </w:r>
      <w:r w:rsidR="009A13CB" w:rsidRPr="0010254B">
        <w:rPr>
          <w:sz w:val="24"/>
          <w:szCs w:val="24"/>
        </w:rPr>
        <w:t>following antibodies</w:t>
      </w:r>
      <w:r w:rsidR="00A84C22" w:rsidRPr="0010254B">
        <w:rPr>
          <w:sz w:val="24"/>
          <w:szCs w:val="24"/>
        </w:rPr>
        <w:t xml:space="preserve">:  </w:t>
      </w:r>
      <w:r w:rsidR="00A84C22" w:rsidRPr="0010254B">
        <w:rPr>
          <w:sz w:val="24"/>
          <w:szCs w:val="24"/>
          <w:u w:val="single"/>
        </w:rPr>
        <w:t xml:space="preserve">Exception: </w:t>
      </w:r>
      <w:r w:rsidR="009A13CB" w:rsidRPr="0010254B">
        <w:rPr>
          <w:sz w:val="24"/>
          <w:szCs w:val="24"/>
          <w:u w:val="single"/>
        </w:rPr>
        <w:t>screening for antigen negative units may be performed with outdated and/or frozen antisera, however, it MUST be repeated with antisera that is in-date and has never been frozen.</w:t>
      </w:r>
    </w:p>
    <w:p w:rsidR="00A84C22" w:rsidRPr="0010254B" w:rsidRDefault="00A84C22" w:rsidP="00A84C22">
      <w:pPr>
        <w:pStyle w:val="ListParagraph"/>
        <w:numPr>
          <w:ilvl w:val="2"/>
          <w:numId w:val="1"/>
        </w:numPr>
        <w:spacing w:line="240" w:lineRule="auto"/>
        <w:rPr>
          <w:sz w:val="24"/>
          <w:szCs w:val="24"/>
        </w:rPr>
      </w:pPr>
      <w:r w:rsidRPr="0010254B">
        <w:rPr>
          <w:sz w:val="24"/>
          <w:szCs w:val="24"/>
        </w:rPr>
        <w:t>D</w:t>
      </w:r>
    </w:p>
    <w:p w:rsidR="00A84C22" w:rsidRPr="0010254B" w:rsidRDefault="00A84C22" w:rsidP="00A84C22">
      <w:pPr>
        <w:pStyle w:val="ListParagraph"/>
        <w:numPr>
          <w:ilvl w:val="2"/>
          <w:numId w:val="1"/>
        </w:numPr>
        <w:spacing w:line="240" w:lineRule="auto"/>
        <w:rPr>
          <w:sz w:val="24"/>
          <w:szCs w:val="24"/>
        </w:rPr>
      </w:pPr>
      <w:r w:rsidRPr="0010254B">
        <w:rPr>
          <w:sz w:val="24"/>
          <w:szCs w:val="24"/>
        </w:rPr>
        <w:t>C</w:t>
      </w:r>
    </w:p>
    <w:p w:rsidR="00A84C22" w:rsidRPr="0010254B" w:rsidRDefault="00A84C22" w:rsidP="00A84C22">
      <w:pPr>
        <w:pStyle w:val="ListParagraph"/>
        <w:numPr>
          <w:ilvl w:val="2"/>
          <w:numId w:val="1"/>
        </w:numPr>
        <w:spacing w:line="240" w:lineRule="auto"/>
        <w:rPr>
          <w:sz w:val="24"/>
          <w:szCs w:val="24"/>
        </w:rPr>
      </w:pPr>
      <w:r w:rsidRPr="0010254B">
        <w:rPr>
          <w:sz w:val="24"/>
          <w:szCs w:val="24"/>
        </w:rPr>
        <w:t>E</w:t>
      </w:r>
    </w:p>
    <w:p w:rsidR="00A84C22" w:rsidRPr="0010254B" w:rsidRDefault="00A84C22" w:rsidP="00A84C22">
      <w:pPr>
        <w:pStyle w:val="ListParagraph"/>
        <w:numPr>
          <w:ilvl w:val="2"/>
          <w:numId w:val="1"/>
        </w:numPr>
        <w:spacing w:line="240" w:lineRule="auto"/>
        <w:rPr>
          <w:sz w:val="24"/>
          <w:szCs w:val="24"/>
        </w:rPr>
      </w:pPr>
      <w:r w:rsidRPr="0010254B">
        <w:rPr>
          <w:sz w:val="24"/>
          <w:szCs w:val="24"/>
        </w:rPr>
        <w:t>c</w:t>
      </w:r>
    </w:p>
    <w:p w:rsidR="00A84C22" w:rsidRPr="0010254B" w:rsidRDefault="00A84C22" w:rsidP="00A84C22">
      <w:pPr>
        <w:pStyle w:val="ListParagraph"/>
        <w:numPr>
          <w:ilvl w:val="2"/>
          <w:numId w:val="1"/>
        </w:numPr>
        <w:spacing w:line="240" w:lineRule="auto"/>
        <w:rPr>
          <w:sz w:val="24"/>
          <w:szCs w:val="24"/>
        </w:rPr>
      </w:pPr>
      <w:r w:rsidRPr="0010254B">
        <w:rPr>
          <w:sz w:val="24"/>
          <w:szCs w:val="24"/>
        </w:rPr>
        <w:t>e</w:t>
      </w:r>
    </w:p>
    <w:p w:rsidR="00A84C22" w:rsidRPr="0010254B" w:rsidRDefault="00A84C22" w:rsidP="00A84C22">
      <w:pPr>
        <w:pStyle w:val="ListParagraph"/>
        <w:numPr>
          <w:ilvl w:val="2"/>
          <w:numId w:val="1"/>
        </w:numPr>
        <w:spacing w:line="240" w:lineRule="auto"/>
        <w:rPr>
          <w:sz w:val="24"/>
          <w:szCs w:val="24"/>
        </w:rPr>
      </w:pPr>
      <w:r w:rsidRPr="0010254B">
        <w:rPr>
          <w:sz w:val="24"/>
          <w:szCs w:val="24"/>
        </w:rPr>
        <w:t>K</w:t>
      </w:r>
    </w:p>
    <w:p w:rsidR="00A84C22" w:rsidRPr="0010254B" w:rsidRDefault="00A84C22" w:rsidP="00A84C22">
      <w:pPr>
        <w:pStyle w:val="ListParagraph"/>
        <w:numPr>
          <w:ilvl w:val="2"/>
          <w:numId w:val="1"/>
        </w:numPr>
        <w:spacing w:line="240" w:lineRule="auto"/>
        <w:rPr>
          <w:sz w:val="24"/>
          <w:szCs w:val="24"/>
        </w:rPr>
      </w:pPr>
      <w:r w:rsidRPr="0010254B">
        <w:rPr>
          <w:sz w:val="24"/>
          <w:szCs w:val="24"/>
        </w:rPr>
        <w:t>Fy</w:t>
      </w:r>
      <w:r w:rsidRPr="0010254B">
        <w:rPr>
          <w:sz w:val="24"/>
          <w:szCs w:val="24"/>
          <w:vertAlign w:val="superscript"/>
        </w:rPr>
        <w:t>a</w:t>
      </w:r>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Fy</w:t>
      </w:r>
      <w:r w:rsidRPr="0010254B">
        <w:rPr>
          <w:sz w:val="24"/>
          <w:szCs w:val="24"/>
          <w:vertAlign w:val="superscript"/>
        </w:rPr>
        <w:t>b</w:t>
      </w:r>
      <w:proofErr w:type="spellEnd"/>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Jk</w:t>
      </w:r>
      <w:r w:rsidRPr="0010254B">
        <w:rPr>
          <w:sz w:val="24"/>
          <w:szCs w:val="24"/>
          <w:vertAlign w:val="superscript"/>
        </w:rPr>
        <w:t>a</w:t>
      </w:r>
      <w:proofErr w:type="spellEnd"/>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Jk</w:t>
      </w:r>
      <w:r w:rsidRPr="0010254B">
        <w:rPr>
          <w:sz w:val="24"/>
          <w:szCs w:val="24"/>
          <w:vertAlign w:val="superscript"/>
        </w:rPr>
        <w:t>b</w:t>
      </w:r>
      <w:proofErr w:type="spellEnd"/>
    </w:p>
    <w:p w:rsidR="00A84C22" w:rsidRPr="0010254B" w:rsidRDefault="00A84C22" w:rsidP="00A84C22">
      <w:pPr>
        <w:pStyle w:val="ListParagraph"/>
        <w:numPr>
          <w:ilvl w:val="2"/>
          <w:numId w:val="1"/>
        </w:numPr>
        <w:spacing w:line="240" w:lineRule="auto"/>
        <w:rPr>
          <w:sz w:val="24"/>
          <w:szCs w:val="24"/>
        </w:rPr>
      </w:pPr>
      <w:r w:rsidRPr="0010254B">
        <w:rPr>
          <w:sz w:val="24"/>
          <w:szCs w:val="24"/>
        </w:rPr>
        <w:t>Le</w:t>
      </w:r>
      <w:r w:rsidRPr="0010254B">
        <w:rPr>
          <w:sz w:val="24"/>
          <w:szCs w:val="24"/>
          <w:vertAlign w:val="superscript"/>
        </w:rPr>
        <w:t>a</w:t>
      </w:r>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Le</w:t>
      </w:r>
      <w:r w:rsidRPr="0010254B">
        <w:rPr>
          <w:sz w:val="24"/>
          <w:szCs w:val="24"/>
          <w:vertAlign w:val="superscript"/>
        </w:rPr>
        <w:t>b</w:t>
      </w:r>
      <w:proofErr w:type="spellEnd"/>
    </w:p>
    <w:p w:rsidR="00A84C22" w:rsidRPr="0010254B" w:rsidRDefault="00A84C22" w:rsidP="00A84C22">
      <w:pPr>
        <w:pStyle w:val="ListParagraph"/>
        <w:numPr>
          <w:ilvl w:val="2"/>
          <w:numId w:val="1"/>
        </w:numPr>
        <w:spacing w:line="240" w:lineRule="auto"/>
        <w:rPr>
          <w:sz w:val="24"/>
          <w:szCs w:val="24"/>
        </w:rPr>
      </w:pPr>
      <w:r w:rsidRPr="0010254B">
        <w:rPr>
          <w:sz w:val="24"/>
          <w:szCs w:val="24"/>
        </w:rPr>
        <w:t>M</w:t>
      </w:r>
    </w:p>
    <w:p w:rsidR="00A84C22" w:rsidRPr="0010254B" w:rsidRDefault="00A84C22" w:rsidP="00A84C22">
      <w:pPr>
        <w:pStyle w:val="ListParagraph"/>
        <w:numPr>
          <w:ilvl w:val="2"/>
          <w:numId w:val="1"/>
        </w:numPr>
        <w:spacing w:line="240" w:lineRule="auto"/>
        <w:rPr>
          <w:sz w:val="24"/>
          <w:szCs w:val="24"/>
        </w:rPr>
      </w:pPr>
      <w:r w:rsidRPr="0010254B">
        <w:rPr>
          <w:sz w:val="24"/>
          <w:szCs w:val="24"/>
        </w:rPr>
        <w:t>N</w:t>
      </w:r>
    </w:p>
    <w:p w:rsidR="00A84C22" w:rsidRPr="0010254B" w:rsidRDefault="00A84C22" w:rsidP="00A84C22">
      <w:pPr>
        <w:pStyle w:val="ListParagraph"/>
        <w:numPr>
          <w:ilvl w:val="2"/>
          <w:numId w:val="1"/>
        </w:numPr>
        <w:spacing w:line="240" w:lineRule="auto"/>
        <w:rPr>
          <w:sz w:val="24"/>
          <w:szCs w:val="24"/>
        </w:rPr>
      </w:pPr>
      <w:r w:rsidRPr="0010254B">
        <w:rPr>
          <w:sz w:val="24"/>
          <w:szCs w:val="24"/>
        </w:rPr>
        <w:t xml:space="preserve"> S</w:t>
      </w:r>
    </w:p>
    <w:p w:rsidR="00A84C22" w:rsidRPr="0010254B" w:rsidRDefault="00A84C22" w:rsidP="00A84C22">
      <w:pPr>
        <w:pStyle w:val="ListParagraph"/>
        <w:numPr>
          <w:ilvl w:val="2"/>
          <w:numId w:val="1"/>
        </w:numPr>
        <w:spacing w:line="240" w:lineRule="auto"/>
        <w:rPr>
          <w:sz w:val="24"/>
          <w:szCs w:val="24"/>
        </w:rPr>
      </w:pPr>
      <w:r w:rsidRPr="0010254B">
        <w:rPr>
          <w:sz w:val="24"/>
          <w:szCs w:val="24"/>
        </w:rPr>
        <w:t xml:space="preserve"> S</w:t>
      </w:r>
    </w:p>
    <w:p w:rsidR="00A84C22" w:rsidRPr="0010254B" w:rsidRDefault="00A84C22" w:rsidP="00A84C22">
      <w:pPr>
        <w:pStyle w:val="ListParagraph"/>
        <w:numPr>
          <w:ilvl w:val="2"/>
          <w:numId w:val="1"/>
        </w:numPr>
        <w:tabs>
          <w:tab w:val="left" w:pos="1170"/>
          <w:tab w:val="left" w:pos="1260"/>
        </w:tabs>
        <w:spacing w:line="240" w:lineRule="auto"/>
        <w:rPr>
          <w:sz w:val="24"/>
          <w:szCs w:val="24"/>
        </w:rPr>
      </w:pPr>
      <w:r w:rsidRPr="0010254B">
        <w:rPr>
          <w:sz w:val="24"/>
          <w:szCs w:val="24"/>
        </w:rPr>
        <w:t>P1</w:t>
      </w:r>
    </w:p>
    <w:p w:rsidR="00A84C22" w:rsidRPr="0010254B" w:rsidRDefault="00A84C22" w:rsidP="00A84C22">
      <w:pPr>
        <w:pStyle w:val="ListParagraph"/>
        <w:numPr>
          <w:ilvl w:val="2"/>
          <w:numId w:val="1"/>
        </w:numPr>
        <w:tabs>
          <w:tab w:val="left" w:pos="1170"/>
          <w:tab w:val="left" w:pos="1260"/>
        </w:tabs>
        <w:spacing w:line="240" w:lineRule="auto"/>
        <w:rPr>
          <w:sz w:val="24"/>
          <w:szCs w:val="24"/>
        </w:rPr>
      </w:pPr>
      <w:proofErr w:type="spellStart"/>
      <w:r w:rsidRPr="0010254B">
        <w:rPr>
          <w:sz w:val="24"/>
          <w:szCs w:val="24"/>
        </w:rPr>
        <w:t>C</w:t>
      </w:r>
      <w:r w:rsidRPr="0010254B">
        <w:rPr>
          <w:sz w:val="24"/>
          <w:szCs w:val="24"/>
          <w:vertAlign w:val="superscript"/>
        </w:rPr>
        <w:t>w</w:t>
      </w:r>
      <w:proofErr w:type="spellEnd"/>
    </w:p>
    <w:p w:rsidR="00A84C22" w:rsidRPr="0010254B" w:rsidRDefault="00A84C22" w:rsidP="00A84C22">
      <w:pPr>
        <w:pStyle w:val="ListParagraph"/>
        <w:numPr>
          <w:ilvl w:val="1"/>
          <w:numId w:val="1"/>
        </w:numPr>
        <w:tabs>
          <w:tab w:val="left" w:pos="1170"/>
          <w:tab w:val="left" w:pos="1260"/>
        </w:tabs>
        <w:spacing w:line="240" w:lineRule="auto"/>
        <w:rPr>
          <w:sz w:val="24"/>
          <w:szCs w:val="24"/>
        </w:rPr>
      </w:pPr>
      <w:r w:rsidRPr="0010254B">
        <w:rPr>
          <w:sz w:val="24"/>
          <w:szCs w:val="24"/>
        </w:rPr>
        <w:t>If the antigen you are looking to type for does not fall on this list, then frozen, outdated antisera may be used.</w:t>
      </w:r>
    </w:p>
    <w:p w:rsidR="00A84C22" w:rsidRPr="0010254B" w:rsidRDefault="00A84C22" w:rsidP="00A84C22">
      <w:pPr>
        <w:pStyle w:val="ListParagraph"/>
        <w:numPr>
          <w:ilvl w:val="0"/>
          <w:numId w:val="1"/>
        </w:numPr>
        <w:tabs>
          <w:tab w:val="left" w:pos="1170"/>
          <w:tab w:val="left" w:pos="1260"/>
        </w:tabs>
        <w:spacing w:line="240" w:lineRule="auto"/>
        <w:rPr>
          <w:sz w:val="24"/>
          <w:szCs w:val="24"/>
        </w:rPr>
      </w:pPr>
      <w:r w:rsidRPr="0010254B">
        <w:rPr>
          <w:sz w:val="24"/>
          <w:szCs w:val="24"/>
        </w:rPr>
        <w:t>Only in date reagent cells should be used for QC for antigen typing.</w:t>
      </w:r>
    </w:p>
    <w:p w:rsidR="00A84C22" w:rsidRPr="0010254B" w:rsidRDefault="00A84C22" w:rsidP="00A84C22">
      <w:pPr>
        <w:pStyle w:val="ListParagraph"/>
        <w:numPr>
          <w:ilvl w:val="1"/>
          <w:numId w:val="1"/>
        </w:numPr>
        <w:tabs>
          <w:tab w:val="left" w:pos="1170"/>
          <w:tab w:val="left" w:pos="1260"/>
        </w:tabs>
        <w:spacing w:line="240" w:lineRule="auto"/>
        <w:rPr>
          <w:sz w:val="24"/>
          <w:szCs w:val="24"/>
        </w:rPr>
      </w:pPr>
      <w:r w:rsidRPr="0010254B">
        <w:rPr>
          <w:sz w:val="24"/>
          <w:szCs w:val="24"/>
        </w:rPr>
        <w:t>Make sure that positive control is heterozygous for antigen. (</w:t>
      </w:r>
      <w:r w:rsidRPr="0010254B">
        <w:rPr>
          <w:sz w:val="24"/>
          <w:szCs w:val="24"/>
          <w:u w:val="single"/>
        </w:rPr>
        <w:t xml:space="preserve">Exception: Lewis.  There are very, very few cells that are </w:t>
      </w:r>
      <w:proofErr w:type="gramStart"/>
      <w:r w:rsidRPr="0010254B">
        <w:rPr>
          <w:sz w:val="24"/>
          <w:szCs w:val="24"/>
          <w:u w:val="single"/>
        </w:rPr>
        <w:t>Le(</w:t>
      </w:r>
      <w:proofErr w:type="spellStart"/>
      <w:proofErr w:type="gramEnd"/>
      <w:r w:rsidRPr="0010254B">
        <w:rPr>
          <w:sz w:val="24"/>
          <w:szCs w:val="24"/>
          <w:u w:val="single"/>
        </w:rPr>
        <w:t>a+b</w:t>
      </w:r>
      <w:proofErr w:type="spellEnd"/>
      <w:r w:rsidRPr="0010254B">
        <w:rPr>
          <w:sz w:val="24"/>
          <w:szCs w:val="24"/>
          <w:u w:val="single"/>
        </w:rPr>
        <w:t>+) so it is acceptable to use Le(</w:t>
      </w:r>
      <w:proofErr w:type="spellStart"/>
      <w:r w:rsidRPr="0010254B">
        <w:rPr>
          <w:sz w:val="24"/>
          <w:szCs w:val="24"/>
          <w:u w:val="single"/>
        </w:rPr>
        <w:t>a+b</w:t>
      </w:r>
      <w:proofErr w:type="spellEnd"/>
      <w:r w:rsidRPr="0010254B">
        <w:rPr>
          <w:sz w:val="24"/>
          <w:szCs w:val="24"/>
          <w:u w:val="single"/>
        </w:rPr>
        <w:t>-) cell for positive control.</w:t>
      </w:r>
    </w:p>
    <w:p w:rsidR="00A84C22" w:rsidRPr="0010254B" w:rsidRDefault="00A84C22" w:rsidP="00A84C22">
      <w:pPr>
        <w:pStyle w:val="ListParagraph"/>
        <w:numPr>
          <w:ilvl w:val="2"/>
          <w:numId w:val="1"/>
        </w:numPr>
        <w:tabs>
          <w:tab w:val="left" w:pos="1170"/>
          <w:tab w:val="left" w:pos="1260"/>
        </w:tabs>
        <w:spacing w:line="240" w:lineRule="auto"/>
        <w:rPr>
          <w:sz w:val="24"/>
          <w:szCs w:val="24"/>
        </w:rPr>
      </w:pPr>
      <w:r w:rsidRPr="0010254B">
        <w:rPr>
          <w:sz w:val="24"/>
          <w:szCs w:val="24"/>
        </w:rPr>
        <w:t>E.g.  anti-</w:t>
      </w:r>
      <w:proofErr w:type="spellStart"/>
      <w:r w:rsidRPr="0010254B">
        <w:rPr>
          <w:sz w:val="24"/>
          <w:szCs w:val="24"/>
        </w:rPr>
        <w:t>Jk</w:t>
      </w:r>
      <w:r w:rsidRPr="0010254B">
        <w:rPr>
          <w:sz w:val="24"/>
          <w:szCs w:val="24"/>
          <w:vertAlign w:val="superscript"/>
        </w:rPr>
        <w:t>a</w:t>
      </w:r>
      <w:proofErr w:type="spellEnd"/>
      <w:r w:rsidRPr="0010254B">
        <w:rPr>
          <w:sz w:val="24"/>
          <w:szCs w:val="24"/>
        </w:rPr>
        <w:t xml:space="preserve"> would require cell that is </w:t>
      </w:r>
      <w:proofErr w:type="spellStart"/>
      <w:r w:rsidRPr="0010254B">
        <w:rPr>
          <w:sz w:val="24"/>
          <w:szCs w:val="24"/>
        </w:rPr>
        <w:t>Jk</w:t>
      </w:r>
      <w:proofErr w:type="spellEnd"/>
      <w:r w:rsidRPr="0010254B">
        <w:rPr>
          <w:sz w:val="24"/>
          <w:szCs w:val="24"/>
        </w:rPr>
        <w:t>(</w:t>
      </w:r>
      <w:proofErr w:type="spellStart"/>
      <w:r w:rsidRPr="0010254B">
        <w:rPr>
          <w:sz w:val="24"/>
          <w:szCs w:val="24"/>
        </w:rPr>
        <w:t>a+b</w:t>
      </w:r>
      <w:proofErr w:type="spellEnd"/>
      <w:r w:rsidRPr="0010254B">
        <w:rPr>
          <w:sz w:val="24"/>
          <w:szCs w:val="24"/>
        </w:rPr>
        <w:t xml:space="preserve">+)  </w:t>
      </w:r>
    </w:p>
    <w:p w:rsidR="009A13CB" w:rsidRPr="0010254B" w:rsidRDefault="00A84C22" w:rsidP="009A13CB">
      <w:pPr>
        <w:pStyle w:val="ListParagraph"/>
        <w:numPr>
          <w:ilvl w:val="1"/>
          <w:numId w:val="1"/>
        </w:numPr>
        <w:tabs>
          <w:tab w:val="left" w:pos="1170"/>
          <w:tab w:val="left" w:pos="1260"/>
        </w:tabs>
        <w:spacing w:line="240" w:lineRule="auto"/>
        <w:rPr>
          <w:sz w:val="24"/>
          <w:szCs w:val="24"/>
        </w:rPr>
      </w:pPr>
      <w:r w:rsidRPr="0010254B">
        <w:rPr>
          <w:sz w:val="24"/>
          <w:szCs w:val="24"/>
        </w:rPr>
        <w:t>Make sure that negative control is negative for antigen</w:t>
      </w:r>
      <w:r w:rsidR="009A13CB" w:rsidRPr="0010254B">
        <w:rPr>
          <w:sz w:val="24"/>
          <w:szCs w:val="24"/>
        </w:rPr>
        <w:t>.</w:t>
      </w:r>
    </w:p>
    <w:p w:rsidR="00A84C22" w:rsidRPr="0010254B" w:rsidRDefault="009A13CB" w:rsidP="009A13CB">
      <w:pPr>
        <w:pStyle w:val="ListParagraph"/>
        <w:numPr>
          <w:ilvl w:val="0"/>
          <w:numId w:val="1"/>
        </w:numPr>
        <w:tabs>
          <w:tab w:val="left" w:pos="1170"/>
          <w:tab w:val="left" w:pos="1260"/>
        </w:tabs>
        <w:spacing w:line="240" w:lineRule="auto"/>
        <w:rPr>
          <w:sz w:val="24"/>
          <w:szCs w:val="24"/>
        </w:rPr>
      </w:pPr>
      <w:r w:rsidRPr="0010254B">
        <w:rPr>
          <w:sz w:val="24"/>
          <w:szCs w:val="24"/>
        </w:rPr>
        <w:t>QC of any reagent antisera needs to only be performed once per day.</w:t>
      </w:r>
    </w:p>
    <w:p w:rsidR="009A13CB" w:rsidRPr="0010254B" w:rsidRDefault="009A13CB" w:rsidP="009A13CB">
      <w:pPr>
        <w:pStyle w:val="ListParagraph"/>
        <w:numPr>
          <w:ilvl w:val="1"/>
          <w:numId w:val="1"/>
        </w:numPr>
        <w:tabs>
          <w:tab w:val="left" w:pos="1170"/>
          <w:tab w:val="left" w:pos="1260"/>
        </w:tabs>
        <w:spacing w:line="240" w:lineRule="auto"/>
        <w:rPr>
          <w:sz w:val="24"/>
          <w:szCs w:val="24"/>
        </w:rPr>
      </w:pPr>
      <w:r w:rsidRPr="0010254B">
        <w:rPr>
          <w:sz w:val="24"/>
          <w:szCs w:val="24"/>
        </w:rPr>
        <w:lastRenderedPageBreak/>
        <w:t xml:space="preserve">This must be recorded in </w:t>
      </w:r>
      <w:proofErr w:type="spellStart"/>
      <w:r w:rsidRPr="0010254B">
        <w:rPr>
          <w:sz w:val="24"/>
          <w:szCs w:val="24"/>
        </w:rPr>
        <w:t>MCare</w:t>
      </w:r>
      <w:proofErr w:type="spellEnd"/>
      <w:r w:rsidRPr="0010254B">
        <w:rPr>
          <w:sz w:val="24"/>
          <w:szCs w:val="24"/>
        </w:rPr>
        <w:t xml:space="preserve"> using the QC template attached in a comment to the antigen typing on one of the units typed.  See picture below:</w:t>
      </w:r>
    </w:p>
    <w:p w:rsidR="009A13CB" w:rsidRPr="0010254B" w:rsidRDefault="009A13CB" w:rsidP="009A13CB">
      <w:pPr>
        <w:tabs>
          <w:tab w:val="left" w:pos="1170"/>
          <w:tab w:val="left" w:pos="1260"/>
        </w:tabs>
        <w:spacing w:line="240" w:lineRule="auto"/>
        <w:rPr>
          <w:sz w:val="24"/>
          <w:szCs w:val="24"/>
        </w:rPr>
      </w:pPr>
      <w:r w:rsidRPr="0010254B">
        <w:rPr>
          <w:noProof/>
          <w:sz w:val="24"/>
          <w:szCs w:val="24"/>
        </w:rPr>
        <w:drawing>
          <wp:inline distT="0" distB="0" distL="0" distR="0" wp14:anchorId="579E7606" wp14:editId="7522AE6D">
            <wp:extent cx="7162252" cy="2552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177889" cy="2558273"/>
                    </a:xfrm>
                    <a:prstGeom prst="rect">
                      <a:avLst/>
                    </a:prstGeom>
                  </pic:spPr>
                </pic:pic>
              </a:graphicData>
            </a:graphic>
          </wp:inline>
        </w:drawing>
      </w:r>
    </w:p>
    <w:p w:rsidR="009A13CB" w:rsidRPr="0010254B" w:rsidRDefault="009A13CB" w:rsidP="009A13CB">
      <w:pPr>
        <w:pStyle w:val="ListParagraph"/>
        <w:numPr>
          <w:ilvl w:val="1"/>
          <w:numId w:val="1"/>
        </w:numPr>
        <w:tabs>
          <w:tab w:val="left" w:pos="1170"/>
          <w:tab w:val="left" w:pos="1260"/>
        </w:tabs>
        <w:spacing w:line="240" w:lineRule="auto"/>
        <w:rPr>
          <w:sz w:val="24"/>
          <w:szCs w:val="24"/>
        </w:rPr>
      </w:pPr>
      <w:r w:rsidRPr="0010254B">
        <w:rPr>
          <w:sz w:val="24"/>
          <w:szCs w:val="24"/>
        </w:rPr>
        <w:t xml:space="preserve">Subsequent </w:t>
      </w:r>
      <w:proofErr w:type="spellStart"/>
      <w:r w:rsidRPr="0010254B">
        <w:rPr>
          <w:sz w:val="24"/>
          <w:szCs w:val="24"/>
        </w:rPr>
        <w:t>typings</w:t>
      </w:r>
      <w:proofErr w:type="spellEnd"/>
      <w:r w:rsidRPr="0010254B">
        <w:rPr>
          <w:sz w:val="24"/>
          <w:szCs w:val="24"/>
        </w:rPr>
        <w:t xml:space="preserve"> or concurrent </w:t>
      </w:r>
      <w:proofErr w:type="spellStart"/>
      <w:r w:rsidRPr="0010254B">
        <w:rPr>
          <w:sz w:val="24"/>
          <w:szCs w:val="24"/>
        </w:rPr>
        <w:t>typings</w:t>
      </w:r>
      <w:proofErr w:type="spellEnd"/>
      <w:r w:rsidRPr="0010254B">
        <w:rPr>
          <w:sz w:val="24"/>
          <w:szCs w:val="24"/>
        </w:rPr>
        <w:t xml:space="preserve"> only need the “QC not performed” template attached in a comment to the antigen typing to EACH additional unit in a 24 hour period.  See below.</w:t>
      </w:r>
    </w:p>
    <w:p w:rsidR="009A13CB" w:rsidRPr="0010254B" w:rsidRDefault="009A13CB" w:rsidP="009A13CB">
      <w:pPr>
        <w:tabs>
          <w:tab w:val="left" w:pos="1170"/>
          <w:tab w:val="left" w:pos="1260"/>
        </w:tabs>
        <w:spacing w:line="240" w:lineRule="auto"/>
        <w:ind w:left="360"/>
        <w:rPr>
          <w:sz w:val="24"/>
          <w:szCs w:val="24"/>
        </w:rPr>
      </w:pPr>
      <w:r w:rsidRPr="0010254B">
        <w:rPr>
          <w:noProof/>
          <w:sz w:val="24"/>
          <w:szCs w:val="24"/>
        </w:rPr>
        <w:drawing>
          <wp:inline distT="0" distB="0" distL="0" distR="0" wp14:anchorId="4E8A7B2A" wp14:editId="31A3E5EE">
            <wp:extent cx="6399944" cy="2190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99944" cy="2190750"/>
                    </a:xfrm>
                    <a:prstGeom prst="rect">
                      <a:avLst/>
                    </a:prstGeom>
                  </pic:spPr>
                </pic:pic>
              </a:graphicData>
            </a:graphic>
          </wp:inline>
        </w:drawing>
      </w:r>
    </w:p>
    <w:p w:rsidR="009A13CB" w:rsidRPr="0010254B" w:rsidRDefault="009A13CB" w:rsidP="009A13CB">
      <w:pPr>
        <w:pStyle w:val="ListParagraph"/>
        <w:numPr>
          <w:ilvl w:val="1"/>
          <w:numId w:val="1"/>
        </w:numPr>
        <w:tabs>
          <w:tab w:val="left" w:pos="1170"/>
          <w:tab w:val="left" w:pos="1260"/>
        </w:tabs>
        <w:spacing w:line="240" w:lineRule="auto"/>
        <w:rPr>
          <w:sz w:val="24"/>
          <w:szCs w:val="24"/>
        </w:rPr>
      </w:pPr>
      <w:r w:rsidRPr="0010254B">
        <w:rPr>
          <w:sz w:val="24"/>
          <w:szCs w:val="24"/>
        </w:rPr>
        <w:t>QC needs to be verified before testing is performed or it needs to be repeated.</w:t>
      </w:r>
    </w:p>
    <w:p w:rsidR="009A13CB" w:rsidRPr="0010254B" w:rsidRDefault="001B61FC" w:rsidP="009A13CB">
      <w:pPr>
        <w:pStyle w:val="ListParagraph"/>
        <w:numPr>
          <w:ilvl w:val="0"/>
          <w:numId w:val="1"/>
        </w:numPr>
        <w:tabs>
          <w:tab w:val="left" w:pos="1170"/>
          <w:tab w:val="left" w:pos="1260"/>
        </w:tabs>
        <w:spacing w:line="240" w:lineRule="auto"/>
        <w:rPr>
          <w:sz w:val="24"/>
          <w:szCs w:val="24"/>
        </w:rPr>
      </w:pPr>
      <w:r w:rsidRPr="0010254B">
        <w:rPr>
          <w:sz w:val="24"/>
          <w:szCs w:val="24"/>
        </w:rPr>
        <w:t>Use/phase of testing of any antisera MUST follow package insert.</w:t>
      </w:r>
    </w:p>
    <w:p w:rsidR="001B61FC" w:rsidRDefault="001B61FC" w:rsidP="001B61FC">
      <w:pPr>
        <w:pStyle w:val="ListParagraph"/>
        <w:numPr>
          <w:ilvl w:val="1"/>
          <w:numId w:val="1"/>
        </w:numPr>
        <w:tabs>
          <w:tab w:val="left" w:pos="1170"/>
          <w:tab w:val="left" w:pos="1260"/>
        </w:tabs>
        <w:spacing w:line="240" w:lineRule="auto"/>
        <w:rPr>
          <w:sz w:val="24"/>
          <w:szCs w:val="24"/>
        </w:rPr>
      </w:pPr>
      <w:r w:rsidRPr="0010254B">
        <w:rPr>
          <w:sz w:val="24"/>
          <w:szCs w:val="24"/>
        </w:rPr>
        <w:t>E.g.  Anti-C requires testing at IS and then a 15 minute incubation at RT and then to read it again.  Both phases must be completed and recorded as acceptable for valid QC.</w:t>
      </w:r>
    </w:p>
    <w:p w:rsidR="001F2EBA" w:rsidRDefault="001F2EBA" w:rsidP="001F2EBA">
      <w:pPr>
        <w:pStyle w:val="ListParagraph"/>
        <w:numPr>
          <w:ilvl w:val="0"/>
          <w:numId w:val="1"/>
        </w:numPr>
        <w:tabs>
          <w:tab w:val="left" w:pos="1170"/>
          <w:tab w:val="left" w:pos="1260"/>
        </w:tabs>
        <w:spacing w:line="240" w:lineRule="auto"/>
        <w:rPr>
          <w:sz w:val="24"/>
          <w:szCs w:val="24"/>
        </w:rPr>
      </w:pPr>
      <w:r>
        <w:rPr>
          <w:sz w:val="24"/>
          <w:szCs w:val="24"/>
        </w:rPr>
        <w:t>Here is the CAP standard and its note about antisera.</w:t>
      </w:r>
    </w:p>
    <w:p w:rsidR="001F2EBA" w:rsidRPr="001F2EBA" w:rsidRDefault="001F2EBA" w:rsidP="001F2EBA">
      <w:pPr>
        <w:pStyle w:val="ListParagraph"/>
        <w:numPr>
          <w:ilvl w:val="1"/>
          <w:numId w:val="1"/>
        </w:numPr>
        <w:tabs>
          <w:tab w:val="left" w:pos="1170"/>
          <w:tab w:val="left" w:pos="1260"/>
        </w:tabs>
        <w:spacing w:line="240" w:lineRule="auto"/>
        <w:rPr>
          <w:sz w:val="24"/>
          <w:szCs w:val="24"/>
        </w:rPr>
      </w:pPr>
      <w:r>
        <w:rPr>
          <w:rFonts w:ascii="Times New Roman" w:hAnsi="Times New Roman" w:cs="Times New Roman"/>
          <w:b/>
          <w:bCs/>
          <w:sz w:val="24"/>
          <w:szCs w:val="24"/>
        </w:rPr>
        <w:t>TRM.31250</w:t>
      </w:r>
    </w:p>
    <w:p w:rsidR="001F2EBA" w:rsidRPr="001F2EBA" w:rsidRDefault="001F2EBA" w:rsidP="001F2EBA">
      <w:pPr>
        <w:pStyle w:val="ListParagraph"/>
        <w:autoSpaceDE w:val="0"/>
        <w:autoSpaceDN w:val="0"/>
        <w:adjustRightInd w:val="0"/>
        <w:spacing w:after="0" w:line="240" w:lineRule="auto"/>
        <w:ind w:left="360"/>
        <w:rPr>
          <w:rFonts w:ascii="Times New Roman" w:hAnsi="Times New Roman" w:cs="Times New Roman"/>
          <w:b/>
          <w:bCs/>
          <w:sz w:val="24"/>
          <w:szCs w:val="24"/>
        </w:rPr>
      </w:pPr>
      <w:r w:rsidRPr="001F2EBA">
        <w:rPr>
          <w:rFonts w:ascii="Times New Roman" w:hAnsi="Times New Roman" w:cs="Times New Roman"/>
          <w:b/>
          <w:bCs/>
          <w:sz w:val="24"/>
          <w:szCs w:val="24"/>
        </w:rPr>
        <w:t>Are all reagents used within their indicated expiration date?</w:t>
      </w:r>
    </w:p>
    <w:p w:rsidR="001F2EBA" w:rsidRPr="001F2EBA" w:rsidRDefault="001F2EBA" w:rsidP="001F2EBA">
      <w:pPr>
        <w:pStyle w:val="ListParagraph"/>
        <w:autoSpaceDE w:val="0"/>
        <w:autoSpaceDN w:val="0"/>
        <w:adjustRightInd w:val="0"/>
        <w:spacing w:after="0" w:line="240" w:lineRule="auto"/>
        <w:ind w:left="360"/>
        <w:rPr>
          <w:rFonts w:ascii="TimesNewRomanPS-ItalicMT" w:hAnsi="TimesNewRomanPS-ItalicMT" w:cs="TimesNewRomanPS-ItalicMT"/>
          <w:i/>
          <w:iCs/>
          <w:sz w:val="24"/>
          <w:szCs w:val="24"/>
        </w:rPr>
      </w:pPr>
      <w:r w:rsidRPr="001F2EBA">
        <w:rPr>
          <w:rFonts w:ascii="TimesNewRomanPS-ItalicMT" w:hAnsi="TimesNewRomanPS-ItalicMT" w:cs="TimesNewRomanPS-ItalicMT"/>
          <w:i/>
          <w:iCs/>
          <w:sz w:val="24"/>
          <w:szCs w:val="24"/>
        </w:rPr>
        <w:t>NOTE: Rare reagents may be used beyond their expiration date if appropriate positive and negative</w:t>
      </w:r>
    </w:p>
    <w:p w:rsidR="001F2EBA" w:rsidRPr="001F2EBA" w:rsidRDefault="001F2EBA" w:rsidP="001F2EBA">
      <w:pPr>
        <w:pStyle w:val="ListParagraph"/>
        <w:autoSpaceDE w:val="0"/>
        <w:autoSpaceDN w:val="0"/>
        <w:adjustRightInd w:val="0"/>
        <w:spacing w:after="0" w:line="240" w:lineRule="auto"/>
        <w:ind w:left="360"/>
        <w:rPr>
          <w:rFonts w:ascii="TimesNewRomanPS-ItalicMT" w:hAnsi="TimesNewRomanPS-ItalicMT" w:cs="TimesNewRomanPS-ItalicMT"/>
          <w:i/>
          <w:iCs/>
          <w:sz w:val="24"/>
          <w:szCs w:val="24"/>
        </w:rPr>
      </w:pPr>
      <w:proofErr w:type="gramStart"/>
      <w:r w:rsidRPr="001F2EBA">
        <w:rPr>
          <w:rFonts w:ascii="TimesNewRomanPS-ItalicMT" w:hAnsi="TimesNewRomanPS-ItalicMT" w:cs="TimesNewRomanPS-ItalicMT"/>
          <w:i/>
          <w:iCs/>
          <w:sz w:val="24"/>
          <w:szCs w:val="24"/>
        </w:rPr>
        <w:t>controls</w:t>
      </w:r>
      <w:proofErr w:type="gramEnd"/>
      <w:r w:rsidRPr="001F2EBA">
        <w:rPr>
          <w:rFonts w:ascii="TimesNewRomanPS-ItalicMT" w:hAnsi="TimesNewRomanPS-ItalicMT" w:cs="TimesNewRomanPS-ItalicMT"/>
          <w:i/>
          <w:iCs/>
          <w:sz w:val="24"/>
          <w:szCs w:val="24"/>
        </w:rPr>
        <w:t xml:space="preserve"> are run each day of use and react as expected. This exception is permitted by the FDA. This</w:t>
      </w:r>
    </w:p>
    <w:p w:rsidR="001F2EBA" w:rsidRPr="001F2EBA" w:rsidRDefault="001F2EBA" w:rsidP="001F2EBA">
      <w:pPr>
        <w:pStyle w:val="ListParagraph"/>
        <w:autoSpaceDE w:val="0"/>
        <w:autoSpaceDN w:val="0"/>
        <w:adjustRightInd w:val="0"/>
        <w:spacing w:after="0" w:line="240" w:lineRule="auto"/>
        <w:ind w:left="360"/>
        <w:rPr>
          <w:rFonts w:ascii="TimesNewRomanPS-ItalicMT" w:hAnsi="TimesNewRomanPS-ItalicMT" w:cs="TimesNewRomanPS-ItalicMT"/>
          <w:i/>
          <w:iCs/>
          <w:sz w:val="24"/>
          <w:szCs w:val="24"/>
        </w:rPr>
      </w:pPr>
      <w:proofErr w:type="gramStart"/>
      <w:r w:rsidRPr="001F2EBA">
        <w:rPr>
          <w:rFonts w:ascii="TimesNewRomanPS-ItalicMT" w:hAnsi="TimesNewRomanPS-ItalicMT" w:cs="TimesNewRomanPS-ItalicMT"/>
          <w:i/>
          <w:iCs/>
          <w:sz w:val="24"/>
          <w:szCs w:val="24"/>
        </w:rPr>
        <w:t>does</w:t>
      </w:r>
      <w:proofErr w:type="gramEnd"/>
      <w:r w:rsidRPr="001F2EBA">
        <w:rPr>
          <w:rFonts w:ascii="TimesNewRomanPS-ItalicMT" w:hAnsi="TimesNewRomanPS-ItalicMT" w:cs="TimesNewRomanPS-ItalicMT"/>
          <w:i/>
          <w:iCs/>
          <w:sz w:val="24"/>
          <w:szCs w:val="24"/>
        </w:rPr>
        <w:t xml:space="preserve"> NOT apply to reagents that are readily available. The laboratory should establish criteria</w:t>
      </w:r>
    </w:p>
    <w:p w:rsidR="001F2EBA" w:rsidRPr="0010254B" w:rsidRDefault="001F2EBA" w:rsidP="001F2EBA">
      <w:pPr>
        <w:pStyle w:val="ListParagraph"/>
        <w:tabs>
          <w:tab w:val="left" w:pos="1170"/>
          <w:tab w:val="left" w:pos="1260"/>
        </w:tabs>
        <w:spacing w:line="240" w:lineRule="auto"/>
        <w:ind w:left="360"/>
        <w:rPr>
          <w:sz w:val="24"/>
          <w:szCs w:val="24"/>
        </w:rPr>
      </w:pPr>
      <w:proofErr w:type="gramStart"/>
      <w:r>
        <w:rPr>
          <w:rFonts w:ascii="TimesNewRomanPS-ItalicMT" w:hAnsi="TimesNewRomanPS-ItalicMT" w:cs="TimesNewRomanPS-ItalicMT"/>
          <w:i/>
          <w:iCs/>
          <w:sz w:val="24"/>
          <w:szCs w:val="24"/>
        </w:rPr>
        <w:t>defining</w:t>
      </w:r>
      <w:proofErr w:type="gramEnd"/>
      <w:r>
        <w:rPr>
          <w:rFonts w:ascii="TimesNewRomanPS-ItalicMT" w:hAnsi="TimesNewRomanPS-ItalicMT" w:cs="TimesNewRomanPS-ItalicMT"/>
          <w:i/>
          <w:iCs/>
          <w:sz w:val="24"/>
          <w:szCs w:val="24"/>
        </w:rPr>
        <w:t xml:space="preserve"> which reagents are considered “rare.”</w:t>
      </w:r>
    </w:p>
    <w:p w:rsidR="001B61FC" w:rsidRDefault="001B61FC" w:rsidP="001B61FC">
      <w:pPr>
        <w:pStyle w:val="ListParagraph"/>
        <w:numPr>
          <w:ilvl w:val="0"/>
          <w:numId w:val="1"/>
        </w:numPr>
        <w:tabs>
          <w:tab w:val="left" w:pos="1170"/>
          <w:tab w:val="left" w:pos="1260"/>
        </w:tabs>
        <w:spacing w:line="240" w:lineRule="auto"/>
        <w:rPr>
          <w:sz w:val="24"/>
          <w:szCs w:val="24"/>
        </w:rPr>
      </w:pPr>
      <w:r w:rsidRPr="0010254B">
        <w:rPr>
          <w:sz w:val="24"/>
          <w:szCs w:val="24"/>
        </w:rPr>
        <w:t>Please see attached page for useful things to know before screening for antigen negative units.</w:t>
      </w:r>
    </w:p>
    <w:p w:rsidR="001F2EBA" w:rsidRPr="001F2EBA" w:rsidRDefault="001F2EBA" w:rsidP="001F2EBA">
      <w:pPr>
        <w:tabs>
          <w:tab w:val="left" w:pos="1170"/>
          <w:tab w:val="left" w:pos="1260"/>
        </w:tabs>
        <w:spacing w:line="240" w:lineRule="auto"/>
        <w:rPr>
          <w:sz w:val="24"/>
          <w:szCs w:val="24"/>
        </w:rPr>
      </w:pPr>
      <w:bookmarkStart w:id="0" w:name="_GoBack"/>
      <w:bookmarkEnd w:id="0"/>
    </w:p>
    <w:p w:rsidR="001B61FC" w:rsidRDefault="001B61FC" w:rsidP="001B61FC">
      <w:pPr>
        <w:tabs>
          <w:tab w:val="left" w:pos="1170"/>
          <w:tab w:val="left" w:pos="1260"/>
        </w:tabs>
        <w:spacing w:line="240" w:lineRule="auto"/>
      </w:pPr>
    </w:p>
    <w:tbl>
      <w:tblPr>
        <w:tblW w:w="9860" w:type="dxa"/>
        <w:tblInd w:w="93" w:type="dxa"/>
        <w:tblLook w:val="04A0" w:firstRow="1" w:lastRow="0" w:firstColumn="1" w:lastColumn="0" w:noHBand="0" w:noVBand="1"/>
      </w:tblPr>
      <w:tblGrid>
        <w:gridCol w:w="931"/>
        <w:gridCol w:w="1545"/>
        <w:gridCol w:w="916"/>
        <w:gridCol w:w="2140"/>
        <w:gridCol w:w="1220"/>
        <w:gridCol w:w="1246"/>
        <w:gridCol w:w="1960"/>
      </w:tblGrid>
      <w:tr w:rsidR="00A2194B" w:rsidRPr="00A2194B" w:rsidTr="00A2194B">
        <w:trPr>
          <w:trHeight w:val="435"/>
        </w:trPr>
        <w:tc>
          <w:tcPr>
            <w:tcW w:w="3300" w:type="dxa"/>
            <w:gridSpan w:val="3"/>
            <w:tcBorders>
              <w:top w:val="nil"/>
              <w:left w:val="nil"/>
              <w:bottom w:val="single" w:sz="8" w:space="0" w:color="auto"/>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b/>
                <w:bCs/>
                <w:color w:val="000000"/>
                <w:sz w:val="32"/>
                <w:szCs w:val="32"/>
              </w:rPr>
            </w:pPr>
            <w:r w:rsidRPr="00A2194B">
              <w:rPr>
                <w:rFonts w:ascii="Calibri" w:eastAsia="Times New Roman" w:hAnsi="Calibri" w:cs="Times New Roman"/>
                <w:b/>
                <w:bCs/>
                <w:color w:val="000000"/>
                <w:sz w:val="32"/>
                <w:szCs w:val="32"/>
              </w:rPr>
              <w:lastRenderedPageBreak/>
              <w:t>Useful Things to know</w:t>
            </w: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844"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545"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1605"/>
        </w:trPr>
        <w:tc>
          <w:tcPr>
            <w:tcW w:w="844" w:type="dxa"/>
            <w:tcBorders>
              <w:top w:val="nil"/>
              <w:left w:val="single" w:sz="4" w:space="0" w:color="auto"/>
              <w:bottom w:val="single" w:sz="8"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Antigen</w:t>
            </w:r>
          </w:p>
        </w:tc>
        <w:tc>
          <w:tcPr>
            <w:tcW w:w="1545"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Prevalence  (approximate negative)</w:t>
            </w:r>
          </w:p>
        </w:tc>
        <w:tc>
          <w:tcPr>
            <w:tcW w:w="911"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Should I screen?</w:t>
            </w:r>
          </w:p>
        </w:tc>
        <w:tc>
          <w:tcPr>
            <w:tcW w:w="2140" w:type="dxa"/>
            <w:tcBorders>
              <w:top w:val="nil"/>
              <w:left w:val="nil"/>
              <w:bottom w:val="single" w:sz="8"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What should I screen?</w:t>
            </w:r>
          </w:p>
        </w:tc>
        <w:tc>
          <w:tcPr>
            <w:tcW w:w="1220"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 xml:space="preserve">Do I need antigen </w:t>
            </w:r>
            <w:proofErr w:type="spellStart"/>
            <w:r w:rsidRPr="00A2194B">
              <w:rPr>
                <w:rFonts w:ascii="Calibri" w:eastAsia="Times New Roman" w:hAnsi="Calibri" w:cs="Times New Roman"/>
                <w:b/>
                <w:bCs/>
                <w:color w:val="000000"/>
              </w:rPr>
              <w:t>neg</w:t>
            </w:r>
            <w:proofErr w:type="spellEnd"/>
            <w:r w:rsidRPr="00A2194B">
              <w:rPr>
                <w:rFonts w:ascii="Calibri" w:eastAsia="Times New Roman" w:hAnsi="Calibri" w:cs="Times New Roman"/>
                <w:b/>
                <w:bCs/>
                <w:color w:val="000000"/>
              </w:rPr>
              <w:t xml:space="preserve"> units?</w:t>
            </w:r>
          </w:p>
        </w:tc>
        <w:tc>
          <w:tcPr>
            <w:tcW w:w="1240"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Can I do XM compatible without antigen negative?</w:t>
            </w:r>
          </w:p>
        </w:tc>
        <w:tc>
          <w:tcPr>
            <w:tcW w:w="1960"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Comments</w:t>
            </w:r>
          </w:p>
        </w:tc>
      </w:tr>
      <w:tr w:rsidR="00A2194B" w:rsidRPr="00A2194B" w:rsidTr="00A2194B">
        <w:trPr>
          <w:trHeight w:val="66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C</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units</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Higher %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in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and AA* donors</w:t>
            </w:r>
          </w:p>
        </w:tc>
      </w:tr>
      <w:tr w:rsidR="00A2194B" w:rsidRPr="00A2194B" w:rsidTr="00A2194B">
        <w:trPr>
          <w:trHeight w:val="79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E</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70%</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Higher %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in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and AA* donors</w:t>
            </w:r>
          </w:p>
        </w:tc>
      </w:tr>
      <w:tr w:rsidR="00A2194B" w:rsidRPr="00A2194B" w:rsidTr="00A2194B">
        <w:trPr>
          <w:trHeight w:val="3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c</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3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e</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w:t>
            </w:r>
          </w:p>
        </w:tc>
        <w:tc>
          <w:tcPr>
            <w:tcW w:w="911"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12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Cw</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98%</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If reacting &lt;1+</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Low incidence antigen, make sure antibody is reacting 1+ or greater.</w:t>
            </w:r>
          </w:p>
        </w:tc>
      </w:tr>
      <w:tr w:rsidR="00A2194B" w:rsidRPr="00A2194B" w:rsidTr="00A2194B">
        <w:trPr>
          <w:trHeight w:val="12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V</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99%</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Any</w:t>
            </w:r>
          </w:p>
        </w:tc>
        <w:tc>
          <w:tcPr>
            <w:tcW w:w="122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If reacting &lt;1+</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Low incidence antigen, make sure antibody is reacting 1+ or greater.</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K</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91%</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70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Fy</w:t>
            </w:r>
            <w:r w:rsidRPr="00A2194B">
              <w:rPr>
                <w:rFonts w:ascii="Calibri" w:eastAsia="Times New Roman" w:hAnsi="Calibri" w:cs="Times New Roman"/>
                <w:color w:val="000000"/>
                <w:vertAlign w:val="superscript"/>
              </w:rPr>
              <w:t>a</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35%</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 Rh </w:t>
            </w:r>
            <w:proofErr w:type="spellStart"/>
            <w:r w:rsidRPr="00A2194B">
              <w:rPr>
                <w:rFonts w:ascii="Calibri" w:eastAsia="Times New Roman" w:hAnsi="Calibri" w:cs="Times New Roman"/>
                <w:color w:val="000000"/>
              </w:rPr>
              <w:t>pos</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donors are mostly </w:t>
            </w:r>
            <w:proofErr w:type="spellStart"/>
            <w:r w:rsidRPr="00A2194B">
              <w:rPr>
                <w:rFonts w:ascii="Calibri" w:eastAsia="Times New Roman" w:hAnsi="Calibri" w:cs="Times New Roman"/>
                <w:color w:val="000000"/>
              </w:rPr>
              <w:t>Fy</w:t>
            </w:r>
            <w:proofErr w:type="spellEnd"/>
            <w:r w:rsidRPr="00A2194B">
              <w:rPr>
                <w:rFonts w:ascii="Calibri" w:eastAsia="Times New Roman" w:hAnsi="Calibri" w:cs="Times New Roman"/>
                <w:color w:val="000000"/>
              </w:rPr>
              <w:t>(a-b-)</w:t>
            </w:r>
          </w:p>
        </w:tc>
      </w:tr>
      <w:tr w:rsidR="00A2194B" w:rsidRPr="00A2194B" w:rsidTr="00A2194B">
        <w:trPr>
          <w:trHeight w:val="66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Fy</w:t>
            </w:r>
            <w:r w:rsidRPr="00A2194B">
              <w:rPr>
                <w:rFonts w:ascii="Calibri" w:eastAsia="Times New Roman" w:hAnsi="Calibri" w:cs="Times New Roman"/>
                <w:color w:val="000000"/>
                <w:vertAlign w:val="superscript"/>
              </w:rPr>
              <w:t>b</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15%</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donors are mostly </w:t>
            </w:r>
            <w:proofErr w:type="spellStart"/>
            <w:r w:rsidRPr="00A2194B">
              <w:rPr>
                <w:rFonts w:ascii="Calibri" w:eastAsia="Times New Roman" w:hAnsi="Calibri" w:cs="Times New Roman"/>
                <w:color w:val="000000"/>
              </w:rPr>
              <w:t>Fy</w:t>
            </w:r>
            <w:proofErr w:type="spellEnd"/>
            <w:r w:rsidRPr="00A2194B">
              <w:rPr>
                <w:rFonts w:ascii="Calibri" w:eastAsia="Times New Roman" w:hAnsi="Calibri" w:cs="Times New Roman"/>
                <w:color w:val="000000"/>
              </w:rPr>
              <w:t>(a-b-)</w:t>
            </w:r>
          </w:p>
        </w:tc>
      </w:tr>
      <w:tr w:rsidR="00A2194B" w:rsidRPr="00A2194B" w:rsidTr="00A2194B">
        <w:trPr>
          <w:trHeight w:val="34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Jk</w:t>
            </w:r>
            <w:r w:rsidRPr="00A2194B">
              <w:rPr>
                <w:rFonts w:ascii="Calibri" w:eastAsia="Times New Roman" w:hAnsi="Calibri" w:cs="Times New Roman"/>
                <w:color w:val="000000"/>
                <w:vertAlign w:val="superscript"/>
              </w:rPr>
              <w:t>a</w:t>
            </w:r>
            <w:proofErr w:type="spellEnd"/>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20%</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roofErr w:type="spellStart"/>
            <w:r w:rsidRPr="00A2194B">
              <w:rPr>
                <w:rFonts w:ascii="Calibri" w:eastAsia="Times New Roman" w:hAnsi="Calibri" w:cs="Times New Roman"/>
                <w:color w:val="000000"/>
              </w:rPr>
              <w:t>Cauc</w:t>
            </w:r>
            <w:proofErr w:type="spellEnd"/>
            <w:r w:rsidRPr="00A2194B">
              <w:rPr>
                <w:rFonts w:ascii="Calibri" w:eastAsia="Times New Roman" w:hAnsi="Calibri" w:cs="Times New Roman"/>
                <w:color w:val="000000"/>
              </w:rPr>
              <w:t xml:space="preserve"> donor/Rh any</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Jk</w:t>
            </w:r>
            <w:r w:rsidRPr="00A2194B">
              <w:rPr>
                <w:rFonts w:ascii="Calibri" w:eastAsia="Times New Roman" w:hAnsi="Calibri" w:cs="Times New Roman"/>
                <w:color w:val="000000"/>
                <w:vertAlign w:val="superscript"/>
              </w:rPr>
              <w:t>b</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25%</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donors are mostly </w:t>
            </w:r>
            <w:proofErr w:type="spellStart"/>
            <w:r w:rsidRPr="00A2194B">
              <w:rPr>
                <w:rFonts w:ascii="Calibri" w:eastAsia="Times New Roman" w:hAnsi="Calibri" w:cs="Times New Roman"/>
                <w:color w:val="000000"/>
              </w:rPr>
              <w:t>Jk</w:t>
            </w:r>
            <w:proofErr w:type="spellEnd"/>
            <w:r w:rsidRPr="00A2194B">
              <w:rPr>
                <w:rFonts w:ascii="Calibri" w:eastAsia="Times New Roman" w:hAnsi="Calibri" w:cs="Times New Roman"/>
                <w:color w:val="000000"/>
              </w:rPr>
              <w:t>(</w:t>
            </w:r>
            <w:proofErr w:type="spellStart"/>
            <w:r w:rsidRPr="00A2194B">
              <w:rPr>
                <w:rFonts w:ascii="Calibri" w:eastAsia="Times New Roman" w:hAnsi="Calibri" w:cs="Times New Roman"/>
                <w:color w:val="000000"/>
              </w:rPr>
              <w:t>a+b</w:t>
            </w:r>
            <w:proofErr w:type="spellEnd"/>
            <w:r w:rsidRPr="00A2194B">
              <w:rPr>
                <w:rFonts w:ascii="Calibri" w:eastAsia="Times New Roman" w:hAnsi="Calibri" w:cs="Times New Roman"/>
                <w:color w:val="000000"/>
              </w:rPr>
              <w:t>-)</w:t>
            </w:r>
          </w:p>
        </w:tc>
      </w:tr>
      <w:tr w:rsidR="00A2194B" w:rsidRPr="00A2194B" w:rsidTr="00A2194B">
        <w:trPr>
          <w:trHeight w:val="102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Le</w:t>
            </w:r>
            <w:r w:rsidRPr="00A2194B">
              <w:rPr>
                <w:rFonts w:ascii="Calibri" w:eastAsia="Times New Roman" w:hAnsi="Calibri" w:cs="Times New Roman"/>
                <w:color w:val="000000"/>
                <w:vertAlign w:val="superscript"/>
              </w:rPr>
              <w:t>a</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 Rh any</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Higher incidence of Le(a-b-) in AA* donors</w:t>
            </w:r>
          </w:p>
        </w:tc>
      </w:tr>
      <w:tr w:rsidR="00A2194B" w:rsidRPr="00A2194B" w:rsidTr="00A2194B">
        <w:trPr>
          <w:trHeight w:val="102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Le</w:t>
            </w:r>
            <w:r w:rsidRPr="00A2194B">
              <w:rPr>
                <w:rFonts w:ascii="Calibri" w:eastAsia="Times New Roman" w:hAnsi="Calibri" w:cs="Times New Roman"/>
                <w:color w:val="000000"/>
                <w:vertAlign w:val="superscript"/>
              </w:rPr>
              <w:t>b</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 Rh any</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Higher incidence of Le(a-b-) in AA* donors</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M</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35%</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3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N</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S</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45%</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donors are mostly S-s+</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lastRenderedPageBreak/>
              <w:t>s</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donors are mostly S-s+</w:t>
            </w:r>
          </w:p>
        </w:tc>
      </w:tr>
      <w:tr w:rsidR="00A2194B" w:rsidRPr="00A2194B" w:rsidTr="00A2194B">
        <w:trPr>
          <w:trHeight w:val="12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Lu</w:t>
            </w:r>
            <w:r w:rsidRPr="00A2194B">
              <w:rPr>
                <w:rFonts w:ascii="Calibri" w:eastAsia="Times New Roman" w:hAnsi="Calibri" w:cs="Times New Roman"/>
                <w:color w:val="000000"/>
                <w:vertAlign w:val="superscript"/>
              </w:rPr>
              <w:t>a</w:t>
            </w:r>
            <w:proofErr w:type="spellEnd"/>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98%</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Any</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Never get antigen negative units regardless of strength</w:t>
            </w:r>
          </w:p>
        </w:tc>
      </w:tr>
      <w:tr w:rsidR="00A2194B" w:rsidRPr="00A2194B" w:rsidTr="00A2194B">
        <w:trPr>
          <w:trHeight w:val="300"/>
        </w:trPr>
        <w:tc>
          <w:tcPr>
            <w:tcW w:w="844"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545"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2389" w:type="dxa"/>
            <w:gridSpan w:val="2"/>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*AA-African American</w:t>
            </w:r>
          </w:p>
        </w:tc>
        <w:tc>
          <w:tcPr>
            <w:tcW w:w="911"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5440" w:type="dxa"/>
            <w:gridSpan w:val="4"/>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**Only as long as we have in-date antisera</w:t>
            </w: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5440" w:type="dxa"/>
            <w:gridSpan w:val="4"/>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***Only if we have in-date antisera</w:t>
            </w: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bl>
    <w:p w:rsidR="001B61FC" w:rsidRDefault="001B61FC" w:rsidP="001B61FC">
      <w:pPr>
        <w:tabs>
          <w:tab w:val="left" w:pos="1170"/>
          <w:tab w:val="left" w:pos="1260"/>
        </w:tabs>
        <w:spacing w:line="240" w:lineRule="auto"/>
      </w:pPr>
    </w:p>
    <w:p w:rsidR="00A84C22" w:rsidRDefault="00A84C22" w:rsidP="00A84C22">
      <w:pPr>
        <w:tabs>
          <w:tab w:val="left" w:pos="1170"/>
          <w:tab w:val="left" w:pos="1260"/>
        </w:tabs>
        <w:spacing w:line="240" w:lineRule="auto"/>
      </w:pPr>
    </w:p>
    <w:sectPr w:rsidR="00A84C22" w:rsidSect="009A13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C7A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C1"/>
    <w:rsid w:val="0010254B"/>
    <w:rsid w:val="00106E1F"/>
    <w:rsid w:val="001858DE"/>
    <w:rsid w:val="001B61FC"/>
    <w:rsid w:val="001F2EBA"/>
    <w:rsid w:val="00964CC1"/>
    <w:rsid w:val="009A13CB"/>
    <w:rsid w:val="00A2194B"/>
    <w:rsid w:val="00A84C22"/>
    <w:rsid w:val="00D1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DE"/>
    <w:pPr>
      <w:ind w:left="720"/>
      <w:contextualSpacing/>
    </w:pPr>
  </w:style>
  <w:style w:type="paragraph" w:styleId="BalloonText">
    <w:name w:val="Balloon Text"/>
    <w:basedOn w:val="Normal"/>
    <w:link w:val="BalloonTextChar"/>
    <w:uiPriority w:val="99"/>
    <w:semiHidden/>
    <w:unhideWhenUsed/>
    <w:rsid w:val="009A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DE"/>
    <w:pPr>
      <w:ind w:left="720"/>
      <w:contextualSpacing/>
    </w:pPr>
  </w:style>
  <w:style w:type="paragraph" w:styleId="BalloonText">
    <w:name w:val="Balloon Text"/>
    <w:basedOn w:val="Normal"/>
    <w:link w:val="BalloonTextChar"/>
    <w:uiPriority w:val="99"/>
    <w:semiHidden/>
    <w:unhideWhenUsed/>
    <w:rsid w:val="009A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8690">
      <w:bodyDiv w:val="1"/>
      <w:marLeft w:val="0"/>
      <w:marRight w:val="0"/>
      <w:marTop w:val="0"/>
      <w:marBottom w:val="0"/>
      <w:divBdr>
        <w:top w:val="none" w:sz="0" w:space="0" w:color="auto"/>
        <w:left w:val="none" w:sz="0" w:space="0" w:color="auto"/>
        <w:bottom w:val="none" w:sz="0" w:space="0" w:color="auto"/>
        <w:right w:val="none" w:sz="0" w:space="0" w:color="auto"/>
      </w:divBdr>
    </w:div>
    <w:div w:id="7039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6992</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2</cp:revision>
  <dcterms:created xsi:type="dcterms:W3CDTF">2014-11-06T15:30:00Z</dcterms:created>
  <dcterms:modified xsi:type="dcterms:W3CDTF">2014-11-11T19:56:00Z</dcterms:modified>
</cp:coreProperties>
</file>