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6B" w:rsidRDefault="00FE55B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permStart w:id="186978524" w:edGrp="everyone"/>
      <w:permEnd w:id="186978524"/>
      <w:r>
        <w:rPr>
          <w:b/>
          <w:bCs/>
          <w:sz w:val="28"/>
          <w:szCs w:val="28"/>
        </w:rPr>
        <w:t>BBBP 7.0-</w:t>
      </w:r>
      <w:r w:rsidR="00945589">
        <w:rPr>
          <w:b/>
          <w:bCs/>
          <w:sz w:val="28"/>
          <w:szCs w:val="28"/>
        </w:rPr>
        <w:t>Assigning</w:t>
      </w:r>
      <w:r w:rsidR="00DA1FB4">
        <w:rPr>
          <w:b/>
          <w:bCs/>
          <w:sz w:val="28"/>
          <w:szCs w:val="28"/>
        </w:rPr>
        <w:t>/</w:t>
      </w:r>
      <w:proofErr w:type="spellStart"/>
      <w:r w:rsidR="00DA1FB4">
        <w:rPr>
          <w:b/>
          <w:bCs/>
          <w:sz w:val="28"/>
          <w:szCs w:val="28"/>
        </w:rPr>
        <w:t>Unassigning</w:t>
      </w:r>
      <w:proofErr w:type="spellEnd"/>
      <w:r w:rsidR="00945589">
        <w:rPr>
          <w:b/>
          <w:bCs/>
          <w:sz w:val="28"/>
          <w:szCs w:val="28"/>
        </w:rPr>
        <w:t xml:space="preserve"> Units to Specimens</w:t>
      </w:r>
    </w:p>
    <w:p w:rsidR="00945589" w:rsidRPr="00213BDB" w:rsidRDefault="00945589">
      <w:pPr>
        <w:jc w:val="center"/>
        <w:rPr>
          <w:b/>
          <w:bCs/>
          <w:sz w:val="28"/>
          <w:szCs w:val="28"/>
        </w:rPr>
      </w:pPr>
    </w:p>
    <w:p w:rsidR="00AA586B" w:rsidRPr="00FE55B5" w:rsidRDefault="00AA59F7">
      <w:pPr>
        <w:pStyle w:val="Subtitle"/>
        <w:numPr>
          <w:ilvl w:val="0"/>
          <w:numId w:val="1"/>
        </w:numPr>
      </w:pPr>
      <w:r w:rsidRPr="00FE55B5">
        <w:t>Principle</w:t>
      </w:r>
    </w:p>
    <w:p w:rsidR="00213BDB" w:rsidRPr="00FE55B5" w:rsidRDefault="00945589" w:rsidP="00213BDB">
      <w:pPr>
        <w:pStyle w:val="Subtitle"/>
        <w:ind w:left="1080"/>
        <w:rPr>
          <w:b w:val="0"/>
        </w:rPr>
      </w:pPr>
      <w:r w:rsidRPr="00FE55B5">
        <w:rPr>
          <w:b w:val="0"/>
        </w:rPr>
        <w:t xml:space="preserve">Non red blood cell products require no </w:t>
      </w:r>
      <w:proofErr w:type="spellStart"/>
      <w:r w:rsidRPr="00FE55B5">
        <w:rPr>
          <w:b w:val="0"/>
        </w:rPr>
        <w:t>crossmatching</w:t>
      </w:r>
      <w:proofErr w:type="spellEnd"/>
      <w:r w:rsidRPr="00FE55B5">
        <w:rPr>
          <w:b w:val="0"/>
        </w:rPr>
        <w:t xml:space="preserve"> prior to issue to the patient.  However, these products must be assigned to a specific patient in the hospital computer system.  This allows an issuing document to be printed and traceability of the product from receipt to final disposition.</w:t>
      </w:r>
      <w:r w:rsidR="00D6016F" w:rsidRPr="00FE55B5">
        <w:rPr>
          <w:b w:val="0"/>
        </w:rPr>
        <w:t xml:space="preserve">  Products may be unassigned to allow use </w:t>
      </w:r>
      <w:r w:rsidR="00BB2333" w:rsidRPr="00FE55B5">
        <w:rPr>
          <w:b w:val="0"/>
        </w:rPr>
        <w:t>for</w:t>
      </w:r>
      <w:r w:rsidR="00D6016F" w:rsidRPr="00FE55B5">
        <w:rPr>
          <w:b w:val="0"/>
        </w:rPr>
        <w:t xml:space="preserve"> additional patients.</w:t>
      </w:r>
    </w:p>
    <w:p w:rsidR="00945589" w:rsidRPr="00FE55B5" w:rsidRDefault="00945589" w:rsidP="00213BDB">
      <w:pPr>
        <w:pStyle w:val="Subtitle"/>
        <w:ind w:left="1080"/>
        <w:rPr>
          <w:b w:val="0"/>
        </w:rPr>
      </w:pPr>
    </w:p>
    <w:p w:rsidR="00AB33D7" w:rsidRPr="00FE55B5" w:rsidRDefault="00AB33D7">
      <w:pPr>
        <w:pStyle w:val="Heading1"/>
        <w:numPr>
          <w:ilvl w:val="0"/>
          <w:numId w:val="1"/>
        </w:numPr>
        <w:rPr>
          <w:bCs w:val="0"/>
        </w:rPr>
      </w:pPr>
      <w:r w:rsidRPr="00FE55B5">
        <w:rPr>
          <w:bCs w:val="0"/>
        </w:rPr>
        <w:t>General Policies</w:t>
      </w:r>
    </w:p>
    <w:p w:rsidR="00E3333F" w:rsidRDefault="005E56E9" w:rsidP="00FE55B5">
      <w:pPr>
        <w:pStyle w:val="ListParagraph"/>
        <w:numPr>
          <w:ilvl w:val="0"/>
          <w:numId w:val="24"/>
        </w:numPr>
      </w:pPr>
      <w:r w:rsidRPr="00FE55B5">
        <w:t xml:space="preserve">Patients must have an ABO/Rh </w:t>
      </w:r>
      <w:r w:rsidR="00FE55B5">
        <w:t>in previous 14 days to</w:t>
      </w:r>
      <w:r w:rsidRPr="00FE55B5">
        <w:t xml:space="preserve"> assign</w:t>
      </w:r>
      <w:r w:rsidR="00FE55B5">
        <w:t xml:space="preserve"> </w:t>
      </w:r>
      <w:r w:rsidRPr="00FE55B5">
        <w:t>non-red blood cell products.</w:t>
      </w:r>
    </w:p>
    <w:p w:rsidR="00FE55B5" w:rsidRPr="00FE55B5" w:rsidRDefault="00FE55B5" w:rsidP="00FE55B5">
      <w:pPr>
        <w:pStyle w:val="ListParagraph"/>
        <w:ind w:left="1440"/>
      </w:pPr>
    </w:p>
    <w:p w:rsidR="005E6449" w:rsidRPr="00FE55B5" w:rsidRDefault="005E6449">
      <w:pPr>
        <w:pStyle w:val="Heading1"/>
        <w:numPr>
          <w:ilvl w:val="0"/>
          <w:numId w:val="1"/>
        </w:numPr>
      </w:pPr>
      <w:r w:rsidRPr="00FE55B5">
        <w:t>Specimen Collection and Preparation</w:t>
      </w:r>
    </w:p>
    <w:p w:rsidR="00213BDB" w:rsidRPr="00FE55B5" w:rsidRDefault="00E3333F" w:rsidP="00E3333F">
      <w:pPr>
        <w:ind w:left="1080"/>
      </w:pPr>
      <w:r w:rsidRPr="00FE55B5">
        <w:t>N/A</w:t>
      </w:r>
    </w:p>
    <w:p w:rsidR="00E3333F" w:rsidRPr="00FE55B5" w:rsidRDefault="00E3333F" w:rsidP="00E3333F">
      <w:pPr>
        <w:ind w:left="1080"/>
      </w:pPr>
    </w:p>
    <w:p w:rsidR="00AA586B" w:rsidRPr="00FE55B5" w:rsidRDefault="00AA59F7">
      <w:pPr>
        <w:pStyle w:val="Heading1"/>
        <w:numPr>
          <w:ilvl w:val="0"/>
          <w:numId w:val="1"/>
        </w:numPr>
      </w:pPr>
      <w:r w:rsidRPr="00FE55B5">
        <w:t>Equipment</w:t>
      </w:r>
    </w:p>
    <w:p w:rsidR="00213BDB" w:rsidRPr="00FE55B5" w:rsidRDefault="00E3333F" w:rsidP="00E3333F">
      <w:pPr>
        <w:ind w:left="1080"/>
      </w:pPr>
      <w:r w:rsidRPr="00FE55B5">
        <w:t>N/A</w:t>
      </w:r>
    </w:p>
    <w:p w:rsidR="00E3333F" w:rsidRPr="00FE55B5" w:rsidRDefault="00E3333F" w:rsidP="00E3333F">
      <w:pPr>
        <w:ind w:left="1080"/>
      </w:pPr>
    </w:p>
    <w:p w:rsidR="00AA586B" w:rsidRPr="00FE55B5" w:rsidRDefault="00AA59F7">
      <w:pPr>
        <w:pStyle w:val="Heading1"/>
        <w:numPr>
          <w:ilvl w:val="0"/>
          <w:numId w:val="1"/>
        </w:numPr>
      </w:pPr>
      <w:r w:rsidRPr="00FE55B5">
        <w:t>Supplies</w:t>
      </w:r>
    </w:p>
    <w:p w:rsidR="00213BDB" w:rsidRPr="00FE55B5" w:rsidRDefault="00E3333F" w:rsidP="00E3333F">
      <w:pPr>
        <w:ind w:left="1080"/>
      </w:pPr>
      <w:r w:rsidRPr="00FE55B5">
        <w:t>N/A</w:t>
      </w:r>
    </w:p>
    <w:p w:rsidR="00E3333F" w:rsidRPr="00FE55B5" w:rsidRDefault="00E3333F" w:rsidP="00E3333F">
      <w:pPr>
        <w:ind w:left="1080"/>
      </w:pPr>
    </w:p>
    <w:p w:rsidR="00AA586B" w:rsidRPr="00FE55B5" w:rsidRDefault="00AA59F7">
      <w:pPr>
        <w:pStyle w:val="Heading1"/>
        <w:numPr>
          <w:ilvl w:val="0"/>
          <w:numId w:val="1"/>
        </w:numPr>
      </w:pPr>
      <w:r w:rsidRPr="00FE55B5">
        <w:t>Reagents</w:t>
      </w:r>
    </w:p>
    <w:p w:rsidR="00213BDB" w:rsidRPr="00FE55B5" w:rsidRDefault="00E3333F" w:rsidP="00E3333F">
      <w:pPr>
        <w:ind w:left="1080"/>
      </w:pPr>
      <w:r w:rsidRPr="00FE55B5">
        <w:t>N/A</w:t>
      </w:r>
    </w:p>
    <w:p w:rsidR="00E3333F" w:rsidRPr="00FE55B5" w:rsidRDefault="00E3333F" w:rsidP="00E3333F">
      <w:pPr>
        <w:ind w:left="1080"/>
      </w:pPr>
    </w:p>
    <w:p w:rsidR="00AA586B" w:rsidRPr="00FE55B5" w:rsidRDefault="00AA59F7">
      <w:pPr>
        <w:pStyle w:val="Heading2"/>
        <w:numPr>
          <w:ilvl w:val="0"/>
          <w:numId w:val="1"/>
        </w:numPr>
      </w:pPr>
      <w:r w:rsidRPr="00FE55B5">
        <w:t>Quality Control</w:t>
      </w:r>
    </w:p>
    <w:p w:rsidR="00213BDB" w:rsidRPr="00FE55B5" w:rsidRDefault="00E3333F" w:rsidP="00E3333F">
      <w:pPr>
        <w:ind w:left="1080"/>
      </w:pPr>
      <w:r w:rsidRPr="00FE55B5">
        <w:t>N/A</w:t>
      </w:r>
    </w:p>
    <w:p w:rsidR="00E3333F" w:rsidRPr="00FE55B5" w:rsidRDefault="00E3333F" w:rsidP="00E3333F">
      <w:pPr>
        <w:ind w:left="1080"/>
      </w:pPr>
    </w:p>
    <w:p w:rsidR="00AA586B" w:rsidRPr="00FE55B5" w:rsidRDefault="00AA59F7">
      <w:pPr>
        <w:pStyle w:val="Heading2"/>
        <w:numPr>
          <w:ilvl w:val="0"/>
          <w:numId w:val="1"/>
        </w:numPr>
      </w:pPr>
      <w:r w:rsidRPr="00FE55B5">
        <w:t>Safety</w:t>
      </w:r>
    </w:p>
    <w:p w:rsidR="007162FA" w:rsidRPr="00FE55B5" w:rsidRDefault="007162FA" w:rsidP="007162FA">
      <w:pPr>
        <w:pStyle w:val="ListParagraph"/>
        <w:ind w:left="1080"/>
      </w:pPr>
      <w:r w:rsidRPr="00FE55B5">
        <w:t>Refer to Chemical Hygiene and Blood Borne Pathogen Plan for Memorial Hospital Laboratory.</w:t>
      </w:r>
    </w:p>
    <w:p w:rsidR="007162FA" w:rsidRPr="00FE55B5" w:rsidRDefault="007162FA" w:rsidP="007162FA"/>
    <w:p w:rsidR="00AA586B" w:rsidRPr="00FE55B5" w:rsidRDefault="00AA59F7">
      <w:pPr>
        <w:pStyle w:val="Heading2"/>
        <w:numPr>
          <w:ilvl w:val="0"/>
          <w:numId w:val="1"/>
        </w:numPr>
      </w:pPr>
      <w:r w:rsidRPr="00FE55B5">
        <w:t>Procedure</w:t>
      </w:r>
    </w:p>
    <w:p w:rsidR="00D6016F" w:rsidRPr="00FE55B5" w:rsidRDefault="00207059" w:rsidP="00D6016F">
      <w:pPr>
        <w:ind w:left="1080"/>
        <w:rPr>
          <w:b/>
          <w:u w:val="single"/>
        </w:rPr>
      </w:pPr>
      <w:r w:rsidRPr="00FE55B5">
        <w:rPr>
          <w:b/>
          <w:u w:val="single"/>
        </w:rPr>
        <w:t>Assigning Units</w:t>
      </w:r>
    </w:p>
    <w:p w:rsidR="00213BDB" w:rsidRPr="00FE55B5" w:rsidRDefault="001F5260" w:rsidP="00945589">
      <w:pPr>
        <w:pStyle w:val="ListParagraph"/>
        <w:numPr>
          <w:ilvl w:val="0"/>
          <w:numId w:val="20"/>
        </w:numPr>
      </w:pPr>
      <w:r w:rsidRPr="00FE55B5">
        <w:t xml:space="preserve">From the main desktop, open the </w:t>
      </w:r>
      <w:r w:rsidRPr="00FE55B5">
        <w:rPr>
          <w:i/>
        </w:rPr>
        <w:t>BBK Unit</w:t>
      </w:r>
      <w:r w:rsidRPr="00FE55B5">
        <w:t xml:space="preserve"> desktop</w:t>
      </w:r>
      <w:r w:rsidR="00E01BE7" w:rsidRPr="00FE55B5">
        <w:t>.</w:t>
      </w:r>
    </w:p>
    <w:p w:rsidR="001F5260" w:rsidRPr="00FE55B5" w:rsidRDefault="001F5260" w:rsidP="00945589">
      <w:pPr>
        <w:pStyle w:val="ListParagraph"/>
        <w:numPr>
          <w:ilvl w:val="0"/>
          <w:numId w:val="20"/>
        </w:numPr>
      </w:pPr>
      <w:r w:rsidRPr="00FE55B5">
        <w:t xml:space="preserve">Choose the </w:t>
      </w:r>
      <w:r w:rsidR="00C83B62" w:rsidRPr="00FE55B5">
        <w:rPr>
          <w:i/>
        </w:rPr>
        <w:t>S</w:t>
      </w:r>
      <w:r w:rsidRPr="00FE55B5">
        <w:rPr>
          <w:i/>
        </w:rPr>
        <w:t>ingle</w:t>
      </w:r>
      <w:r w:rsidRPr="00FE55B5">
        <w:t xml:space="preserve"> option from the right menu bar.</w:t>
      </w:r>
    </w:p>
    <w:p w:rsidR="00E01BE7" w:rsidRPr="00FE55B5" w:rsidRDefault="00E01BE7" w:rsidP="00945589">
      <w:pPr>
        <w:pStyle w:val="ListParagraph"/>
        <w:numPr>
          <w:ilvl w:val="0"/>
          <w:numId w:val="20"/>
        </w:numPr>
      </w:pPr>
      <w:r w:rsidRPr="00FE55B5">
        <w:t xml:space="preserve">Choose </w:t>
      </w:r>
      <w:r w:rsidRPr="00FE55B5">
        <w:rPr>
          <w:i/>
        </w:rPr>
        <w:t>Assign</w:t>
      </w:r>
      <w:r w:rsidR="001F5260" w:rsidRPr="00FE55B5">
        <w:t xml:space="preserve"> from the right menu bar.</w:t>
      </w:r>
    </w:p>
    <w:p w:rsidR="00E01BE7" w:rsidRPr="00FE55B5" w:rsidRDefault="00DA1FB4" w:rsidP="00945589">
      <w:pPr>
        <w:pStyle w:val="ListParagraph"/>
        <w:numPr>
          <w:ilvl w:val="0"/>
          <w:numId w:val="20"/>
        </w:numPr>
      </w:pPr>
      <w:r w:rsidRPr="00FE55B5">
        <w:t>In the Specimen field:</w:t>
      </w:r>
    </w:p>
    <w:p w:rsidR="00DA1FB4" w:rsidRPr="00FE55B5" w:rsidRDefault="00DA1FB4" w:rsidP="00DA1FB4">
      <w:pPr>
        <w:pStyle w:val="ListParagraph"/>
        <w:numPr>
          <w:ilvl w:val="1"/>
          <w:numId w:val="20"/>
        </w:numPr>
      </w:pPr>
      <w:r w:rsidRPr="00FE55B5">
        <w:t xml:space="preserve">Type A# and </w:t>
      </w:r>
      <w:r w:rsidR="00612D04" w:rsidRPr="00FE55B5">
        <w:t>type</w:t>
      </w:r>
      <w:r w:rsidRPr="00FE55B5">
        <w:t xml:space="preserve"> H number from the order sheet OR</w:t>
      </w:r>
    </w:p>
    <w:p w:rsidR="00DA1FB4" w:rsidRPr="00FE55B5" w:rsidRDefault="00DA1FB4" w:rsidP="00DA1FB4">
      <w:pPr>
        <w:pStyle w:val="ListParagraph"/>
        <w:numPr>
          <w:ilvl w:val="1"/>
          <w:numId w:val="20"/>
        </w:numPr>
      </w:pPr>
      <w:r w:rsidRPr="00FE55B5">
        <w:t xml:space="preserve">Type U# and </w:t>
      </w:r>
      <w:r w:rsidR="00612D04" w:rsidRPr="00FE55B5">
        <w:t>type</w:t>
      </w:r>
      <w:r w:rsidRPr="00FE55B5">
        <w:t xml:space="preserve"> M number from the order sheet OR</w:t>
      </w:r>
    </w:p>
    <w:p w:rsidR="00DA1FB4" w:rsidRPr="00FE55B5" w:rsidRDefault="00DA1FB4" w:rsidP="00DA1FB4">
      <w:pPr>
        <w:pStyle w:val="ListParagraph"/>
        <w:numPr>
          <w:ilvl w:val="1"/>
          <w:numId w:val="20"/>
        </w:numPr>
      </w:pPr>
      <w:r w:rsidRPr="00FE55B5">
        <w:t>Type the patient name and select current admission and desired order.</w:t>
      </w:r>
    </w:p>
    <w:p w:rsidR="00F2126E" w:rsidRPr="00FE55B5" w:rsidRDefault="00F2126E">
      <w:r w:rsidRPr="00FE55B5">
        <w:br w:type="page"/>
      </w:r>
    </w:p>
    <w:p w:rsidR="00DA1FB4" w:rsidRPr="00FE55B5" w:rsidRDefault="00DA1FB4" w:rsidP="00DA1FB4">
      <w:pPr>
        <w:pStyle w:val="ListParagraph"/>
        <w:numPr>
          <w:ilvl w:val="0"/>
          <w:numId w:val="20"/>
        </w:numPr>
      </w:pPr>
      <w:r w:rsidRPr="00FE55B5">
        <w:lastRenderedPageBreak/>
        <w:t xml:space="preserve">In the Product field, enter the mnemonic for the </w:t>
      </w:r>
      <w:r w:rsidRPr="00FE55B5">
        <w:rPr>
          <w:u w:val="single"/>
        </w:rPr>
        <w:t>ordered</w:t>
      </w:r>
      <w:r w:rsidRPr="00FE55B5">
        <w:t xml:space="preserve"> product.</w:t>
      </w:r>
    </w:p>
    <w:p w:rsidR="00DA1FB4" w:rsidRPr="00FE55B5" w:rsidRDefault="00DA1FB4" w:rsidP="00DA1FB4">
      <w:pPr>
        <w:pStyle w:val="ListParagraph"/>
        <w:numPr>
          <w:ilvl w:val="1"/>
          <w:numId w:val="20"/>
        </w:numPr>
      </w:pPr>
      <w:r w:rsidRPr="00FE55B5">
        <w:t xml:space="preserve">This may be different from the product being assigned.  For example, FP is the </w:t>
      </w:r>
      <w:r w:rsidRPr="00FE55B5">
        <w:rPr>
          <w:u w:val="single"/>
        </w:rPr>
        <w:t>ordered</w:t>
      </w:r>
      <w:r w:rsidRPr="00FE55B5">
        <w:t xml:space="preserve"> product, while T24 is the assigned product.</w:t>
      </w:r>
    </w:p>
    <w:p w:rsidR="00DA1FB4" w:rsidRPr="00FE55B5" w:rsidRDefault="00DA1FB4" w:rsidP="00DA1FB4">
      <w:pPr>
        <w:pStyle w:val="ListParagraph"/>
        <w:numPr>
          <w:ilvl w:val="0"/>
          <w:numId w:val="20"/>
        </w:numPr>
      </w:pPr>
      <w:r w:rsidRPr="00FE55B5">
        <w:t>Scan the barcode unit number attached to the product being assigned.</w:t>
      </w:r>
    </w:p>
    <w:p w:rsidR="00DA1FB4" w:rsidRPr="00FE55B5" w:rsidRDefault="00F402C3" w:rsidP="00DA1FB4">
      <w:pPr>
        <w:pStyle w:val="ListParagraph"/>
        <w:numPr>
          <w:ilvl w:val="1"/>
          <w:numId w:val="20"/>
        </w:numPr>
      </w:pPr>
      <w:r w:rsidRPr="00FE55B5">
        <w:t>More than one (1) of the same product type may be assigned by scanning the unit number.</w:t>
      </w:r>
    </w:p>
    <w:p w:rsidR="00F402C3" w:rsidRPr="00FE55B5" w:rsidRDefault="00F402C3" w:rsidP="00DA1FB4">
      <w:pPr>
        <w:pStyle w:val="ListParagraph"/>
        <w:numPr>
          <w:ilvl w:val="1"/>
          <w:numId w:val="20"/>
        </w:numPr>
      </w:pPr>
      <w:r w:rsidRPr="00FE55B5">
        <w:t>All information related to the product will default to the screen.</w:t>
      </w:r>
    </w:p>
    <w:p w:rsidR="00F402C3" w:rsidRPr="00FE55B5" w:rsidRDefault="00F402C3" w:rsidP="00F402C3">
      <w:pPr>
        <w:pStyle w:val="ListParagraph"/>
        <w:numPr>
          <w:ilvl w:val="0"/>
          <w:numId w:val="20"/>
        </w:numPr>
      </w:pPr>
      <w:r w:rsidRPr="00FE55B5">
        <w:t xml:space="preserve">When all desired products have been assigned, </w:t>
      </w:r>
      <w:r w:rsidR="001F5260" w:rsidRPr="00FE55B5">
        <w:t>click the SAVE button</w:t>
      </w:r>
      <w:r w:rsidRPr="00FE55B5">
        <w:t xml:space="preserve"> to file.</w:t>
      </w:r>
    </w:p>
    <w:p w:rsidR="00D6016F" w:rsidRPr="00FE55B5" w:rsidRDefault="001F5260" w:rsidP="00F402C3">
      <w:pPr>
        <w:pStyle w:val="ListParagraph"/>
        <w:numPr>
          <w:ilvl w:val="0"/>
          <w:numId w:val="20"/>
        </w:numPr>
      </w:pPr>
      <w:r w:rsidRPr="00FE55B5">
        <w:t>Click the Cancel button to bypass</w:t>
      </w:r>
      <w:r w:rsidR="00D6016F" w:rsidRPr="00FE55B5">
        <w:t xml:space="preserve"> the printing request</w:t>
      </w:r>
      <w:r w:rsidRPr="00FE55B5">
        <w:t>s</w:t>
      </w:r>
      <w:r w:rsidR="00D6016F" w:rsidRPr="00FE55B5">
        <w:t>.</w:t>
      </w:r>
    </w:p>
    <w:p w:rsidR="00207059" w:rsidRPr="00FE55B5" w:rsidRDefault="00207059" w:rsidP="00207059">
      <w:pPr>
        <w:ind w:left="1080"/>
      </w:pPr>
    </w:p>
    <w:p w:rsidR="00207059" w:rsidRPr="00FE55B5" w:rsidRDefault="00207059" w:rsidP="00207059">
      <w:pPr>
        <w:ind w:left="1080"/>
        <w:rPr>
          <w:b/>
          <w:u w:val="single"/>
        </w:rPr>
      </w:pPr>
      <w:proofErr w:type="spellStart"/>
      <w:r w:rsidRPr="00FE55B5">
        <w:rPr>
          <w:b/>
          <w:u w:val="single"/>
        </w:rPr>
        <w:t>Unassigning</w:t>
      </w:r>
      <w:proofErr w:type="spellEnd"/>
      <w:r w:rsidRPr="00FE55B5">
        <w:rPr>
          <w:b/>
          <w:u w:val="single"/>
        </w:rPr>
        <w:t xml:space="preserve"> Units</w:t>
      </w:r>
    </w:p>
    <w:p w:rsidR="00207059" w:rsidRPr="00FE55B5" w:rsidRDefault="00C83B62" w:rsidP="00207059">
      <w:pPr>
        <w:pStyle w:val="ListParagraph"/>
        <w:numPr>
          <w:ilvl w:val="0"/>
          <w:numId w:val="22"/>
        </w:numPr>
      </w:pPr>
      <w:r w:rsidRPr="00FE55B5">
        <w:t xml:space="preserve">From the main desktop, open the </w:t>
      </w:r>
      <w:r w:rsidRPr="00FE55B5">
        <w:rPr>
          <w:i/>
        </w:rPr>
        <w:t>BBK Unit</w:t>
      </w:r>
      <w:r w:rsidRPr="00FE55B5">
        <w:t xml:space="preserve"> desktop</w:t>
      </w:r>
      <w:r w:rsidR="00207059" w:rsidRPr="00FE55B5">
        <w:t>.</w:t>
      </w:r>
    </w:p>
    <w:p w:rsidR="00C83B62" w:rsidRPr="00FE55B5" w:rsidRDefault="00C83B62" w:rsidP="00207059">
      <w:pPr>
        <w:pStyle w:val="ListParagraph"/>
        <w:numPr>
          <w:ilvl w:val="0"/>
          <w:numId w:val="22"/>
        </w:numPr>
      </w:pPr>
      <w:r w:rsidRPr="00FE55B5">
        <w:t xml:space="preserve">Choose the </w:t>
      </w:r>
      <w:r w:rsidRPr="00FE55B5">
        <w:rPr>
          <w:i/>
        </w:rPr>
        <w:t>Single</w:t>
      </w:r>
      <w:r w:rsidRPr="00FE55B5">
        <w:t xml:space="preserve"> option from the right menu bar.</w:t>
      </w:r>
    </w:p>
    <w:p w:rsidR="00207059" w:rsidRPr="00FE55B5" w:rsidRDefault="00207059" w:rsidP="00207059">
      <w:pPr>
        <w:pStyle w:val="ListParagraph"/>
        <w:numPr>
          <w:ilvl w:val="0"/>
          <w:numId w:val="22"/>
        </w:numPr>
      </w:pPr>
      <w:r w:rsidRPr="00FE55B5">
        <w:t xml:space="preserve">Choose </w:t>
      </w:r>
      <w:r w:rsidRPr="00FE55B5">
        <w:rPr>
          <w:i/>
        </w:rPr>
        <w:t>Assign</w:t>
      </w:r>
      <w:r w:rsidR="00C83B62" w:rsidRPr="00FE55B5">
        <w:t xml:space="preserve"> from the right menu bar.</w:t>
      </w:r>
    </w:p>
    <w:p w:rsidR="00207059" w:rsidRPr="00FE55B5" w:rsidRDefault="00207059" w:rsidP="00207059">
      <w:pPr>
        <w:pStyle w:val="ListParagraph"/>
        <w:numPr>
          <w:ilvl w:val="0"/>
          <w:numId w:val="22"/>
        </w:numPr>
      </w:pPr>
      <w:r w:rsidRPr="00FE55B5">
        <w:t>In the Specimen field:</w:t>
      </w:r>
    </w:p>
    <w:p w:rsidR="00207059" w:rsidRPr="00FE55B5" w:rsidRDefault="00207059" w:rsidP="00207059">
      <w:pPr>
        <w:pStyle w:val="ListParagraph"/>
        <w:numPr>
          <w:ilvl w:val="1"/>
          <w:numId w:val="22"/>
        </w:numPr>
        <w:ind w:firstLine="360"/>
      </w:pPr>
      <w:r w:rsidRPr="00FE55B5">
        <w:t xml:space="preserve">Type A# and </w:t>
      </w:r>
      <w:r w:rsidR="00612D04" w:rsidRPr="00FE55B5">
        <w:t>type</w:t>
      </w:r>
      <w:r w:rsidRPr="00FE55B5">
        <w:t xml:space="preserve"> H number from the order sheet OR</w:t>
      </w:r>
    </w:p>
    <w:p w:rsidR="00207059" w:rsidRPr="00FE55B5" w:rsidRDefault="00207059" w:rsidP="00207059">
      <w:pPr>
        <w:pStyle w:val="ListParagraph"/>
        <w:numPr>
          <w:ilvl w:val="1"/>
          <w:numId w:val="22"/>
        </w:numPr>
        <w:ind w:left="2160"/>
      </w:pPr>
      <w:r w:rsidRPr="00FE55B5">
        <w:t xml:space="preserve">Type U# and </w:t>
      </w:r>
      <w:r w:rsidR="00612D04" w:rsidRPr="00FE55B5">
        <w:t>type</w:t>
      </w:r>
      <w:r w:rsidRPr="00FE55B5">
        <w:t xml:space="preserve"> M number from the order sheet OR</w:t>
      </w:r>
    </w:p>
    <w:p w:rsidR="00207059" w:rsidRPr="00FE55B5" w:rsidRDefault="00207059" w:rsidP="00207059">
      <w:pPr>
        <w:pStyle w:val="ListParagraph"/>
        <w:numPr>
          <w:ilvl w:val="1"/>
          <w:numId w:val="22"/>
        </w:numPr>
        <w:ind w:left="2160"/>
      </w:pPr>
      <w:r w:rsidRPr="00FE55B5">
        <w:t>Type the patient name and select current admission and desired order.</w:t>
      </w:r>
    </w:p>
    <w:p w:rsidR="00207059" w:rsidRPr="00FE55B5" w:rsidRDefault="00207059" w:rsidP="00F61CD0">
      <w:pPr>
        <w:pStyle w:val="ListParagraph"/>
        <w:numPr>
          <w:ilvl w:val="0"/>
          <w:numId w:val="22"/>
        </w:numPr>
      </w:pPr>
      <w:r w:rsidRPr="00FE55B5">
        <w:t xml:space="preserve">In the Product field, enter the mnemonic for the </w:t>
      </w:r>
      <w:r w:rsidRPr="00FE55B5">
        <w:rPr>
          <w:u w:val="single"/>
        </w:rPr>
        <w:t>ordered</w:t>
      </w:r>
      <w:r w:rsidRPr="00FE55B5">
        <w:t xml:space="preserve"> product.</w:t>
      </w:r>
    </w:p>
    <w:p w:rsidR="00F61CD0" w:rsidRPr="00FE55B5" w:rsidRDefault="00F61CD0" w:rsidP="00F61CD0">
      <w:pPr>
        <w:pStyle w:val="ListParagraph"/>
        <w:numPr>
          <w:ilvl w:val="1"/>
          <w:numId w:val="22"/>
        </w:numPr>
        <w:ind w:left="2160"/>
      </w:pPr>
      <w:r w:rsidRPr="00FE55B5">
        <w:t>All units currently assigned to this specimen will default to the screen.</w:t>
      </w:r>
    </w:p>
    <w:p w:rsidR="00F61CD0" w:rsidRPr="00FE55B5" w:rsidRDefault="00F61CD0" w:rsidP="00F61CD0">
      <w:pPr>
        <w:pStyle w:val="ListParagraph"/>
        <w:numPr>
          <w:ilvl w:val="1"/>
          <w:numId w:val="22"/>
        </w:numPr>
        <w:ind w:left="2160"/>
      </w:pPr>
      <w:r w:rsidRPr="00FE55B5">
        <w:t>Delete the desired product from the screen</w:t>
      </w:r>
    </w:p>
    <w:p w:rsidR="00F61CD0" w:rsidRPr="00FE55B5" w:rsidRDefault="00F61CD0" w:rsidP="00F61CD0">
      <w:pPr>
        <w:pStyle w:val="ListParagraph"/>
        <w:numPr>
          <w:ilvl w:val="0"/>
          <w:numId w:val="22"/>
        </w:numPr>
      </w:pPr>
      <w:r w:rsidRPr="00FE55B5">
        <w:t xml:space="preserve">When all desired products have been unassigned, </w:t>
      </w:r>
      <w:r w:rsidR="00C83B62" w:rsidRPr="00FE55B5">
        <w:t>click the SAVE button</w:t>
      </w:r>
      <w:r w:rsidRPr="00FE55B5">
        <w:t xml:space="preserve"> to file.</w:t>
      </w:r>
    </w:p>
    <w:p w:rsidR="00E3333F" w:rsidRPr="00FE55B5" w:rsidRDefault="00E3333F" w:rsidP="00E3333F">
      <w:pPr>
        <w:pStyle w:val="ListParagraph"/>
        <w:ind w:left="1440"/>
      </w:pPr>
    </w:p>
    <w:p w:rsidR="00B24934" w:rsidRPr="00FE55B5" w:rsidRDefault="00B24934">
      <w:pPr>
        <w:pStyle w:val="Heading2"/>
        <w:numPr>
          <w:ilvl w:val="0"/>
          <w:numId w:val="1"/>
        </w:numPr>
      </w:pPr>
      <w:r w:rsidRPr="00FE55B5">
        <w:t>Reporting Results</w:t>
      </w:r>
    </w:p>
    <w:p w:rsidR="00B24934" w:rsidRPr="00FE55B5" w:rsidRDefault="00B24934" w:rsidP="00B24934">
      <w:pPr>
        <w:pStyle w:val="ListParagraph"/>
        <w:numPr>
          <w:ilvl w:val="0"/>
          <w:numId w:val="25"/>
        </w:numPr>
      </w:pPr>
      <w:r w:rsidRPr="00FE55B5">
        <w:t xml:space="preserve">To print the </w:t>
      </w:r>
      <w:proofErr w:type="spellStart"/>
      <w:r w:rsidRPr="00FE55B5">
        <w:t>crossmatch</w:t>
      </w:r>
      <w:proofErr w:type="spellEnd"/>
      <w:r w:rsidRPr="00FE55B5">
        <w:t xml:space="preserve"> tag for the assigned product:</w:t>
      </w:r>
    </w:p>
    <w:p w:rsidR="00B24934" w:rsidRPr="00FE55B5" w:rsidRDefault="007B617C" w:rsidP="00B24934">
      <w:pPr>
        <w:pStyle w:val="ListParagraph"/>
        <w:numPr>
          <w:ilvl w:val="1"/>
          <w:numId w:val="25"/>
        </w:numPr>
      </w:pPr>
      <w:r w:rsidRPr="00FE55B5">
        <w:t xml:space="preserve">From the main desktop, open the </w:t>
      </w:r>
      <w:r w:rsidRPr="00FE55B5">
        <w:rPr>
          <w:i/>
        </w:rPr>
        <w:t>BBK Unit</w:t>
      </w:r>
      <w:r w:rsidRPr="00FE55B5">
        <w:t xml:space="preserve"> desktop</w:t>
      </w:r>
      <w:r w:rsidR="00F2126E" w:rsidRPr="00FE55B5">
        <w:t>.</w:t>
      </w:r>
    </w:p>
    <w:p w:rsidR="00566094" w:rsidRPr="00FE55B5" w:rsidRDefault="00566094" w:rsidP="00B24934">
      <w:pPr>
        <w:pStyle w:val="ListParagraph"/>
        <w:numPr>
          <w:ilvl w:val="1"/>
          <w:numId w:val="25"/>
        </w:numPr>
      </w:pPr>
      <w:r w:rsidRPr="00FE55B5">
        <w:t xml:space="preserve">Choose the </w:t>
      </w:r>
      <w:r w:rsidRPr="00FE55B5">
        <w:rPr>
          <w:i/>
        </w:rPr>
        <w:t>Single</w:t>
      </w:r>
      <w:r w:rsidRPr="00FE55B5">
        <w:t xml:space="preserve"> option from the right menu bar.</w:t>
      </w:r>
    </w:p>
    <w:p w:rsidR="00566094" w:rsidRPr="00FE55B5" w:rsidRDefault="00566094" w:rsidP="00B24934">
      <w:pPr>
        <w:pStyle w:val="ListParagraph"/>
        <w:numPr>
          <w:ilvl w:val="1"/>
          <w:numId w:val="25"/>
        </w:numPr>
      </w:pPr>
      <w:r w:rsidRPr="00FE55B5">
        <w:t xml:space="preserve">Choose </w:t>
      </w:r>
      <w:r w:rsidRPr="00FE55B5">
        <w:rPr>
          <w:i/>
        </w:rPr>
        <w:t>Print Cards</w:t>
      </w:r>
      <w:r w:rsidRPr="00FE55B5">
        <w:t xml:space="preserve"> from the right menu bar.</w:t>
      </w:r>
    </w:p>
    <w:p w:rsidR="00F2126E" w:rsidRPr="00FE55B5" w:rsidRDefault="00566094" w:rsidP="00B24934">
      <w:pPr>
        <w:pStyle w:val="ListParagraph"/>
        <w:numPr>
          <w:ilvl w:val="1"/>
          <w:numId w:val="25"/>
        </w:numPr>
      </w:pPr>
      <w:r w:rsidRPr="00FE55B5">
        <w:t xml:space="preserve">Choose </w:t>
      </w:r>
      <w:proofErr w:type="spellStart"/>
      <w:r w:rsidRPr="00FE55B5">
        <w:rPr>
          <w:i/>
        </w:rPr>
        <w:t>Crossmatch</w:t>
      </w:r>
      <w:proofErr w:type="spellEnd"/>
      <w:r w:rsidRPr="00FE55B5">
        <w:rPr>
          <w:i/>
        </w:rPr>
        <w:t xml:space="preserve"> Card</w:t>
      </w:r>
      <w:r w:rsidR="00F2126E" w:rsidRPr="00FE55B5">
        <w:t>.</w:t>
      </w:r>
    </w:p>
    <w:p w:rsidR="00F2126E" w:rsidRPr="00FE55B5" w:rsidRDefault="00F2126E" w:rsidP="00B24934">
      <w:pPr>
        <w:pStyle w:val="ListParagraph"/>
        <w:numPr>
          <w:ilvl w:val="1"/>
          <w:numId w:val="25"/>
        </w:numPr>
      </w:pPr>
      <w:r w:rsidRPr="00FE55B5">
        <w:t>Scan the unit barcode</w:t>
      </w:r>
      <w:r w:rsidR="00566094" w:rsidRPr="00FE55B5">
        <w:t xml:space="preserve"> and choose the desired product</w:t>
      </w:r>
      <w:r w:rsidRPr="00FE55B5">
        <w:t>.</w:t>
      </w:r>
    </w:p>
    <w:p w:rsidR="00F2126E" w:rsidRPr="00FE55B5" w:rsidRDefault="00566094" w:rsidP="00B24934">
      <w:pPr>
        <w:pStyle w:val="ListParagraph"/>
        <w:numPr>
          <w:ilvl w:val="1"/>
          <w:numId w:val="25"/>
        </w:numPr>
      </w:pPr>
      <w:r w:rsidRPr="00FE55B5">
        <w:t>Click the OK button</w:t>
      </w:r>
      <w:r w:rsidR="00F2126E" w:rsidRPr="00FE55B5">
        <w:t>.</w:t>
      </w:r>
    </w:p>
    <w:p w:rsidR="00F2126E" w:rsidRPr="00FE55B5" w:rsidRDefault="00F2126E" w:rsidP="00B24934">
      <w:pPr>
        <w:pStyle w:val="ListParagraph"/>
        <w:numPr>
          <w:ilvl w:val="1"/>
          <w:numId w:val="25"/>
        </w:numPr>
      </w:pPr>
      <w:r w:rsidRPr="00FE55B5">
        <w:t>Enter the desired printer number</w:t>
      </w:r>
      <w:r w:rsidR="00566094" w:rsidRPr="00FE55B5">
        <w:t xml:space="preserve"> - LABBBP03</w:t>
      </w:r>
      <w:r w:rsidRPr="00FE55B5">
        <w:t>.</w:t>
      </w:r>
    </w:p>
    <w:p w:rsidR="00A40AFC" w:rsidRPr="00FE55B5" w:rsidRDefault="00A40AFC" w:rsidP="00A40AFC">
      <w:pPr>
        <w:pStyle w:val="ListParagraph"/>
        <w:numPr>
          <w:ilvl w:val="0"/>
          <w:numId w:val="25"/>
        </w:numPr>
      </w:pPr>
      <w:r w:rsidRPr="00FE55B5">
        <w:t xml:space="preserve">Apply the </w:t>
      </w:r>
      <w:proofErr w:type="spellStart"/>
      <w:r w:rsidRPr="00FE55B5">
        <w:t>crossmatch</w:t>
      </w:r>
      <w:proofErr w:type="spellEnd"/>
      <w:r w:rsidRPr="00FE55B5">
        <w:t xml:space="preserve"> tag label to the back of the product.</w:t>
      </w:r>
    </w:p>
    <w:p w:rsidR="00A40AFC" w:rsidRPr="00FE55B5" w:rsidRDefault="00A40AFC" w:rsidP="00A40AFC">
      <w:pPr>
        <w:pStyle w:val="ListParagraph"/>
        <w:numPr>
          <w:ilvl w:val="1"/>
          <w:numId w:val="25"/>
        </w:numPr>
      </w:pPr>
      <w:r w:rsidRPr="00FE55B5">
        <w:t>Ensure that unit number</w:t>
      </w:r>
      <w:r w:rsidR="009337C8" w:rsidRPr="00FE55B5">
        <w:t xml:space="preserve"> on tag and product are identical.</w:t>
      </w:r>
    </w:p>
    <w:p w:rsidR="00F2126E" w:rsidRPr="00FE55B5" w:rsidRDefault="00F2126E" w:rsidP="00F2126E">
      <w:pPr>
        <w:pStyle w:val="ListParagraph"/>
        <w:ind w:left="2160"/>
      </w:pPr>
    </w:p>
    <w:p w:rsidR="00AA586B" w:rsidRPr="00FE55B5" w:rsidRDefault="00AA59F7">
      <w:pPr>
        <w:pStyle w:val="Heading2"/>
        <w:numPr>
          <w:ilvl w:val="0"/>
          <w:numId w:val="1"/>
        </w:numPr>
      </w:pPr>
      <w:r w:rsidRPr="00FE55B5">
        <w:t>References</w:t>
      </w:r>
    </w:p>
    <w:p w:rsidR="00B3447A" w:rsidRPr="00FE55B5" w:rsidRDefault="005E56E9" w:rsidP="005E56E9">
      <w:pPr>
        <w:pStyle w:val="ListParagraph"/>
        <w:numPr>
          <w:ilvl w:val="0"/>
          <w:numId w:val="23"/>
        </w:numPr>
      </w:pPr>
      <w:proofErr w:type="spellStart"/>
      <w:r w:rsidRPr="00FE55B5">
        <w:t>Meditech</w:t>
      </w:r>
      <w:proofErr w:type="spellEnd"/>
      <w:r w:rsidRPr="00FE55B5">
        <w:t xml:space="preserve"> Operator’s Manual.</w:t>
      </w:r>
    </w:p>
    <w:p w:rsidR="00B3447A" w:rsidRDefault="00B3447A" w:rsidP="00B3447A">
      <w:pPr>
        <w:ind w:left="1080"/>
      </w:pPr>
    </w:p>
    <w:p w:rsidR="005E6449" w:rsidRDefault="005E6449" w:rsidP="005E6449"/>
    <w:p w:rsidR="005E6449" w:rsidRDefault="005E6449" w:rsidP="005E6449"/>
    <w:p w:rsidR="00B6689C" w:rsidRDefault="00B6689C" w:rsidP="005E6449"/>
    <w:p w:rsidR="00AA586B" w:rsidRDefault="00AA59F7">
      <w:pPr>
        <w:jc w:val="center"/>
        <w:rPr>
          <w:b/>
          <w:bCs/>
        </w:rPr>
      </w:pPr>
      <w:r>
        <w:rPr>
          <w:b/>
          <w:bCs/>
        </w:rPr>
        <w:lastRenderedPageBreak/>
        <w:t>PROCEDURE AND FORM CHANGE CONTROL</w:t>
      </w:r>
    </w:p>
    <w:p w:rsidR="00AA586B" w:rsidRDefault="00AA586B">
      <w:pPr>
        <w:rPr>
          <w:b/>
          <w:bCs/>
        </w:rPr>
      </w:pPr>
    </w:p>
    <w:tbl>
      <w:tblPr>
        <w:tblW w:w="100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769"/>
        <w:gridCol w:w="928"/>
        <w:gridCol w:w="784"/>
        <w:gridCol w:w="928"/>
        <w:gridCol w:w="765"/>
        <w:gridCol w:w="790"/>
        <w:gridCol w:w="769"/>
        <w:gridCol w:w="828"/>
        <w:gridCol w:w="769"/>
        <w:gridCol w:w="1794"/>
      </w:tblGrid>
      <w:tr w:rsidR="00AA586B">
        <w:trPr>
          <w:cantSplit/>
        </w:trPr>
        <w:tc>
          <w:tcPr>
            <w:tcW w:w="10008" w:type="dxa"/>
            <w:gridSpan w:val="11"/>
          </w:tcPr>
          <w:p w:rsidR="00AA586B" w:rsidRDefault="00AA59F7" w:rsidP="00213BDB">
            <w:pPr>
              <w:pStyle w:val="Heading4"/>
            </w:pPr>
            <w:r>
              <w:t xml:space="preserve">Title: </w:t>
            </w:r>
            <w:r w:rsidR="00FE55B5">
              <w:t>BBBP 7.0-</w:t>
            </w:r>
            <w:r w:rsidR="00E3333F">
              <w:t>Assigning/</w:t>
            </w:r>
            <w:proofErr w:type="spellStart"/>
            <w:r w:rsidR="00E3333F">
              <w:t>Unassigning</w:t>
            </w:r>
            <w:proofErr w:type="spellEnd"/>
            <w:r w:rsidR="00E3333F">
              <w:t xml:space="preserve"> Units to Specimens</w:t>
            </w:r>
          </w:p>
        </w:tc>
      </w:tr>
      <w:tr w:rsidR="00AA586B">
        <w:trPr>
          <w:cantSplit/>
        </w:trPr>
        <w:tc>
          <w:tcPr>
            <w:tcW w:w="1610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pStyle w:val="Heading5"/>
            </w:pPr>
            <w:r>
              <w:t>Written</w:t>
            </w:r>
          </w:p>
        </w:tc>
        <w:tc>
          <w:tcPr>
            <w:tcW w:w="161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Validated</w:t>
            </w:r>
          </w:p>
        </w:tc>
        <w:tc>
          <w:tcPr>
            <w:tcW w:w="161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Path Review</w:t>
            </w:r>
          </w:p>
        </w:tc>
        <w:tc>
          <w:tcPr>
            <w:tcW w:w="161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Review</w:t>
            </w:r>
          </w:p>
        </w:tc>
        <w:tc>
          <w:tcPr>
            <w:tcW w:w="161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Effective</w:t>
            </w:r>
          </w:p>
        </w:tc>
        <w:tc>
          <w:tcPr>
            <w:tcW w:w="1958" w:type="dxa"/>
            <w:vMerge w:val="restart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Reason for Revision</w:t>
            </w:r>
          </w:p>
        </w:tc>
      </w:tr>
      <w:tr w:rsidR="00AA586B">
        <w:trPr>
          <w:cantSplit/>
        </w:trPr>
        <w:tc>
          <w:tcPr>
            <w:tcW w:w="805" w:type="dxa"/>
            <w:shd w:val="clear" w:color="auto" w:fill="CCCCCC"/>
            <w:vAlign w:val="center"/>
          </w:tcPr>
          <w:p w:rsidR="00AA586B" w:rsidRDefault="00AA59F7">
            <w:pPr>
              <w:pStyle w:val="Heading5"/>
            </w:pPr>
            <w:r>
              <w:t>Date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By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By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By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By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A586B" w:rsidRDefault="00AA59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By</w:t>
            </w:r>
          </w:p>
        </w:tc>
        <w:tc>
          <w:tcPr>
            <w:tcW w:w="1958" w:type="dxa"/>
            <w:vMerge/>
            <w:tcBorders>
              <w:left w:val="single" w:sz="18" w:space="0" w:color="auto"/>
            </w:tcBorders>
            <w:shd w:val="clear" w:color="auto" w:fill="CCCCCC"/>
            <w:vAlign w:val="center"/>
          </w:tcPr>
          <w:p w:rsidR="00AA586B" w:rsidRDefault="00AA586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86B" w:rsidTr="00213BDB">
        <w:trPr>
          <w:trHeight w:val="512"/>
        </w:trPr>
        <w:tc>
          <w:tcPr>
            <w:tcW w:w="805" w:type="dxa"/>
            <w:tcBorders>
              <w:bottom w:val="single" w:sz="18" w:space="0" w:color="auto"/>
            </w:tcBorders>
            <w:vAlign w:val="center"/>
          </w:tcPr>
          <w:p w:rsidR="00AA586B" w:rsidRDefault="00E3333F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9/10/10</w:t>
            </w: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86B" w:rsidRDefault="00E3333F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86B" w:rsidRDefault="00DF2930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9/12/10</w:t>
            </w: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86B" w:rsidRDefault="00DF2930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GJM</w:t>
            </w:r>
          </w:p>
        </w:tc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86B" w:rsidRDefault="009337C8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9/20/10</w:t>
            </w: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86B" w:rsidRDefault="009337C8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ESB</w:t>
            </w:r>
          </w:p>
        </w:tc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86B" w:rsidRDefault="00AA586B" w:rsidP="00213BD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86B" w:rsidRDefault="00AA586B" w:rsidP="00213BD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86B" w:rsidRDefault="009337C8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10/1/10</w:t>
            </w:r>
          </w:p>
        </w:tc>
        <w:tc>
          <w:tcPr>
            <w:tcW w:w="8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86B" w:rsidRDefault="009337C8" w:rsidP="00213BD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19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86B" w:rsidRDefault="00AA586B" w:rsidP="00213BD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86B">
        <w:tc>
          <w:tcPr>
            <w:tcW w:w="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9F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Revised</w:t>
            </w: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 w:rsidTr="009337C8">
        <w:trPr>
          <w:trHeight w:val="453"/>
        </w:trPr>
        <w:tc>
          <w:tcPr>
            <w:tcW w:w="805" w:type="dxa"/>
            <w:tcBorders>
              <w:top w:val="single" w:sz="18" w:space="0" w:color="auto"/>
            </w:tcBorders>
            <w:vAlign w:val="center"/>
          </w:tcPr>
          <w:p w:rsidR="00AA586B" w:rsidRDefault="009337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12/3/10</w:t>
            </w:r>
          </w:p>
        </w:tc>
        <w:tc>
          <w:tcPr>
            <w:tcW w:w="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586B" w:rsidRDefault="009337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12/28/10</w:t>
            </w:r>
          </w:p>
        </w:tc>
        <w:tc>
          <w:tcPr>
            <w:tcW w:w="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MLH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12/28/10</w:t>
            </w:r>
          </w:p>
        </w:tc>
        <w:tc>
          <w:tcPr>
            <w:tcW w:w="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ESB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586B" w:rsidRDefault="00AA586B" w:rsidP="009337C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586B" w:rsidRDefault="00AA586B" w:rsidP="009337C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1/10/11</w:t>
            </w:r>
          </w:p>
        </w:tc>
        <w:tc>
          <w:tcPr>
            <w:tcW w:w="8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A586B" w:rsidRDefault="005471C8" w:rsidP="009337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195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586B" w:rsidRDefault="009337C8" w:rsidP="009337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Updated for new tag format</w:t>
            </w:r>
          </w:p>
        </w:tc>
      </w:tr>
      <w:tr w:rsidR="00AA586B" w:rsidTr="005471C8">
        <w:trPr>
          <w:trHeight w:val="453"/>
        </w:trPr>
        <w:tc>
          <w:tcPr>
            <w:tcW w:w="805" w:type="dxa"/>
            <w:vAlign w:val="center"/>
          </w:tcPr>
          <w:p w:rsidR="00AA586B" w:rsidRDefault="005471C8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4/20/11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vAlign w:val="center"/>
          </w:tcPr>
          <w:p w:rsidR="00AA586B" w:rsidRDefault="005471C8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4/25/11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MLH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4/28/11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ESB</w:t>
            </w:r>
          </w:p>
        </w:tc>
        <w:tc>
          <w:tcPr>
            <w:tcW w:w="805" w:type="dxa"/>
            <w:tcBorders>
              <w:left w:val="single" w:sz="18" w:space="0" w:color="auto"/>
            </w:tcBorders>
            <w:vAlign w:val="center"/>
          </w:tcPr>
          <w:p w:rsidR="00AA586B" w:rsidRDefault="00AA586B" w:rsidP="005471C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  <w:vAlign w:val="center"/>
          </w:tcPr>
          <w:p w:rsidR="00AA586B" w:rsidRDefault="00AA586B" w:rsidP="005471C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6/1/11</w:t>
            </w:r>
          </w:p>
        </w:tc>
        <w:tc>
          <w:tcPr>
            <w:tcW w:w="805" w:type="dxa"/>
            <w:tcBorders>
              <w:right w:val="single" w:sz="18" w:space="0" w:color="auto"/>
            </w:tcBorders>
            <w:vAlign w:val="center"/>
          </w:tcPr>
          <w:p w:rsidR="00AA586B" w:rsidRDefault="00DB3A00" w:rsidP="005471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1958" w:type="dxa"/>
            <w:tcBorders>
              <w:left w:val="single" w:sz="18" w:space="0" w:color="auto"/>
            </w:tcBorders>
            <w:vAlign w:val="center"/>
          </w:tcPr>
          <w:p w:rsidR="00AA586B" w:rsidRDefault="005471C8" w:rsidP="005471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Updated for new </w:t>
            </w:r>
            <w:proofErr w:type="spellStart"/>
            <w:r>
              <w:rPr>
                <w:b/>
                <w:bCs/>
                <w:sz w:val="20"/>
              </w:rPr>
              <w:t>Meditech</w:t>
            </w:r>
            <w:proofErr w:type="spellEnd"/>
            <w:r>
              <w:rPr>
                <w:b/>
                <w:bCs/>
                <w:sz w:val="20"/>
              </w:rPr>
              <w:t xml:space="preserve"> version</w:t>
            </w: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8/2/12</w:t>
            </w: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 w:rsidP="00FE55B5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4/4/13</w:t>
            </w: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4/1/14</w:t>
            </w: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PAB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1/21/15</w:t>
            </w: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JLH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1/21/15</w:t>
            </w: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JLH</w:t>
            </w: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FE55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Removed references to </w:t>
            </w:r>
            <w:proofErr w:type="spellStart"/>
            <w:r>
              <w:rPr>
                <w:b/>
                <w:bCs/>
                <w:sz w:val="20"/>
              </w:rPr>
              <w:t>coag</w:t>
            </w:r>
            <w:proofErr w:type="spellEnd"/>
            <w:r>
              <w:rPr>
                <w:b/>
                <w:bCs/>
                <w:sz w:val="20"/>
              </w:rPr>
              <w:t xml:space="preserve"> factors.</w:t>
            </w: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AA586B">
        <w:trPr>
          <w:trHeight w:val="453"/>
        </w:trPr>
        <w:tc>
          <w:tcPr>
            <w:tcW w:w="805" w:type="dxa"/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AA586B" w:rsidRDefault="00AA586B">
            <w:pPr>
              <w:rPr>
                <w:b/>
                <w:bCs/>
                <w:sz w:val="20"/>
              </w:rPr>
            </w:pPr>
          </w:p>
        </w:tc>
      </w:tr>
      <w:tr w:rsidR="00213BDB">
        <w:trPr>
          <w:trHeight w:val="453"/>
        </w:trPr>
        <w:tc>
          <w:tcPr>
            <w:tcW w:w="805" w:type="dxa"/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</w:tr>
      <w:tr w:rsidR="00213BDB">
        <w:trPr>
          <w:trHeight w:val="453"/>
        </w:trPr>
        <w:tc>
          <w:tcPr>
            <w:tcW w:w="805" w:type="dxa"/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</w:tr>
      <w:tr w:rsidR="00213BDB">
        <w:trPr>
          <w:trHeight w:val="453"/>
        </w:trPr>
        <w:tc>
          <w:tcPr>
            <w:tcW w:w="805" w:type="dxa"/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</w:tr>
      <w:tr w:rsidR="00213BDB">
        <w:trPr>
          <w:trHeight w:val="453"/>
        </w:trPr>
        <w:tc>
          <w:tcPr>
            <w:tcW w:w="805" w:type="dxa"/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righ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  <w:tc>
          <w:tcPr>
            <w:tcW w:w="1958" w:type="dxa"/>
            <w:tcBorders>
              <w:left w:val="single" w:sz="18" w:space="0" w:color="auto"/>
            </w:tcBorders>
          </w:tcPr>
          <w:p w:rsidR="00213BDB" w:rsidRDefault="00213BDB">
            <w:pPr>
              <w:rPr>
                <w:b/>
                <w:bCs/>
                <w:sz w:val="20"/>
              </w:rPr>
            </w:pPr>
          </w:p>
        </w:tc>
      </w:tr>
    </w:tbl>
    <w:p w:rsidR="00AA586B" w:rsidRDefault="00AA586B">
      <w:pPr>
        <w:rPr>
          <w:b/>
          <w:bCs/>
        </w:rPr>
      </w:pPr>
    </w:p>
    <w:p w:rsidR="00AA586B" w:rsidRDefault="00AA59F7">
      <w:r>
        <w:t>Location of any copy(s) of the procedure:</w:t>
      </w:r>
    </w:p>
    <w:p w:rsidR="00AA586B" w:rsidRDefault="00AA586B"/>
    <w:p w:rsidR="00AA586B" w:rsidRDefault="00AA586B"/>
    <w:p w:rsidR="00AA586B" w:rsidRDefault="00AA59F7">
      <w:pPr>
        <w:rPr>
          <w:b/>
          <w:bCs/>
        </w:rPr>
      </w:pPr>
      <w:r>
        <w:rPr>
          <w:b/>
          <w:bCs/>
        </w:rPr>
        <w:t>Out of use:</w:t>
      </w:r>
    </w:p>
    <w:p w:rsidR="00AA586B" w:rsidRDefault="00AA586B">
      <w:pPr>
        <w:rPr>
          <w:b/>
          <w:bCs/>
        </w:rPr>
      </w:pPr>
    </w:p>
    <w:p w:rsidR="00AA586B" w:rsidRDefault="00AA59F7">
      <w:pPr>
        <w:rPr>
          <w:b/>
          <w:bCs/>
        </w:rPr>
      </w:pPr>
      <w:r>
        <w:rPr>
          <w:b/>
          <w:bCs/>
        </w:rPr>
        <w:t>Date:_______________By:_______________Reason:___________________________</w:t>
      </w:r>
    </w:p>
    <w:sectPr w:rsidR="00AA586B" w:rsidSect="00AA5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02" w:rsidRDefault="00EF0202" w:rsidP="00A50EC9">
      <w:r>
        <w:separator/>
      </w:r>
    </w:p>
  </w:endnote>
  <w:endnote w:type="continuationSeparator" w:id="0">
    <w:p w:rsidR="00EF0202" w:rsidRDefault="00EF0202" w:rsidP="00A5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96" w:rsidRDefault="00417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02" w:rsidRPr="00FE55B5" w:rsidRDefault="00EF0202" w:rsidP="00FE55B5">
    <w:pPr>
      <w:rPr>
        <w:bCs/>
        <w:sz w:val="20"/>
        <w:szCs w:val="20"/>
      </w:rPr>
    </w:pPr>
    <w:r w:rsidRPr="00FE55B5">
      <w:rPr>
        <w:bCs/>
        <w:sz w:val="20"/>
        <w:szCs w:val="20"/>
      </w:rPr>
      <w:t>BBBP 7.0</w:t>
    </w:r>
    <w:r>
      <w:rPr>
        <w:bCs/>
        <w:sz w:val="20"/>
        <w:szCs w:val="20"/>
      </w:rPr>
      <w:t xml:space="preserve"> v1</w:t>
    </w:r>
    <w:r w:rsidRPr="00FE55B5">
      <w:rPr>
        <w:bCs/>
        <w:sz w:val="20"/>
        <w:szCs w:val="20"/>
      </w:rPr>
      <w:t>-Assigning/</w:t>
    </w:r>
    <w:proofErr w:type="spellStart"/>
    <w:r w:rsidRPr="00FE55B5">
      <w:rPr>
        <w:bCs/>
        <w:sz w:val="20"/>
        <w:szCs w:val="20"/>
      </w:rPr>
      <w:t>Unassigning</w:t>
    </w:r>
    <w:proofErr w:type="spellEnd"/>
    <w:r w:rsidRPr="00FE55B5">
      <w:rPr>
        <w:bCs/>
        <w:sz w:val="20"/>
        <w:szCs w:val="20"/>
      </w:rPr>
      <w:t xml:space="preserve"> Units to Specimens</w:t>
    </w:r>
  </w:p>
  <w:p w:rsidR="00EF0202" w:rsidRPr="00FE55B5" w:rsidRDefault="00EF0202" w:rsidP="00FE55B5">
    <w:pPr>
      <w:rPr>
        <w:sz w:val="20"/>
        <w:szCs w:val="20"/>
      </w:rPr>
    </w:pPr>
    <w:r w:rsidRPr="00FE55B5">
      <w:rPr>
        <w:sz w:val="20"/>
        <w:szCs w:val="20"/>
      </w:rPr>
      <w:t xml:space="preserve">Implementation/Revision Date: </w:t>
    </w:r>
    <w:r>
      <w:rPr>
        <w:sz w:val="20"/>
        <w:szCs w:val="20"/>
      </w:rPr>
      <w:t xml:space="preserve">1/21/15 </w:t>
    </w:r>
    <w:r w:rsidRPr="00FE55B5">
      <w:rPr>
        <w:sz w:val="20"/>
        <w:szCs w:val="20"/>
      </w:rPr>
      <w:tab/>
    </w:r>
    <w:sdt>
      <w:sdtPr>
        <w:rPr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E55B5">
          <w:rPr>
            <w:sz w:val="22"/>
            <w:szCs w:val="20"/>
          </w:rPr>
          <w:t xml:space="preserve">Page </w:t>
        </w:r>
        <w:r w:rsidRPr="00FE55B5">
          <w:rPr>
            <w:sz w:val="22"/>
            <w:szCs w:val="20"/>
          </w:rPr>
          <w:fldChar w:fldCharType="begin"/>
        </w:r>
        <w:r w:rsidRPr="00FE55B5">
          <w:rPr>
            <w:sz w:val="22"/>
            <w:szCs w:val="20"/>
          </w:rPr>
          <w:instrText xml:space="preserve"> PAGE </w:instrText>
        </w:r>
        <w:r w:rsidRPr="00FE55B5">
          <w:rPr>
            <w:sz w:val="22"/>
            <w:szCs w:val="20"/>
          </w:rPr>
          <w:fldChar w:fldCharType="separate"/>
        </w:r>
        <w:r w:rsidR="00417C96">
          <w:rPr>
            <w:noProof/>
            <w:sz w:val="22"/>
            <w:szCs w:val="20"/>
          </w:rPr>
          <w:t>1</w:t>
        </w:r>
        <w:r w:rsidRPr="00FE55B5">
          <w:rPr>
            <w:noProof/>
            <w:sz w:val="22"/>
            <w:szCs w:val="20"/>
          </w:rPr>
          <w:fldChar w:fldCharType="end"/>
        </w:r>
        <w:r w:rsidRPr="00FE55B5">
          <w:rPr>
            <w:sz w:val="22"/>
            <w:szCs w:val="20"/>
          </w:rPr>
          <w:t xml:space="preserve"> of </w:t>
        </w:r>
        <w:r w:rsidRPr="00FE55B5">
          <w:rPr>
            <w:sz w:val="22"/>
            <w:szCs w:val="20"/>
          </w:rPr>
          <w:fldChar w:fldCharType="begin"/>
        </w:r>
        <w:r w:rsidRPr="00FE55B5">
          <w:rPr>
            <w:sz w:val="22"/>
            <w:szCs w:val="20"/>
          </w:rPr>
          <w:instrText xml:space="preserve"> NUMPAGES  </w:instrText>
        </w:r>
        <w:r w:rsidRPr="00FE55B5">
          <w:rPr>
            <w:sz w:val="22"/>
            <w:szCs w:val="20"/>
          </w:rPr>
          <w:fldChar w:fldCharType="separate"/>
        </w:r>
        <w:r w:rsidR="00417C96">
          <w:rPr>
            <w:noProof/>
            <w:sz w:val="22"/>
            <w:szCs w:val="20"/>
          </w:rPr>
          <w:t>3</w:t>
        </w:r>
        <w:r w:rsidRPr="00FE55B5">
          <w:rPr>
            <w:noProof/>
            <w:sz w:val="22"/>
            <w:szCs w:val="20"/>
          </w:rPr>
          <w:fldChar w:fldCharType="end"/>
        </w:r>
      </w:sdtContent>
    </w:sdt>
  </w:p>
  <w:p w:rsidR="00EF0202" w:rsidRPr="00E3333F" w:rsidRDefault="00EF0202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96" w:rsidRDefault="00417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02" w:rsidRDefault="00EF0202" w:rsidP="00A50EC9">
      <w:r>
        <w:separator/>
      </w:r>
    </w:p>
  </w:footnote>
  <w:footnote w:type="continuationSeparator" w:id="0">
    <w:p w:rsidR="00EF0202" w:rsidRDefault="00EF0202" w:rsidP="00A5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96" w:rsidRDefault="00417C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4" type="#_x0000_t136" style="position:absolute;margin-left:0;margin-top:0;width:406.05pt;height:203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COPY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02" w:rsidRDefault="00417C96">
    <w:pPr>
      <w:pStyle w:val="Header"/>
      <w:rPr>
        <w:sz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5" type="#_x0000_t136" style="position:absolute;margin-left:0;margin-top:0;width:406.05pt;height:203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COPY"/>
        </v:shape>
      </w:pict>
    </w:r>
    <w:r w:rsidR="00EF0202">
      <w:rPr>
        <w:sz w:val="16"/>
      </w:rPr>
      <w:t>Memorial Hospital</w:t>
    </w:r>
  </w:p>
  <w:p w:rsidR="00EF0202" w:rsidRDefault="00EF0202">
    <w:pPr>
      <w:pStyle w:val="Header"/>
      <w:rPr>
        <w:sz w:val="16"/>
      </w:rPr>
    </w:pPr>
    <w:r>
      <w:rPr>
        <w:sz w:val="16"/>
      </w:rPr>
      <w:t>Belleville, IL  62226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96" w:rsidRDefault="00417C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8433" type="#_x0000_t136" style="position:absolute;margin-left:0;margin-top:0;width:406.05pt;height:203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COP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400D"/>
    <w:multiLevelType w:val="hybridMultilevel"/>
    <w:tmpl w:val="DDEAE9EA"/>
    <w:lvl w:ilvl="0" w:tplc="0409001B">
      <w:start w:val="1"/>
      <w:numFmt w:val="lowerRoman"/>
      <w:lvlText w:val="%1."/>
      <w:lvlJc w:val="righ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03AE66E6"/>
    <w:multiLevelType w:val="hybridMultilevel"/>
    <w:tmpl w:val="6BCE4628"/>
    <w:lvl w:ilvl="0" w:tplc="6658D4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0C6661"/>
    <w:multiLevelType w:val="hybridMultilevel"/>
    <w:tmpl w:val="DF00A3A8"/>
    <w:lvl w:ilvl="0" w:tplc="0409001B">
      <w:start w:val="1"/>
      <w:numFmt w:val="lowerRoman"/>
      <w:lvlText w:val="%1."/>
      <w:lvlJc w:val="righ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>
    <w:nsid w:val="04893884"/>
    <w:multiLevelType w:val="hybridMultilevel"/>
    <w:tmpl w:val="D74639E0"/>
    <w:lvl w:ilvl="0" w:tplc="6C9E43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83808"/>
    <w:multiLevelType w:val="hybridMultilevel"/>
    <w:tmpl w:val="7654D6B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3206014"/>
    <w:multiLevelType w:val="hybridMultilevel"/>
    <w:tmpl w:val="5B728B4E"/>
    <w:lvl w:ilvl="0" w:tplc="04090017">
      <w:start w:val="1"/>
      <w:numFmt w:val="lowerLetter"/>
      <w:lvlText w:val="%1)"/>
      <w:lvlJc w:val="left"/>
      <w:pPr>
        <w:ind w:left="2031" w:hanging="360"/>
      </w:p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6">
    <w:nsid w:val="23D00C63"/>
    <w:multiLevelType w:val="hybridMultilevel"/>
    <w:tmpl w:val="E5BAABFC"/>
    <w:lvl w:ilvl="0" w:tplc="EEA27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52C1C"/>
    <w:multiLevelType w:val="hybridMultilevel"/>
    <w:tmpl w:val="41AA78CE"/>
    <w:lvl w:ilvl="0" w:tplc="B2226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BE62A1"/>
    <w:multiLevelType w:val="hybridMultilevel"/>
    <w:tmpl w:val="1C08D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D663A"/>
    <w:multiLevelType w:val="hybridMultilevel"/>
    <w:tmpl w:val="2C68E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E4B7E"/>
    <w:multiLevelType w:val="hybridMultilevel"/>
    <w:tmpl w:val="780AB8D0"/>
    <w:lvl w:ilvl="0" w:tplc="A2A050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14029B"/>
    <w:multiLevelType w:val="hybridMultilevel"/>
    <w:tmpl w:val="D1982E94"/>
    <w:lvl w:ilvl="0" w:tplc="9A5C2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BE67FF"/>
    <w:multiLevelType w:val="hybridMultilevel"/>
    <w:tmpl w:val="FFB0D216"/>
    <w:lvl w:ilvl="0" w:tplc="04090017">
      <w:start w:val="1"/>
      <w:numFmt w:val="lowerLetter"/>
      <w:lvlText w:val="%1)"/>
      <w:lvlJc w:val="left"/>
      <w:pPr>
        <w:ind w:left="3165" w:hanging="360"/>
      </w:pPr>
    </w:lvl>
    <w:lvl w:ilvl="1" w:tplc="04090019" w:tentative="1">
      <w:start w:val="1"/>
      <w:numFmt w:val="lowerLetter"/>
      <w:lvlText w:val="%2."/>
      <w:lvlJc w:val="left"/>
      <w:pPr>
        <w:ind w:left="3885" w:hanging="360"/>
      </w:pPr>
    </w:lvl>
    <w:lvl w:ilvl="2" w:tplc="0409001B" w:tentative="1">
      <w:start w:val="1"/>
      <w:numFmt w:val="lowerRoman"/>
      <w:lvlText w:val="%3."/>
      <w:lvlJc w:val="right"/>
      <w:pPr>
        <w:ind w:left="4605" w:hanging="180"/>
      </w:pPr>
    </w:lvl>
    <w:lvl w:ilvl="3" w:tplc="0409000F" w:tentative="1">
      <w:start w:val="1"/>
      <w:numFmt w:val="decimal"/>
      <w:lvlText w:val="%4."/>
      <w:lvlJc w:val="left"/>
      <w:pPr>
        <w:ind w:left="5325" w:hanging="360"/>
      </w:pPr>
    </w:lvl>
    <w:lvl w:ilvl="4" w:tplc="04090019" w:tentative="1">
      <w:start w:val="1"/>
      <w:numFmt w:val="lowerLetter"/>
      <w:lvlText w:val="%5."/>
      <w:lvlJc w:val="left"/>
      <w:pPr>
        <w:ind w:left="6045" w:hanging="360"/>
      </w:pPr>
    </w:lvl>
    <w:lvl w:ilvl="5" w:tplc="0409001B" w:tentative="1">
      <w:start w:val="1"/>
      <w:numFmt w:val="lowerRoman"/>
      <w:lvlText w:val="%6."/>
      <w:lvlJc w:val="right"/>
      <w:pPr>
        <w:ind w:left="6765" w:hanging="180"/>
      </w:pPr>
    </w:lvl>
    <w:lvl w:ilvl="6" w:tplc="0409000F" w:tentative="1">
      <w:start w:val="1"/>
      <w:numFmt w:val="decimal"/>
      <w:lvlText w:val="%7."/>
      <w:lvlJc w:val="left"/>
      <w:pPr>
        <w:ind w:left="7485" w:hanging="360"/>
      </w:pPr>
    </w:lvl>
    <w:lvl w:ilvl="7" w:tplc="04090019" w:tentative="1">
      <w:start w:val="1"/>
      <w:numFmt w:val="lowerLetter"/>
      <w:lvlText w:val="%8."/>
      <w:lvlJc w:val="left"/>
      <w:pPr>
        <w:ind w:left="8205" w:hanging="360"/>
      </w:pPr>
    </w:lvl>
    <w:lvl w:ilvl="8" w:tplc="04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3">
    <w:nsid w:val="367E477F"/>
    <w:multiLevelType w:val="hybridMultilevel"/>
    <w:tmpl w:val="07DE3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D728D3"/>
    <w:multiLevelType w:val="hybridMultilevel"/>
    <w:tmpl w:val="591AAB0E"/>
    <w:lvl w:ilvl="0" w:tplc="0409001B">
      <w:start w:val="1"/>
      <w:numFmt w:val="lowerRoman"/>
      <w:lvlText w:val="%1."/>
      <w:lvlJc w:val="righ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5">
    <w:nsid w:val="446E7993"/>
    <w:multiLevelType w:val="hybridMultilevel"/>
    <w:tmpl w:val="11B22F8C"/>
    <w:lvl w:ilvl="0" w:tplc="0409001B">
      <w:start w:val="1"/>
      <w:numFmt w:val="lowerRoman"/>
      <w:lvlText w:val="%1."/>
      <w:lvlJc w:val="righ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6">
    <w:nsid w:val="4C5D4CE6"/>
    <w:multiLevelType w:val="hybridMultilevel"/>
    <w:tmpl w:val="BEA42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D0AAB"/>
    <w:multiLevelType w:val="hybridMultilevel"/>
    <w:tmpl w:val="3F761FC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E86271"/>
    <w:multiLevelType w:val="hybridMultilevel"/>
    <w:tmpl w:val="91DE9F88"/>
    <w:lvl w:ilvl="0" w:tplc="CA883AE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5638C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A8E3A58">
      <w:start w:val="1"/>
      <w:numFmt w:val="low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BDA7914"/>
    <w:multiLevelType w:val="hybridMultilevel"/>
    <w:tmpl w:val="11B22F8C"/>
    <w:lvl w:ilvl="0" w:tplc="0409001B">
      <w:start w:val="1"/>
      <w:numFmt w:val="lowerRoman"/>
      <w:lvlText w:val="%1."/>
      <w:lvlJc w:val="righ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0">
    <w:nsid w:val="605E480F"/>
    <w:multiLevelType w:val="hybridMultilevel"/>
    <w:tmpl w:val="3C36383A"/>
    <w:lvl w:ilvl="0" w:tplc="EEA27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8B08D5"/>
    <w:multiLevelType w:val="hybridMultilevel"/>
    <w:tmpl w:val="A1060CB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8542E5D"/>
    <w:multiLevelType w:val="hybridMultilevel"/>
    <w:tmpl w:val="5B4A79E4"/>
    <w:lvl w:ilvl="0" w:tplc="EEA27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C353ED"/>
    <w:multiLevelType w:val="hybridMultilevel"/>
    <w:tmpl w:val="02446C58"/>
    <w:lvl w:ilvl="0" w:tplc="EDE2BB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8756EB2"/>
    <w:multiLevelType w:val="hybridMultilevel"/>
    <w:tmpl w:val="00BA4FDE"/>
    <w:lvl w:ilvl="0" w:tplc="C85638CA">
      <w:start w:val="1"/>
      <w:numFmt w:val="lowerRoman"/>
      <w:lvlText w:val="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7"/>
  </w:num>
  <w:num w:numId="6">
    <w:abstractNumId w:val="21"/>
  </w:num>
  <w:num w:numId="7">
    <w:abstractNumId w:val="13"/>
  </w:num>
  <w:num w:numId="8">
    <w:abstractNumId w:val="16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  <w:num w:numId="18">
    <w:abstractNumId w:val="19"/>
  </w:num>
  <w:num w:numId="19">
    <w:abstractNumId w:val="15"/>
  </w:num>
  <w:num w:numId="20">
    <w:abstractNumId w:val="11"/>
  </w:num>
  <w:num w:numId="21">
    <w:abstractNumId w:val="1"/>
  </w:num>
  <w:num w:numId="22">
    <w:abstractNumId w:val="6"/>
  </w:num>
  <w:num w:numId="23">
    <w:abstractNumId w:val="2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enforcement="1" w:cryptProviderType="rsaFull" w:cryptAlgorithmClass="hash" w:cryptAlgorithmType="typeAny" w:cryptAlgorithmSid="4" w:cryptSpinCount="100000" w:hash="+njRBnsZ65K0X4Wof/gsv/TEmrE=" w:salt="AhD5Fvy7NATnwL5vNK4Stw=="/>
  <w:defaultTabStop w:val="720"/>
  <w:noPunctuationKerning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F7"/>
    <w:rsid w:val="000916D8"/>
    <w:rsid w:val="000924B5"/>
    <w:rsid w:val="001035E2"/>
    <w:rsid w:val="0010429F"/>
    <w:rsid w:val="00154982"/>
    <w:rsid w:val="001F5260"/>
    <w:rsid w:val="00207059"/>
    <w:rsid w:val="00213BDB"/>
    <w:rsid w:val="00233120"/>
    <w:rsid w:val="002D0E38"/>
    <w:rsid w:val="002E68C4"/>
    <w:rsid w:val="00417C96"/>
    <w:rsid w:val="004463E9"/>
    <w:rsid w:val="004539F9"/>
    <w:rsid w:val="004B54F2"/>
    <w:rsid w:val="005471C8"/>
    <w:rsid w:val="00566094"/>
    <w:rsid w:val="0058136F"/>
    <w:rsid w:val="005C1416"/>
    <w:rsid w:val="005C6B32"/>
    <w:rsid w:val="005E56E9"/>
    <w:rsid w:val="005E6449"/>
    <w:rsid w:val="00612D04"/>
    <w:rsid w:val="007162FA"/>
    <w:rsid w:val="00740228"/>
    <w:rsid w:val="0079456D"/>
    <w:rsid w:val="007B617C"/>
    <w:rsid w:val="00853098"/>
    <w:rsid w:val="0089738B"/>
    <w:rsid w:val="008B3C7E"/>
    <w:rsid w:val="009337C8"/>
    <w:rsid w:val="00945589"/>
    <w:rsid w:val="009A568F"/>
    <w:rsid w:val="009C41DB"/>
    <w:rsid w:val="00A40AFC"/>
    <w:rsid w:val="00A50EC9"/>
    <w:rsid w:val="00AA586B"/>
    <w:rsid w:val="00AA59F7"/>
    <w:rsid w:val="00AB33D7"/>
    <w:rsid w:val="00AB42C0"/>
    <w:rsid w:val="00AB6232"/>
    <w:rsid w:val="00B16EE9"/>
    <w:rsid w:val="00B21066"/>
    <w:rsid w:val="00B24934"/>
    <w:rsid w:val="00B3447A"/>
    <w:rsid w:val="00B46C64"/>
    <w:rsid w:val="00B6689C"/>
    <w:rsid w:val="00BB2333"/>
    <w:rsid w:val="00C200DD"/>
    <w:rsid w:val="00C45A95"/>
    <w:rsid w:val="00C823F4"/>
    <w:rsid w:val="00C83B62"/>
    <w:rsid w:val="00D13D70"/>
    <w:rsid w:val="00D6016F"/>
    <w:rsid w:val="00DA1FB4"/>
    <w:rsid w:val="00DB3A00"/>
    <w:rsid w:val="00DF2930"/>
    <w:rsid w:val="00DF50D8"/>
    <w:rsid w:val="00E01BE7"/>
    <w:rsid w:val="00E1055C"/>
    <w:rsid w:val="00E3333F"/>
    <w:rsid w:val="00E577B3"/>
    <w:rsid w:val="00EB4DEF"/>
    <w:rsid w:val="00EF0202"/>
    <w:rsid w:val="00EF241F"/>
    <w:rsid w:val="00F2126E"/>
    <w:rsid w:val="00F402C3"/>
    <w:rsid w:val="00F61CD0"/>
    <w:rsid w:val="00FD1312"/>
    <w:rsid w:val="00FD65D0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6B"/>
    <w:rPr>
      <w:sz w:val="24"/>
      <w:szCs w:val="24"/>
    </w:rPr>
  </w:style>
  <w:style w:type="paragraph" w:styleId="Heading1">
    <w:name w:val="heading 1"/>
    <w:basedOn w:val="Normal"/>
    <w:next w:val="Normal"/>
    <w:qFormat/>
    <w:rsid w:val="00AA586B"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A586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A586B"/>
    <w:pPr>
      <w:keepNext/>
      <w:ind w:left="108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A586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AA586B"/>
    <w:pPr>
      <w:keepNext/>
      <w:jc w:val="center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A58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A586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A586B"/>
    <w:pPr>
      <w:jc w:val="center"/>
    </w:pPr>
    <w:rPr>
      <w:b/>
      <w:bCs/>
    </w:rPr>
  </w:style>
  <w:style w:type="paragraph" w:styleId="Subtitle">
    <w:name w:val="Subtitle"/>
    <w:basedOn w:val="Normal"/>
    <w:qFormat/>
    <w:rsid w:val="00AA586B"/>
    <w:rPr>
      <w:b/>
      <w:bCs/>
    </w:rPr>
  </w:style>
  <w:style w:type="paragraph" w:styleId="BodyTextIndent">
    <w:name w:val="Body Text Indent"/>
    <w:basedOn w:val="Normal"/>
    <w:semiHidden/>
    <w:rsid w:val="00AA586B"/>
    <w:pPr>
      <w:ind w:left="1080"/>
    </w:pPr>
  </w:style>
  <w:style w:type="paragraph" w:styleId="ListParagraph">
    <w:name w:val="List Paragraph"/>
    <w:basedOn w:val="Normal"/>
    <w:uiPriority w:val="34"/>
    <w:qFormat/>
    <w:rsid w:val="005E6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6B"/>
    <w:rPr>
      <w:sz w:val="24"/>
      <w:szCs w:val="24"/>
    </w:rPr>
  </w:style>
  <w:style w:type="paragraph" w:styleId="Heading1">
    <w:name w:val="heading 1"/>
    <w:basedOn w:val="Normal"/>
    <w:next w:val="Normal"/>
    <w:qFormat/>
    <w:rsid w:val="00AA586B"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A586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A586B"/>
    <w:pPr>
      <w:keepNext/>
      <w:ind w:left="108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A586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AA586B"/>
    <w:pPr>
      <w:keepNext/>
      <w:jc w:val="center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A58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A586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A586B"/>
    <w:pPr>
      <w:jc w:val="center"/>
    </w:pPr>
    <w:rPr>
      <w:b/>
      <w:bCs/>
    </w:rPr>
  </w:style>
  <w:style w:type="paragraph" w:styleId="Subtitle">
    <w:name w:val="Subtitle"/>
    <w:basedOn w:val="Normal"/>
    <w:qFormat/>
    <w:rsid w:val="00AA586B"/>
    <w:rPr>
      <w:b/>
      <w:bCs/>
    </w:rPr>
  </w:style>
  <w:style w:type="paragraph" w:styleId="BodyTextIndent">
    <w:name w:val="Body Text Indent"/>
    <w:basedOn w:val="Normal"/>
    <w:semiHidden/>
    <w:rsid w:val="00AA586B"/>
    <w:pPr>
      <w:ind w:left="1080"/>
    </w:pPr>
  </w:style>
  <w:style w:type="paragraph" w:styleId="ListParagraph">
    <w:name w:val="List Paragraph"/>
    <w:basedOn w:val="Normal"/>
    <w:uiPriority w:val="34"/>
    <w:qFormat/>
    <w:rsid w:val="005E6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2D02EB5-2B28-4DFC-8029-FC0D82CE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2990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for Rho(D) by Manual Methods</vt:lpstr>
    </vt:vector>
  </TitlesOfParts>
  <Company>Memorial Hospital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for Rho(D) by Manual Methods</dc:title>
  <dc:creator>pab13433</dc:creator>
  <cp:lastModifiedBy>Harris, Jennifer</cp:lastModifiedBy>
  <cp:revision>5</cp:revision>
  <cp:lastPrinted>2015-01-21T18:37:00Z</cp:lastPrinted>
  <dcterms:created xsi:type="dcterms:W3CDTF">2015-01-21T18:32:00Z</dcterms:created>
  <dcterms:modified xsi:type="dcterms:W3CDTF">2015-01-22T18:20:00Z</dcterms:modified>
</cp:coreProperties>
</file>