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B" w:rsidRPr="000559FC" w:rsidRDefault="000559FC">
      <w:pPr>
        <w:pStyle w:val="Title"/>
        <w:rPr>
          <w:sz w:val="28"/>
        </w:rPr>
      </w:pPr>
      <w:bookmarkStart w:id="0" w:name="_GoBack"/>
      <w:bookmarkEnd w:id="0"/>
      <w:permStart w:id="1712596015" w:edGrp="everyone"/>
      <w:permEnd w:id="1712596015"/>
      <w:r w:rsidRPr="000559FC">
        <w:rPr>
          <w:sz w:val="28"/>
        </w:rPr>
        <w:t>BBBP 9.0-</w:t>
      </w:r>
      <w:r w:rsidR="000A00FA" w:rsidRPr="000559FC">
        <w:rPr>
          <w:sz w:val="28"/>
        </w:rPr>
        <w:t>Issue</w:t>
      </w:r>
      <w:r w:rsidR="00ED43E8" w:rsidRPr="000559FC">
        <w:rPr>
          <w:sz w:val="28"/>
        </w:rPr>
        <w:t xml:space="preserve"> and Transport of </w:t>
      </w:r>
      <w:r w:rsidR="002B782B" w:rsidRPr="000559FC">
        <w:rPr>
          <w:sz w:val="28"/>
        </w:rPr>
        <w:t xml:space="preserve">Blood and Blood Products </w:t>
      </w:r>
    </w:p>
    <w:p w:rsidR="00AA586B" w:rsidRDefault="00AA586B">
      <w:pPr>
        <w:jc w:val="center"/>
        <w:rPr>
          <w:b/>
          <w:bCs/>
        </w:rPr>
      </w:pPr>
    </w:p>
    <w:p w:rsidR="00AA586B" w:rsidRDefault="00AA59F7">
      <w:pPr>
        <w:pStyle w:val="Subtitle"/>
        <w:numPr>
          <w:ilvl w:val="0"/>
          <w:numId w:val="1"/>
        </w:numPr>
      </w:pPr>
      <w:r>
        <w:t>Principle</w:t>
      </w:r>
    </w:p>
    <w:p w:rsidR="000276D5" w:rsidRDefault="00ED43E8">
      <w:pPr>
        <w:pStyle w:val="BodyTextIndent"/>
      </w:pPr>
      <w:r>
        <w:t>Blood and blood products can be safely transported using the hospital pneumatic tube system.  In order to track shipment and prevent loss of the products they will be sent only b</w:t>
      </w:r>
      <w:r w:rsidR="000734C8">
        <w:t>y</w:t>
      </w:r>
      <w:r>
        <w:t xml:space="preserve"> </w:t>
      </w:r>
      <w:r w:rsidR="000734C8">
        <w:t xml:space="preserve">badge </w:t>
      </w:r>
      <w:r>
        <w:t xml:space="preserve">secure transaction.  </w:t>
      </w:r>
      <w:r w:rsidR="005258F0">
        <w:t xml:space="preserve">Each red blood cell product will have a temperature monitoring device affixed prior to shipment.  </w:t>
      </w:r>
      <w:r w:rsidR="000276D5">
        <w:t xml:space="preserve">Identification of patient and blood product is a very important step in the </w:t>
      </w:r>
      <w:r>
        <w:t>issuing and transport</w:t>
      </w:r>
      <w:r w:rsidR="000276D5">
        <w:t xml:space="preserve"> process. </w:t>
      </w:r>
    </w:p>
    <w:p w:rsidR="00AA586B" w:rsidRDefault="000276D5">
      <w:pPr>
        <w:pStyle w:val="BodyTextIndent"/>
      </w:pPr>
      <w:r>
        <w:t xml:space="preserve"> </w:t>
      </w:r>
      <w:r w:rsidR="00AA59F7">
        <w:t xml:space="preserve"> </w:t>
      </w:r>
    </w:p>
    <w:p w:rsidR="00AB33D7" w:rsidRPr="00AB33D7" w:rsidRDefault="00AB33D7">
      <w:pPr>
        <w:pStyle w:val="Heading1"/>
        <w:numPr>
          <w:ilvl w:val="0"/>
          <w:numId w:val="1"/>
        </w:numPr>
        <w:rPr>
          <w:bCs w:val="0"/>
        </w:rPr>
      </w:pPr>
      <w:r w:rsidRPr="00AB33D7">
        <w:rPr>
          <w:bCs w:val="0"/>
        </w:rPr>
        <w:t>General Policies</w:t>
      </w:r>
    </w:p>
    <w:p w:rsidR="00B42770" w:rsidRDefault="00B42770" w:rsidP="005258F0">
      <w:pPr>
        <w:pStyle w:val="ListParagraph"/>
        <w:numPr>
          <w:ilvl w:val="0"/>
          <w:numId w:val="5"/>
        </w:numPr>
      </w:pPr>
      <w:r>
        <w:t xml:space="preserve">All packed red blood cells will have a </w:t>
      </w:r>
      <w:r w:rsidR="00AB53D9">
        <w:t xml:space="preserve">blood temperature indicator </w:t>
      </w:r>
      <w:r>
        <w:t>attached prior to issuing.</w:t>
      </w:r>
      <w:r w:rsidR="005258F0">
        <w:t xml:space="preserve">  Refer to </w:t>
      </w:r>
      <w:r w:rsidR="00AB53D9">
        <w:t>SOP of use on current blood temperature indicators.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All blood and blood products will be transported using the badge secure transaction mode</w:t>
      </w:r>
      <w:r w:rsidR="000734C8">
        <w:t xml:space="preserve"> of the pneumatic tube system</w:t>
      </w:r>
      <w:r>
        <w:t>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Blood products will be verified by a second member of the laboratory staff prior to shipment.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Requesting nursing unit will be contacted with information that a blood shipment has occurred.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Any product not received by the nursing unit within the designated time frame (5 minutes) will automatically be returned to the blood bank by the pneumatic tube system using a badge secure transaction.  A new request for delivery will need to be entered by nursing staff to obtain the blood product.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If the blood bank tube station is inoperable, transport blood using another secure station, if possible.</w:t>
      </w:r>
    </w:p>
    <w:p w:rsidR="007C1876" w:rsidRDefault="007C1876" w:rsidP="007C1876">
      <w:pPr>
        <w:pStyle w:val="ListParagraph"/>
        <w:numPr>
          <w:ilvl w:val="0"/>
          <w:numId w:val="5"/>
        </w:numPr>
      </w:pPr>
      <w:r>
        <w:t>If the entire tube system is inoperable, nursing must come to the blood bank to pick up the product.</w:t>
      </w:r>
    </w:p>
    <w:p w:rsidR="007C1876" w:rsidRDefault="000276D5" w:rsidP="007C1876">
      <w:pPr>
        <w:pStyle w:val="ListParagraph"/>
        <w:numPr>
          <w:ilvl w:val="0"/>
          <w:numId w:val="5"/>
        </w:numPr>
      </w:pPr>
      <w:r>
        <w:t>Only printed patient documentation will be accepted</w:t>
      </w:r>
      <w:r w:rsidR="007C1876">
        <w:t xml:space="preserve"> by nursing staff appearing at the blood bank window for a blood product</w:t>
      </w:r>
      <w:r>
        <w:t xml:space="preserve">.  This may include but are not limited to:  admission sheets, </w:t>
      </w:r>
      <w:proofErr w:type="spellStart"/>
      <w:r>
        <w:t>Meditech</w:t>
      </w:r>
      <w:proofErr w:type="spellEnd"/>
      <w:r>
        <w:t xml:space="preserve"> labels, Emergency Department record, printed physician orders</w:t>
      </w:r>
      <w:r w:rsidR="00760A3D">
        <w:t>, alternate OR armband, disaster armband</w:t>
      </w:r>
      <w:r>
        <w:t xml:space="preserve">.  </w:t>
      </w:r>
      <w:r w:rsidR="007C1876">
        <w:t>Hand written d</w:t>
      </w:r>
      <w:r>
        <w:t>ocumentation will not be accepted.</w:t>
      </w:r>
    </w:p>
    <w:p w:rsidR="007C1876" w:rsidRDefault="00991EC0" w:rsidP="007C1876">
      <w:pPr>
        <w:pStyle w:val="ListParagraph"/>
        <w:numPr>
          <w:ilvl w:val="0"/>
          <w:numId w:val="5"/>
        </w:numPr>
      </w:pPr>
      <w:r>
        <w:t>Only one (1) blood product will be issued</w:t>
      </w:r>
      <w:r w:rsidR="007C1876">
        <w:t>/transported</w:t>
      </w:r>
      <w:r>
        <w:t xml:space="preserve"> per patient, unless products are stored in a transporter</w:t>
      </w:r>
      <w:r w:rsidR="00260E41">
        <w:t xml:space="preserve"> or the patient has more than one IV line available</w:t>
      </w:r>
      <w:r>
        <w:t>.</w:t>
      </w:r>
    </w:p>
    <w:p w:rsidR="00991EC0" w:rsidRDefault="00991EC0" w:rsidP="007C1876">
      <w:pPr>
        <w:pStyle w:val="ListParagraph"/>
        <w:numPr>
          <w:ilvl w:val="0"/>
          <w:numId w:val="5"/>
        </w:numPr>
      </w:pPr>
      <w:r>
        <w:t>Blood products may only be issued</w:t>
      </w:r>
      <w:r w:rsidR="007C1876">
        <w:t xml:space="preserve"> at the blood bank window</w:t>
      </w:r>
      <w:r>
        <w:t xml:space="preserve"> to </w:t>
      </w:r>
      <w:r w:rsidR="00260E41">
        <w:t xml:space="preserve">designated </w:t>
      </w:r>
      <w:r>
        <w:t>Memorial Hospital employees</w:t>
      </w:r>
      <w:r w:rsidR="00260E41">
        <w:t xml:space="preserve"> (RN, LPN, Physician)</w:t>
      </w:r>
      <w:r w:rsidR="00482164">
        <w:t xml:space="preserve"> or those outside employees responsible for direct patient care within the facility (ex. CTA)</w:t>
      </w:r>
      <w:r w:rsidR="00D80630">
        <w:t>.  Nursing policy mandates that only an RN or LPN may remove blood products from the pneumatic tube station.</w:t>
      </w:r>
    </w:p>
    <w:p w:rsidR="00482164" w:rsidRPr="00AB33D7" w:rsidRDefault="00482164" w:rsidP="00482164">
      <w:pPr>
        <w:pStyle w:val="ListParagraph"/>
        <w:ind w:left="1440"/>
      </w:pPr>
    </w:p>
    <w:p w:rsidR="00AA586B" w:rsidRPr="00AB33D7" w:rsidRDefault="00AA59F7">
      <w:pPr>
        <w:pStyle w:val="Heading1"/>
        <w:numPr>
          <w:ilvl w:val="0"/>
          <w:numId w:val="1"/>
        </w:numPr>
        <w:rPr>
          <w:bCs w:val="0"/>
        </w:rPr>
      </w:pPr>
      <w:r w:rsidRPr="00AB33D7">
        <w:t>Specimen Collection and Preparation</w:t>
      </w:r>
    </w:p>
    <w:p w:rsidR="00AA586B" w:rsidRDefault="00AD5F8E">
      <w:pPr>
        <w:ind w:left="1080"/>
      </w:pPr>
      <w:r>
        <w:t>N/A</w:t>
      </w:r>
    </w:p>
    <w:p w:rsidR="00AD5F8E" w:rsidRDefault="00AD5F8E">
      <w:pPr>
        <w:ind w:left="1080"/>
      </w:pPr>
    </w:p>
    <w:p w:rsidR="00AA586B" w:rsidRPr="00AB33D7" w:rsidRDefault="00AA59F7">
      <w:pPr>
        <w:pStyle w:val="Heading1"/>
        <w:numPr>
          <w:ilvl w:val="0"/>
          <w:numId w:val="1"/>
        </w:numPr>
        <w:rPr>
          <w:bCs w:val="0"/>
        </w:rPr>
      </w:pPr>
      <w:r w:rsidRPr="00AB33D7">
        <w:t>Equipment</w:t>
      </w:r>
    </w:p>
    <w:p w:rsidR="00AA586B" w:rsidRDefault="00AD5F8E">
      <w:pPr>
        <w:ind w:left="1080"/>
      </w:pPr>
      <w:r>
        <w:t>N/A</w:t>
      </w:r>
    </w:p>
    <w:p w:rsidR="00AD5F8E" w:rsidRDefault="00AD5F8E">
      <w:pPr>
        <w:ind w:left="1080"/>
      </w:pPr>
    </w:p>
    <w:p w:rsidR="00AA586B" w:rsidRDefault="00AA59F7">
      <w:pPr>
        <w:pStyle w:val="Heading1"/>
        <w:numPr>
          <w:ilvl w:val="0"/>
          <w:numId w:val="1"/>
        </w:numPr>
      </w:pPr>
      <w:r>
        <w:t>Supplies</w:t>
      </w:r>
    </w:p>
    <w:p w:rsidR="00AA586B" w:rsidRDefault="00AD5F8E">
      <w:pPr>
        <w:ind w:left="1080"/>
      </w:pPr>
      <w:r>
        <w:t>N/A</w:t>
      </w:r>
    </w:p>
    <w:p w:rsidR="00AD5F8E" w:rsidRDefault="00AD5F8E">
      <w:pPr>
        <w:ind w:left="1080"/>
      </w:pPr>
    </w:p>
    <w:p w:rsidR="00AA586B" w:rsidRPr="00AB33D7" w:rsidRDefault="00AA59F7">
      <w:pPr>
        <w:pStyle w:val="Heading1"/>
        <w:numPr>
          <w:ilvl w:val="0"/>
          <w:numId w:val="1"/>
        </w:numPr>
        <w:rPr>
          <w:bCs w:val="0"/>
        </w:rPr>
      </w:pPr>
      <w:r w:rsidRPr="00AB33D7">
        <w:t>Reagents</w:t>
      </w:r>
    </w:p>
    <w:p w:rsidR="00AA586B" w:rsidRDefault="00AD5F8E" w:rsidP="00AD5F8E">
      <w:pPr>
        <w:ind w:left="1080"/>
      </w:pPr>
      <w:r>
        <w:t>N/A</w:t>
      </w:r>
    </w:p>
    <w:p w:rsidR="00AD5F8E" w:rsidRDefault="00AD5F8E" w:rsidP="00AD5F8E">
      <w:pPr>
        <w:ind w:left="1080"/>
      </w:pPr>
    </w:p>
    <w:p w:rsidR="00AA586B" w:rsidRPr="00AB33D7" w:rsidRDefault="00AA59F7">
      <w:pPr>
        <w:pStyle w:val="Heading2"/>
        <w:numPr>
          <w:ilvl w:val="0"/>
          <w:numId w:val="1"/>
        </w:numPr>
        <w:rPr>
          <w:bCs w:val="0"/>
        </w:rPr>
      </w:pPr>
      <w:r w:rsidRPr="00AB33D7">
        <w:t>Quality Control</w:t>
      </w:r>
    </w:p>
    <w:p w:rsidR="00AA586B" w:rsidRDefault="00AD5F8E" w:rsidP="00AD5F8E">
      <w:pPr>
        <w:ind w:left="1080"/>
      </w:pPr>
      <w:r>
        <w:t>N/A</w:t>
      </w:r>
    </w:p>
    <w:p w:rsidR="00AD5F8E" w:rsidRDefault="00AD5F8E" w:rsidP="00AD5F8E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>
        <w:t>Safety</w:t>
      </w:r>
    </w:p>
    <w:p w:rsidR="00AA586B" w:rsidRDefault="00AA59F7">
      <w:pPr>
        <w:ind w:left="1080"/>
      </w:pPr>
      <w:r>
        <w:t>Refer to Chemical Hygiene and Blood Borne Pathogen Plan for Memorial Hospital Laboratory.</w:t>
      </w:r>
    </w:p>
    <w:p w:rsidR="00AA586B" w:rsidRDefault="00AA586B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>
        <w:t>Procedure</w:t>
      </w:r>
    </w:p>
    <w:p w:rsidR="00D80630" w:rsidRDefault="009726FD" w:rsidP="00F65468">
      <w:pPr>
        <w:pStyle w:val="ListParagraph"/>
        <w:numPr>
          <w:ilvl w:val="1"/>
          <w:numId w:val="1"/>
        </w:numPr>
      </w:pPr>
      <w:r>
        <w:t xml:space="preserve">Nursing department will order RFSDEL and indicate product desired. </w:t>
      </w:r>
    </w:p>
    <w:p w:rsidR="009726FD" w:rsidRDefault="00D80630" w:rsidP="00D80630">
      <w:pPr>
        <w:pStyle w:val="ListParagraph"/>
        <w:numPr>
          <w:ilvl w:val="2"/>
          <w:numId w:val="1"/>
        </w:numPr>
      </w:pPr>
      <w:r>
        <w:t>Exceptions are OR, PACU and truly emergent patient needs.</w:t>
      </w:r>
      <w:r w:rsidR="009726FD">
        <w:t xml:space="preserve"> </w:t>
      </w:r>
    </w:p>
    <w:p w:rsidR="00E3494D" w:rsidRDefault="00E3494D" w:rsidP="00F65468">
      <w:pPr>
        <w:pStyle w:val="ListParagraph"/>
        <w:numPr>
          <w:ilvl w:val="1"/>
          <w:numId w:val="1"/>
        </w:numPr>
      </w:pPr>
      <w:r>
        <w:t>Ensure that a Blood Component Transfusion Order form has been received in the blood bank prior to issue.</w:t>
      </w:r>
    </w:p>
    <w:p w:rsidR="00D80630" w:rsidRDefault="00D80630" w:rsidP="00D80630">
      <w:pPr>
        <w:pStyle w:val="ListParagraph"/>
        <w:numPr>
          <w:ilvl w:val="2"/>
          <w:numId w:val="1"/>
        </w:numPr>
      </w:pPr>
      <w:r>
        <w:t>Exceptions are OR, PACU and truly emergent patient needs.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 xml:space="preserve">Issue in the hospital computer system 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 xml:space="preserve">From the main desktop, open the </w:t>
      </w:r>
      <w:r w:rsidRPr="00AB53D9">
        <w:rPr>
          <w:i/>
        </w:rPr>
        <w:t>BBK Unit</w:t>
      </w:r>
      <w:r>
        <w:t xml:space="preserve"> desktop.</w:t>
      </w:r>
    </w:p>
    <w:p w:rsidR="00BF63D0" w:rsidRDefault="00AB53D9" w:rsidP="00BF63D0">
      <w:pPr>
        <w:pStyle w:val="ListParagraph"/>
        <w:numPr>
          <w:ilvl w:val="2"/>
          <w:numId w:val="1"/>
        </w:numPr>
      </w:pPr>
      <w:r>
        <w:t xml:space="preserve">Choose </w:t>
      </w:r>
      <w:r w:rsidRPr="00AB53D9">
        <w:rPr>
          <w:i/>
        </w:rPr>
        <w:t>S</w:t>
      </w:r>
      <w:r w:rsidR="00BF63D0" w:rsidRPr="00AB53D9">
        <w:rPr>
          <w:i/>
        </w:rPr>
        <w:t>ingle</w:t>
      </w:r>
      <w:r w:rsidR="00BF63D0">
        <w:t xml:space="preserve"> from the right menu bar.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 xml:space="preserve">Choose </w:t>
      </w:r>
      <w:r w:rsidRPr="00AB53D9">
        <w:rPr>
          <w:i/>
        </w:rPr>
        <w:t>Issue</w:t>
      </w:r>
      <w:r>
        <w:t xml:space="preserve"> from the right menu bar.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 xml:space="preserve">Choose </w:t>
      </w:r>
      <w:r w:rsidRPr="00AB53D9">
        <w:rPr>
          <w:i/>
        </w:rPr>
        <w:t>Issue Units by Patient</w:t>
      </w:r>
      <w:r>
        <w:t>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Patient name:</w:t>
      </w:r>
    </w:p>
    <w:p w:rsidR="00BF63D0" w:rsidRDefault="00BF63D0" w:rsidP="00BF63D0">
      <w:pPr>
        <w:pStyle w:val="ListParagraph"/>
        <w:numPr>
          <w:ilvl w:val="3"/>
          <w:numId w:val="1"/>
        </w:numPr>
      </w:pPr>
      <w:r>
        <w:t>Type patient name or U# medical record number.</w:t>
      </w:r>
    </w:p>
    <w:p w:rsidR="00BF63D0" w:rsidRDefault="00BF63D0" w:rsidP="00BF63D0">
      <w:pPr>
        <w:pStyle w:val="ListParagraph"/>
        <w:numPr>
          <w:ilvl w:val="3"/>
          <w:numId w:val="1"/>
        </w:numPr>
      </w:pPr>
      <w:r>
        <w:t>Select correct patient by comparing all information available (i.e. medical record number, date of birth, etc.)</w:t>
      </w:r>
    </w:p>
    <w:p w:rsidR="00BF63D0" w:rsidRDefault="00BF63D0" w:rsidP="00BF63D0">
      <w:pPr>
        <w:pStyle w:val="ListParagraph"/>
        <w:numPr>
          <w:ilvl w:val="3"/>
          <w:numId w:val="1"/>
        </w:numPr>
      </w:pPr>
      <w:r>
        <w:t>Select correct admission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Press F12 key to bypass most recent laboratory results.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 xml:space="preserve">Available units will appear in a message window.  Click </w:t>
      </w:r>
      <w:r w:rsidR="00A02F66">
        <w:t>F12 o</w:t>
      </w:r>
      <w:r w:rsidR="002B6416">
        <w:t>r</w:t>
      </w:r>
      <w:r w:rsidR="00A02F66">
        <w:t xml:space="preserve"> Close</w:t>
      </w:r>
      <w:r w:rsidR="00AB53D9">
        <w:t xml:space="preserve"> </w:t>
      </w:r>
      <w:r>
        <w:t>to bypass this screen.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Scan the unit number barcode into the appropriate field.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Issuing information will default based on log in.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Press enter key to messenger field:</w:t>
      </w:r>
    </w:p>
    <w:p w:rsidR="00BF63D0" w:rsidRDefault="000570AE" w:rsidP="00BF63D0">
      <w:pPr>
        <w:pStyle w:val="ListParagraph"/>
        <w:numPr>
          <w:ilvl w:val="3"/>
          <w:numId w:val="1"/>
        </w:numPr>
      </w:pPr>
      <w:r>
        <w:t>E</w:t>
      </w:r>
      <w:r w:rsidR="00BF63D0">
        <w:t>nter the location where the product is sent.</w:t>
      </w:r>
    </w:p>
    <w:p w:rsidR="00AB53D9" w:rsidRDefault="00AB53D9" w:rsidP="00AB53D9">
      <w:pPr>
        <w:pStyle w:val="ListParagraph"/>
        <w:numPr>
          <w:ilvl w:val="2"/>
          <w:numId w:val="1"/>
        </w:numPr>
      </w:pPr>
      <w:r>
        <w:t xml:space="preserve">Check to ensure that information in </w:t>
      </w:r>
      <w:r>
        <w:rPr>
          <w:i/>
        </w:rPr>
        <w:t>Issue Location</w:t>
      </w:r>
      <w:r>
        <w:t xml:space="preserve"> field reflects where unit is actually going.</w:t>
      </w:r>
    </w:p>
    <w:p w:rsidR="00AB53D9" w:rsidRDefault="00AB53D9" w:rsidP="00AB53D9">
      <w:pPr>
        <w:pStyle w:val="ListParagraph"/>
        <w:numPr>
          <w:ilvl w:val="3"/>
          <w:numId w:val="1"/>
        </w:numPr>
      </w:pPr>
      <w:r>
        <w:t xml:space="preserve">If unit is going to OR, type “H.OR” </w:t>
      </w:r>
    </w:p>
    <w:p w:rsidR="00AB53D9" w:rsidRDefault="00AB53D9" w:rsidP="00AB53D9">
      <w:pPr>
        <w:pStyle w:val="ListParagraph"/>
        <w:numPr>
          <w:ilvl w:val="3"/>
          <w:numId w:val="1"/>
        </w:numPr>
      </w:pPr>
      <w:r>
        <w:t>If unit is going to PACU, type “H.PACU”</w:t>
      </w:r>
    </w:p>
    <w:p w:rsidR="00AB53D9" w:rsidRDefault="00AB53D9" w:rsidP="00AB53D9">
      <w:pPr>
        <w:pStyle w:val="ListParagraph"/>
        <w:numPr>
          <w:ilvl w:val="3"/>
          <w:numId w:val="1"/>
        </w:numPr>
      </w:pPr>
      <w:r>
        <w:t>If unit is going to GI lab, type “H</w:t>
      </w:r>
      <w:r w:rsidR="006D2885">
        <w:t>.GILAB”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 xml:space="preserve">Press enter key to bypass </w:t>
      </w:r>
      <w:proofErr w:type="spellStart"/>
      <w:r>
        <w:t>wkld</w:t>
      </w:r>
      <w:proofErr w:type="spellEnd"/>
      <w:r>
        <w:t xml:space="preserve"> function.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lastRenderedPageBreak/>
        <w:t>Card printer field and card form field will default to the desired information.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Press enter key to bypass unit location.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At the Unit Acceptable field, ensure that the unit appearance is acceptable and type Y.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At the Filter Issued field</w:t>
      </w:r>
    </w:p>
    <w:p w:rsidR="00BF63D0" w:rsidRDefault="006D2885" w:rsidP="00BF63D0">
      <w:pPr>
        <w:pStyle w:val="ListParagraph"/>
        <w:numPr>
          <w:ilvl w:val="3"/>
          <w:numId w:val="1"/>
        </w:numPr>
      </w:pPr>
      <w:r>
        <w:t>Type N.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At the Unit Issued Comments field, type any free text comments desired.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Click Save.</w:t>
      </w:r>
    </w:p>
    <w:p w:rsidR="00BF63D0" w:rsidRDefault="00BF63D0" w:rsidP="00BF63D0">
      <w:pPr>
        <w:pStyle w:val="ListParagraph"/>
        <w:numPr>
          <w:ilvl w:val="3"/>
          <w:numId w:val="1"/>
        </w:numPr>
      </w:pPr>
      <w:r>
        <w:t>At the Enter Transfusion Data field, type N.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Second staff member will verify the following: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Product requested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Patient name and ID number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Unit number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Patient and unit blood type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Unit expiration date</w:t>
      </w:r>
    </w:p>
    <w:p w:rsidR="00B42770" w:rsidRDefault="006D2885" w:rsidP="00BF63D0">
      <w:pPr>
        <w:pStyle w:val="ListParagraph"/>
        <w:numPr>
          <w:ilvl w:val="2"/>
          <w:numId w:val="1"/>
        </w:numPr>
      </w:pPr>
      <w:r>
        <w:t>Blood temperature indicator</w:t>
      </w:r>
      <w:r w:rsidR="00B42770">
        <w:t xml:space="preserve"> attached (PRBC only)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Issuing and verifying tech will initial request for delivery form.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Place form in review box.</w:t>
      </w:r>
    </w:p>
    <w:p w:rsidR="006D2885" w:rsidRDefault="006D2885" w:rsidP="00BF63D0">
      <w:pPr>
        <w:pStyle w:val="ListParagraph"/>
        <w:numPr>
          <w:ilvl w:val="2"/>
          <w:numId w:val="1"/>
        </w:numPr>
      </w:pPr>
      <w:r>
        <w:t>If issuing to OR, verifying tech initials behind issuing tech’s employee number on transfusion form.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Place the blood product in a biohazard bag, removing as much air as possible prior to sealing.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Place the bagged blood product in the pneumatic tube carrier.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Ensure that the carrier has closed securely.</w:t>
      </w:r>
    </w:p>
    <w:p w:rsidR="00BF63D0" w:rsidRDefault="00BF63D0" w:rsidP="00BF63D0">
      <w:pPr>
        <w:pStyle w:val="ListParagraph"/>
        <w:numPr>
          <w:ilvl w:val="2"/>
          <w:numId w:val="1"/>
        </w:numPr>
      </w:pPr>
      <w:r>
        <w:t>Ensure that the bag is entirely within the carrier.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Place the tube in the send position of the pneumatic tube system.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Scan your ID badge to unlock the system.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Press the menu button.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Ensure that the arrow is pointing to “User Special Function” and press Send/Enter.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Using the down arrow key, move the arrow to “Badge Secure Transaction” and press Send/Enter.</w:t>
      </w:r>
    </w:p>
    <w:p w:rsidR="00BF63D0" w:rsidRDefault="00BF63D0" w:rsidP="00BF63D0">
      <w:pPr>
        <w:pStyle w:val="ListParagraph"/>
        <w:numPr>
          <w:ilvl w:val="1"/>
          <w:numId w:val="1"/>
        </w:numPr>
      </w:pPr>
      <w:r>
        <w:t>Enter the numeric code for the desired location and press Send/Enter.</w:t>
      </w:r>
    </w:p>
    <w:p w:rsidR="006D2885" w:rsidRDefault="006D2885" w:rsidP="00A07F75">
      <w:pPr>
        <w:pStyle w:val="ListParagraph"/>
        <w:numPr>
          <w:ilvl w:val="1"/>
          <w:numId w:val="1"/>
        </w:numPr>
      </w:pPr>
      <w:r>
        <w:t>If nursing physically comes to pick up unit(s),</w:t>
      </w:r>
    </w:p>
    <w:p w:rsidR="00A07F75" w:rsidRDefault="00034E67" w:rsidP="006D2885">
      <w:pPr>
        <w:pStyle w:val="ListParagraph"/>
        <w:numPr>
          <w:ilvl w:val="2"/>
          <w:numId w:val="1"/>
        </w:numPr>
      </w:pPr>
      <w:r>
        <w:t>Issue product according to step c</w:t>
      </w:r>
      <w:r w:rsidR="000570AE">
        <w:t>-e</w:t>
      </w:r>
      <w:r>
        <w:t xml:space="preserve"> above.</w:t>
      </w:r>
    </w:p>
    <w:p w:rsidR="00A07F75" w:rsidRDefault="000570AE" w:rsidP="006D2885">
      <w:pPr>
        <w:pStyle w:val="ListParagraph"/>
        <w:numPr>
          <w:ilvl w:val="2"/>
          <w:numId w:val="1"/>
        </w:numPr>
      </w:pPr>
      <w:r>
        <w:t>Ensure that patient documentation presented by nursing staff (name, medical record number) is identical to patient identification attached to blood product</w:t>
      </w:r>
      <w:r w:rsidR="00A07F75">
        <w:t>.</w:t>
      </w:r>
    </w:p>
    <w:p w:rsidR="000570AE" w:rsidRDefault="000570AE" w:rsidP="006D2885">
      <w:pPr>
        <w:pStyle w:val="ListParagraph"/>
        <w:numPr>
          <w:ilvl w:val="2"/>
          <w:numId w:val="1"/>
        </w:numPr>
      </w:pPr>
      <w:r>
        <w:t>Hand blood product to nursing staff for transport.</w:t>
      </w:r>
    </w:p>
    <w:p w:rsidR="000570AE" w:rsidRDefault="000570AE">
      <w:r>
        <w:br w:type="page"/>
      </w:r>
    </w:p>
    <w:p w:rsidR="00B03D18" w:rsidRPr="00AB33D7" w:rsidRDefault="00B03D18" w:rsidP="00B03D18">
      <w:pPr>
        <w:pStyle w:val="ListParagraph"/>
        <w:ind w:left="1440"/>
      </w:pPr>
    </w:p>
    <w:p w:rsidR="00772359" w:rsidRDefault="00772359" w:rsidP="00772359">
      <w:pPr>
        <w:pStyle w:val="Heading2"/>
        <w:numPr>
          <w:ilvl w:val="0"/>
          <w:numId w:val="1"/>
        </w:numPr>
      </w:pPr>
      <w:r w:rsidRPr="00AB33D7">
        <w:t>Reporting Results</w:t>
      </w:r>
    </w:p>
    <w:p w:rsidR="00772359" w:rsidRDefault="00772359" w:rsidP="00772359">
      <w:pPr>
        <w:pStyle w:val="ListParagraph"/>
        <w:numPr>
          <w:ilvl w:val="0"/>
          <w:numId w:val="7"/>
        </w:numPr>
      </w:pPr>
      <w:r>
        <w:t xml:space="preserve">All </w:t>
      </w:r>
      <w:r w:rsidR="000570AE">
        <w:t xml:space="preserve">pneumatic tube </w:t>
      </w:r>
      <w:r>
        <w:t>transactions will be accessible on PC LABBBWK08 located in the back area of the blood bank.</w:t>
      </w:r>
    </w:p>
    <w:p w:rsidR="00772359" w:rsidRDefault="00772359" w:rsidP="00772359">
      <w:pPr>
        <w:pStyle w:val="ListParagraph"/>
        <w:numPr>
          <w:ilvl w:val="1"/>
          <w:numId w:val="7"/>
        </w:numPr>
      </w:pPr>
      <w:r>
        <w:t xml:space="preserve">Open </w:t>
      </w:r>
      <w:proofErr w:type="spellStart"/>
      <w:r>
        <w:t>DataPak</w:t>
      </w:r>
      <w:proofErr w:type="spellEnd"/>
      <w:r>
        <w:t xml:space="preserve"> program.</w:t>
      </w:r>
    </w:p>
    <w:p w:rsidR="00772359" w:rsidRDefault="00772359" w:rsidP="00772359">
      <w:pPr>
        <w:pStyle w:val="ListParagraph"/>
        <w:numPr>
          <w:ilvl w:val="1"/>
          <w:numId w:val="7"/>
        </w:numPr>
      </w:pPr>
      <w:r>
        <w:t>In the File drop down menu, choose Open – Files</w:t>
      </w:r>
    </w:p>
    <w:p w:rsidR="00772359" w:rsidRDefault="00772359" w:rsidP="00772359">
      <w:pPr>
        <w:pStyle w:val="ListParagraph"/>
        <w:numPr>
          <w:ilvl w:val="1"/>
          <w:numId w:val="7"/>
        </w:numPr>
      </w:pPr>
      <w:r>
        <w:t>Select and open the desired day.</w:t>
      </w:r>
    </w:p>
    <w:p w:rsidR="00772359" w:rsidRDefault="00772359" w:rsidP="00772359">
      <w:pPr>
        <w:pStyle w:val="ListParagraph"/>
        <w:numPr>
          <w:ilvl w:val="2"/>
          <w:numId w:val="7"/>
        </w:numPr>
      </w:pPr>
      <w:r>
        <w:t>1 file loaded will appear in the corner of the main screen.</w:t>
      </w:r>
    </w:p>
    <w:p w:rsidR="00772359" w:rsidRDefault="00772359" w:rsidP="00772359">
      <w:pPr>
        <w:pStyle w:val="ListParagraph"/>
        <w:numPr>
          <w:ilvl w:val="1"/>
          <w:numId w:val="7"/>
        </w:numPr>
      </w:pPr>
      <w:r>
        <w:t>In the Report drop down menu, choose Transactions – Transaction History Report.</w:t>
      </w:r>
    </w:p>
    <w:p w:rsidR="00772359" w:rsidRDefault="00772359" w:rsidP="00772359">
      <w:pPr>
        <w:pStyle w:val="ListParagraph"/>
        <w:numPr>
          <w:ilvl w:val="1"/>
          <w:numId w:val="7"/>
        </w:numPr>
      </w:pPr>
      <w:r>
        <w:t>All transactions occurring on the selected day will appear organized by time.</w:t>
      </w:r>
    </w:p>
    <w:p w:rsidR="00772359" w:rsidRDefault="00772359" w:rsidP="00772359">
      <w:pPr>
        <w:pStyle w:val="ListParagraph"/>
        <w:ind w:left="2160"/>
      </w:pPr>
    </w:p>
    <w:p w:rsidR="00AA586B" w:rsidRDefault="00AA59F7">
      <w:pPr>
        <w:pStyle w:val="Heading2"/>
        <w:numPr>
          <w:ilvl w:val="0"/>
          <w:numId w:val="1"/>
        </w:numPr>
      </w:pPr>
      <w:r>
        <w:t>References</w:t>
      </w:r>
    </w:p>
    <w:p w:rsidR="00AA586B" w:rsidRDefault="00AA59F7">
      <w:pPr>
        <w:numPr>
          <w:ilvl w:val="1"/>
          <w:numId w:val="1"/>
        </w:numPr>
      </w:pPr>
      <w:r>
        <w:t xml:space="preserve">Standards for Blood Banks and Transfusion Services, AABB, </w:t>
      </w:r>
      <w:r w:rsidR="006D2885">
        <w:t>current edition</w:t>
      </w:r>
      <w:r>
        <w:t>, Bethesda, MD.</w:t>
      </w:r>
    </w:p>
    <w:p w:rsidR="00AA586B" w:rsidRDefault="00AA59F7">
      <w:pPr>
        <w:numPr>
          <w:ilvl w:val="1"/>
          <w:numId w:val="1"/>
        </w:numPr>
      </w:pPr>
      <w:r>
        <w:t>Technical Manual, AABB, 1</w:t>
      </w:r>
      <w:r w:rsidR="00E3494D">
        <w:t>7</w:t>
      </w:r>
      <w:r>
        <w:rPr>
          <w:vertAlign w:val="superscript"/>
        </w:rPr>
        <w:t>th</w:t>
      </w:r>
      <w:r>
        <w:t xml:space="preserve"> Edition, 20</w:t>
      </w:r>
      <w:r w:rsidR="00E3494D">
        <w:t>11</w:t>
      </w:r>
      <w:r>
        <w:t>, pp.</w:t>
      </w:r>
      <w:r w:rsidR="00B03D18">
        <w:t xml:space="preserve"> 2</w:t>
      </w:r>
      <w:r w:rsidR="00E3494D">
        <w:t>8</w:t>
      </w:r>
      <w:r w:rsidR="00B03D18">
        <w:t>7</w:t>
      </w:r>
      <w:r>
        <w:t xml:space="preserve">, Bethesda, MD. </w:t>
      </w:r>
    </w:p>
    <w:p w:rsidR="002B6416" w:rsidRDefault="002B6416">
      <w:pPr>
        <w:numPr>
          <w:ilvl w:val="1"/>
          <w:numId w:val="1"/>
        </w:numPr>
      </w:pPr>
      <w:proofErr w:type="spellStart"/>
      <w:r>
        <w:t>SwissLog</w:t>
      </w:r>
      <w:proofErr w:type="spellEnd"/>
      <w:r>
        <w:t xml:space="preserve"> Pneumatic Tube </w:t>
      </w:r>
      <w:proofErr w:type="spellStart"/>
      <w:r>
        <w:t>Users Manual</w:t>
      </w:r>
      <w:proofErr w:type="spellEnd"/>
      <w:r>
        <w:t>.</w:t>
      </w:r>
    </w:p>
    <w:p w:rsidR="00AA586B" w:rsidRDefault="00AA59F7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PROCEDURE AND FORM CHANGE CONTROL</w:t>
      </w:r>
    </w:p>
    <w:p w:rsidR="00AA586B" w:rsidRDefault="00AA586B">
      <w:pPr>
        <w:rPr>
          <w:b/>
          <w:bCs/>
        </w:rPr>
      </w:pP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62"/>
        <w:gridCol w:w="928"/>
        <w:gridCol w:w="779"/>
        <w:gridCol w:w="928"/>
        <w:gridCol w:w="756"/>
        <w:gridCol w:w="787"/>
        <w:gridCol w:w="761"/>
        <w:gridCol w:w="828"/>
        <w:gridCol w:w="761"/>
        <w:gridCol w:w="1789"/>
      </w:tblGrid>
      <w:tr w:rsidR="00AA586B">
        <w:trPr>
          <w:cantSplit/>
        </w:trPr>
        <w:tc>
          <w:tcPr>
            <w:tcW w:w="10008" w:type="dxa"/>
            <w:gridSpan w:val="11"/>
          </w:tcPr>
          <w:p w:rsidR="00AA586B" w:rsidRDefault="00AA59F7" w:rsidP="000A00FA">
            <w:pPr>
              <w:pStyle w:val="Heading4"/>
            </w:pPr>
            <w:r>
              <w:t xml:space="preserve">Title: </w:t>
            </w:r>
            <w:r w:rsidR="000559FC">
              <w:t>BBBP 9.0-</w:t>
            </w:r>
            <w:r w:rsidR="000A00FA">
              <w:t xml:space="preserve">Issue and Transport of </w:t>
            </w:r>
            <w:r w:rsidR="00BD6EBF">
              <w:t xml:space="preserve">Blood and Blood Products </w:t>
            </w:r>
          </w:p>
        </w:tc>
      </w:tr>
      <w:tr w:rsidR="00AA586B">
        <w:trPr>
          <w:cantSplit/>
        </w:trPr>
        <w:tc>
          <w:tcPr>
            <w:tcW w:w="161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Written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58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AA586B">
        <w:trPr>
          <w:cantSplit/>
        </w:trPr>
        <w:tc>
          <w:tcPr>
            <w:tcW w:w="805" w:type="dxa"/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58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8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586B" w:rsidTr="002E320F">
        <w:trPr>
          <w:trHeight w:val="512"/>
        </w:trPr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:rsidR="00AA586B" w:rsidRDefault="002E320F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04/19/10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2E320F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760A3D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4/27/10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760A3D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F5FA5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5/3/10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F5FA5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E32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E320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F5FA5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5/4/10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F5FA5" w:rsidP="002E32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E320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586B"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9F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 w:rsidTr="004F5FA5">
        <w:trPr>
          <w:trHeight w:val="453"/>
        </w:trPr>
        <w:tc>
          <w:tcPr>
            <w:tcW w:w="805" w:type="dxa"/>
            <w:tcBorders>
              <w:top w:val="single" w:sz="18" w:space="0" w:color="auto"/>
            </w:tcBorders>
            <w:vAlign w:val="center"/>
          </w:tcPr>
          <w:p w:rsidR="00AA586B" w:rsidRDefault="004F5FA5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12/3/10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4F5FA5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12/28/10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MLH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12/28/10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A586B" w:rsidP="004F5F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4F5FA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1/10/11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22483" w:rsidP="004F5F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4F5FA5" w:rsidP="004F5F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Updated for new tag format</w:t>
            </w:r>
          </w:p>
        </w:tc>
      </w:tr>
      <w:tr w:rsidR="00AA586B" w:rsidTr="00B13BF0">
        <w:trPr>
          <w:trHeight w:val="453"/>
        </w:trPr>
        <w:tc>
          <w:tcPr>
            <w:tcW w:w="805" w:type="dxa"/>
            <w:vAlign w:val="center"/>
          </w:tcPr>
          <w:p w:rsidR="00AA586B" w:rsidRDefault="00B13BF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5/13/11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B13BF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5/28/11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MLH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6/6/11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B13BF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B13BF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6/14/11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E05C50" w:rsidP="00B13B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B13BF0" w:rsidP="00B13B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Updated for new </w:t>
            </w:r>
            <w:proofErr w:type="spellStart"/>
            <w:r>
              <w:rPr>
                <w:b/>
                <w:bCs/>
                <w:sz w:val="20"/>
              </w:rPr>
              <w:t>Meditech</w:t>
            </w:r>
            <w:proofErr w:type="spellEnd"/>
            <w:r>
              <w:rPr>
                <w:b/>
                <w:bCs/>
                <w:sz w:val="20"/>
              </w:rPr>
              <w:t xml:space="preserve"> version</w:t>
            </w:r>
          </w:p>
        </w:tc>
      </w:tr>
      <w:tr w:rsidR="00AA586B" w:rsidTr="009566E0">
        <w:trPr>
          <w:trHeight w:val="453"/>
        </w:trPr>
        <w:tc>
          <w:tcPr>
            <w:tcW w:w="805" w:type="dxa"/>
            <w:vAlign w:val="center"/>
          </w:tcPr>
          <w:p w:rsidR="00AA586B" w:rsidRDefault="009566E0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6/17/11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9566E0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9566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9566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FB05B7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6/25/11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FB05B7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9566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9566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FB05B7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FB05B7" w:rsidP="009566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9566E0" w:rsidP="009566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three ply paper</w:t>
            </w:r>
          </w:p>
        </w:tc>
      </w:tr>
      <w:tr w:rsidR="00AA586B" w:rsidTr="005B7C80">
        <w:trPr>
          <w:trHeight w:val="453"/>
        </w:trPr>
        <w:tc>
          <w:tcPr>
            <w:tcW w:w="805" w:type="dxa"/>
            <w:vAlign w:val="center"/>
          </w:tcPr>
          <w:p w:rsidR="00AA586B" w:rsidRDefault="005B7C80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8/1</w:t>
            </w:r>
            <w:r w:rsidR="000A00F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/1</w:t>
            </w:r>
            <w:r w:rsidR="00FB05B7">
              <w:rPr>
                <w:b/>
                <w:bCs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5B7C80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8/14/12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8/21/12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5B7C8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5B7C8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8/21/12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2E0248" w:rsidP="005B7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5B7C80" w:rsidP="005B7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 for pneumatic tube transport</w:t>
            </w:r>
            <w:r w:rsidR="00FB05B7">
              <w:rPr>
                <w:b/>
                <w:bCs/>
                <w:sz w:val="20"/>
              </w:rPr>
              <w:t xml:space="preserve"> and XM on demand</w:t>
            </w:r>
          </w:p>
        </w:tc>
      </w:tr>
      <w:tr w:rsidR="00AA586B" w:rsidTr="00FB05B7">
        <w:trPr>
          <w:trHeight w:val="453"/>
        </w:trPr>
        <w:tc>
          <w:tcPr>
            <w:tcW w:w="805" w:type="dxa"/>
            <w:vAlign w:val="center"/>
          </w:tcPr>
          <w:p w:rsidR="00AA586B" w:rsidRDefault="002E0248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5/8/13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2E0248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FB05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FB05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322B41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5/13/13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322B41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FB05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FB05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322B41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5/15/13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322B41" w:rsidP="00FB05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2E0248" w:rsidP="00FB05B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 issue to nursing</w:t>
            </w:r>
          </w:p>
        </w:tc>
      </w:tr>
      <w:tr w:rsidR="00AA586B" w:rsidTr="00994C25">
        <w:trPr>
          <w:trHeight w:val="453"/>
        </w:trPr>
        <w:tc>
          <w:tcPr>
            <w:tcW w:w="805" w:type="dxa"/>
            <w:vAlign w:val="center"/>
          </w:tcPr>
          <w:p w:rsidR="00AA586B" w:rsidRDefault="00994C25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11/13/13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994C25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994C2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994C2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0559FC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11/15/13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0559FC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994C2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994C2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0559FC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12/9/13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0559FC" w:rsidP="0099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994C25" w:rsidP="00994C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Included </w:t>
            </w:r>
            <w:proofErr w:type="spellStart"/>
            <w:r>
              <w:rPr>
                <w:b/>
                <w:bCs/>
                <w:sz w:val="20"/>
              </w:rPr>
              <w:t>HemoTemp</w:t>
            </w:r>
            <w:proofErr w:type="spellEnd"/>
            <w:r>
              <w:rPr>
                <w:b/>
                <w:bCs/>
                <w:sz w:val="20"/>
              </w:rPr>
              <w:t xml:space="preserve"> on PRBC</w:t>
            </w: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0559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4/1/14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0559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0559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0559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6D288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6D288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6D288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Added instructions to add issue location to match location.</w:t>
            </w: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</w:tbl>
    <w:p w:rsidR="00AA586B" w:rsidRDefault="00AA586B">
      <w:pPr>
        <w:rPr>
          <w:b/>
          <w:bCs/>
        </w:rPr>
      </w:pPr>
    </w:p>
    <w:p w:rsidR="00AA586B" w:rsidRDefault="00AA59F7">
      <w:r>
        <w:t>Location of any copy(s) of the procedure:</w:t>
      </w:r>
    </w:p>
    <w:p w:rsidR="00AA586B" w:rsidRDefault="00AA586B"/>
    <w:p w:rsidR="00AA586B" w:rsidRDefault="00AA586B"/>
    <w:p w:rsidR="00AA586B" w:rsidRDefault="00AA59F7">
      <w:pPr>
        <w:rPr>
          <w:b/>
          <w:bCs/>
        </w:rPr>
      </w:pPr>
      <w:r>
        <w:rPr>
          <w:b/>
          <w:bCs/>
        </w:rPr>
        <w:t>Out of use:</w:t>
      </w:r>
    </w:p>
    <w:p w:rsidR="00AA586B" w:rsidRDefault="00AA586B">
      <w:pPr>
        <w:rPr>
          <w:b/>
          <w:bCs/>
        </w:rPr>
      </w:pPr>
    </w:p>
    <w:p w:rsidR="00AA586B" w:rsidRDefault="00AA59F7">
      <w:pPr>
        <w:rPr>
          <w:b/>
          <w:bCs/>
        </w:rPr>
      </w:pPr>
      <w:r>
        <w:rPr>
          <w:b/>
          <w:bCs/>
        </w:rPr>
        <w:t>Date:_______________By:_______________Reason:___________________________</w:t>
      </w:r>
    </w:p>
    <w:sectPr w:rsidR="00AA586B" w:rsidSect="00AA5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C8" w:rsidRDefault="006359C8" w:rsidP="00F65468">
      <w:r>
        <w:separator/>
      </w:r>
    </w:p>
  </w:endnote>
  <w:endnote w:type="continuationSeparator" w:id="0">
    <w:p w:rsidR="006359C8" w:rsidRDefault="006359C8" w:rsidP="00F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27" w:rsidRDefault="00F40A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C8" w:rsidRPr="000559FC" w:rsidRDefault="006359C8" w:rsidP="000559FC">
    <w:pPr>
      <w:pStyle w:val="Title"/>
      <w:jc w:val="left"/>
      <w:rPr>
        <w:b w:val="0"/>
        <w:sz w:val="20"/>
        <w:szCs w:val="20"/>
      </w:rPr>
    </w:pPr>
    <w:r w:rsidRPr="000559FC">
      <w:rPr>
        <w:b w:val="0"/>
        <w:sz w:val="20"/>
        <w:szCs w:val="20"/>
      </w:rPr>
      <w:t>BBBP 9.0</w:t>
    </w:r>
    <w:r>
      <w:rPr>
        <w:b w:val="0"/>
        <w:sz w:val="20"/>
        <w:szCs w:val="20"/>
      </w:rPr>
      <w:t xml:space="preserve"> v1</w:t>
    </w:r>
    <w:r w:rsidRPr="000559FC">
      <w:rPr>
        <w:b w:val="0"/>
        <w:sz w:val="20"/>
        <w:szCs w:val="20"/>
      </w:rPr>
      <w:t xml:space="preserve">-Issue and Transport of Blood and Blood Products </w:t>
    </w:r>
  </w:p>
  <w:p w:rsidR="006359C8" w:rsidRPr="000559FC" w:rsidRDefault="006359C8" w:rsidP="000559FC">
    <w:pPr>
      <w:rPr>
        <w:sz w:val="20"/>
        <w:szCs w:val="20"/>
      </w:rPr>
    </w:pPr>
    <w:r w:rsidRPr="000559FC">
      <w:rPr>
        <w:sz w:val="20"/>
        <w:szCs w:val="20"/>
      </w:rPr>
      <w:t xml:space="preserve">Implementation/Revision Date:  </w:t>
    </w:r>
    <w:r>
      <w:rPr>
        <w:sz w:val="20"/>
        <w:szCs w:val="20"/>
      </w:rPr>
      <w:t>1/21/15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40A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F40A27">
            <w:rPr>
              <w:noProof/>
            </w:rPr>
            <w:t>5</w:t>
          </w:r>
        </w:fldSimple>
      </w:sdtContent>
    </w:sdt>
  </w:p>
  <w:p w:rsidR="006359C8" w:rsidRPr="00760A3D" w:rsidRDefault="006359C8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27" w:rsidRDefault="00F40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C8" w:rsidRDefault="006359C8" w:rsidP="00F65468">
      <w:r>
        <w:separator/>
      </w:r>
    </w:p>
  </w:footnote>
  <w:footnote w:type="continuationSeparator" w:id="0">
    <w:p w:rsidR="006359C8" w:rsidRDefault="006359C8" w:rsidP="00F6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27" w:rsidRDefault="00F40A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6866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C8" w:rsidRDefault="00F40A27">
    <w:pPr>
      <w:pStyle w:val="Header"/>
      <w:rPr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6867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  <w:r w:rsidR="006359C8">
      <w:rPr>
        <w:sz w:val="16"/>
      </w:rPr>
      <w:t>Memorial Hospital</w:t>
    </w:r>
  </w:p>
  <w:p w:rsidR="006359C8" w:rsidRDefault="006359C8">
    <w:pPr>
      <w:pStyle w:val="Header"/>
      <w:rPr>
        <w:sz w:val="16"/>
      </w:rPr>
    </w:pPr>
    <w:r>
      <w:rPr>
        <w:sz w:val="16"/>
      </w:rPr>
      <w:t>Belleville, IL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27" w:rsidRDefault="00F40A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6865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84"/>
    <w:multiLevelType w:val="hybridMultilevel"/>
    <w:tmpl w:val="3FB8CBBC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C99EA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E3C85"/>
    <w:multiLevelType w:val="hybridMultilevel"/>
    <w:tmpl w:val="CD98F350"/>
    <w:lvl w:ilvl="0" w:tplc="5EAC712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E1AE3A2">
      <w:start w:val="1"/>
      <w:numFmt w:val="lowerRoman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15567A"/>
    <w:multiLevelType w:val="hybridMultilevel"/>
    <w:tmpl w:val="AF68D9B2"/>
    <w:lvl w:ilvl="0" w:tplc="97E23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49553E5"/>
    <w:multiLevelType w:val="hybridMultilevel"/>
    <w:tmpl w:val="B8D68950"/>
    <w:lvl w:ilvl="0" w:tplc="F708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BCeT2lzWaoNoBuPMAlWXkcsJuo=" w:salt="PNOhTJZhRj0eb4Pk2nNFvw=="/>
  <w:defaultTabStop w:val="72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7"/>
    <w:rsid w:val="000276D5"/>
    <w:rsid w:val="00034E67"/>
    <w:rsid w:val="000468F9"/>
    <w:rsid w:val="000559FC"/>
    <w:rsid w:val="000570AE"/>
    <w:rsid w:val="000734C8"/>
    <w:rsid w:val="000A00FA"/>
    <w:rsid w:val="000F57DE"/>
    <w:rsid w:val="00146B93"/>
    <w:rsid w:val="001719C4"/>
    <w:rsid w:val="001D5B55"/>
    <w:rsid w:val="001E5939"/>
    <w:rsid w:val="002135E7"/>
    <w:rsid w:val="00230ED3"/>
    <w:rsid w:val="00232756"/>
    <w:rsid w:val="00245A69"/>
    <w:rsid w:val="00260E41"/>
    <w:rsid w:val="002B6416"/>
    <w:rsid w:val="002B782B"/>
    <w:rsid w:val="002E0248"/>
    <w:rsid w:val="002E320F"/>
    <w:rsid w:val="00322B41"/>
    <w:rsid w:val="00342ABF"/>
    <w:rsid w:val="003675F6"/>
    <w:rsid w:val="00371D95"/>
    <w:rsid w:val="00387440"/>
    <w:rsid w:val="003F3198"/>
    <w:rsid w:val="00476BC2"/>
    <w:rsid w:val="00482164"/>
    <w:rsid w:val="0049291B"/>
    <w:rsid w:val="004F5FA5"/>
    <w:rsid w:val="0050256C"/>
    <w:rsid w:val="005047FE"/>
    <w:rsid w:val="005258F0"/>
    <w:rsid w:val="005302CF"/>
    <w:rsid w:val="00534901"/>
    <w:rsid w:val="005529DC"/>
    <w:rsid w:val="00585078"/>
    <w:rsid w:val="005B7C80"/>
    <w:rsid w:val="006359C8"/>
    <w:rsid w:val="00644E32"/>
    <w:rsid w:val="006654BA"/>
    <w:rsid w:val="006D2885"/>
    <w:rsid w:val="006D2F33"/>
    <w:rsid w:val="006E12EB"/>
    <w:rsid w:val="0071169F"/>
    <w:rsid w:val="0071768A"/>
    <w:rsid w:val="00760A3D"/>
    <w:rsid w:val="00772359"/>
    <w:rsid w:val="00790A20"/>
    <w:rsid w:val="007C1876"/>
    <w:rsid w:val="007D0C8E"/>
    <w:rsid w:val="00893208"/>
    <w:rsid w:val="009262A2"/>
    <w:rsid w:val="009566E0"/>
    <w:rsid w:val="009726FD"/>
    <w:rsid w:val="009773F6"/>
    <w:rsid w:val="00991EC0"/>
    <w:rsid w:val="0099215F"/>
    <w:rsid w:val="00994C25"/>
    <w:rsid w:val="009B250B"/>
    <w:rsid w:val="009B6212"/>
    <w:rsid w:val="00A02F66"/>
    <w:rsid w:val="00A07F75"/>
    <w:rsid w:val="00A173CB"/>
    <w:rsid w:val="00A22483"/>
    <w:rsid w:val="00A56B54"/>
    <w:rsid w:val="00A57952"/>
    <w:rsid w:val="00A95EF7"/>
    <w:rsid w:val="00AA586B"/>
    <w:rsid w:val="00AA59F7"/>
    <w:rsid w:val="00AB33D7"/>
    <w:rsid w:val="00AB4BE3"/>
    <w:rsid w:val="00AB53D9"/>
    <w:rsid w:val="00AD5F8E"/>
    <w:rsid w:val="00AF349C"/>
    <w:rsid w:val="00B03D18"/>
    <w:rsid w:val="00B1224C"/>
    <w:rsid w:val="00B13BF0"/>
    <w:rsid w:val="00B14CAB"/>
    <w:rsid w:val="00B306EE"/>
    <w:rsid w:val="00B33651"/>
    <w:rsid w:val="00B42770"/>
    <w:rsid w:val="00BC0C1E"/>
    <w:rsid w:val="00BC25A6"/>
    <w:rsid w:val="00BD6EBF"/>
    <w:rsid w:val="00BD785F"/>
    <w:rsid w:val="00BF63D0"/>
    <w:rsid w:val="00C062DB"/>
    <w:rsid w:val="00C77E88"/>
    <w:rsid w:val="00C96983"/>
    <w:rsid w:val="00CE043C"/>
    <w:rsid w:val="00CE0F64"/>
    <w:rsid w:val="00D25D1B"/>
    <w:rsid w:val="00D80630"/>
    <w:rsid w:val="00D816F2"/>
    <w:rsid w:val="00DD312D"/>
    <w:rsid w:val="00E05C50"/>
    <w:rsid w:val="00E3494D"/>
    <w:rsid w:val="00E52D5F"/>
    <w:rsid w:val="00EC387E"/>
    <w:rsid w:val="00ED43E8"/>
    <w:rsid w:val="00EF6380"/>
    <w:rsid w:val="00F40A27"/>
    <w:rsid w:val="00F65468"/>
    <w:rsid w:val="00F86019"/>
    <w:rsid w:val="00FB05B7"/>
    <w:rsid w:val="00FB6EA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F65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F65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8E8E3D5-9B2B-4F73-8542-DF021220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1211</Words>
  <Characters>5973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6</cp:revision>
  <cp:lastPrinted>2015-01-21T20:33:00Z</cp:lastPrinted>
  <dcterms:created xsi:type="dcterms:W3CDTF">2015-01-21T20:06:00Z</dcterms:created>
  <dcterms:modified xsi:type="dcterms:W3CDTF">2015-01-22T18:19:00Z</dcterms:modified>
</cp:coreProperties>
</file>