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5E" w:rsidRDefault="00897A5E" w:rsidP="00897A5E">
      <w:pPr>
        <w:pStyle w:val="ListParagraph"/>
        <w:numPr>
          <w:ilvl w:val="0"/>
          <w:numId w:val="23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Policy:</w:t>
      </w:r>
    </w:p>
    <w:p w:rsidR="00B51D12" w:rsidRDefault="00897A5E" w:rsidP="00B51D12">
      <w:pPr>
        <w:pStyle w:val="ListParagraph"/>
        <w:tabs>
          <w:tab w:val="left" w:pos="354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897A5E">
        <w:rPr>
          <w:rFonts w:ascii="Times New Roman" w:hAnsi="Times New Roman" w:cs="Times New Roman"/>
          <w:sz w:val="24"/>
          <w:szCs w:val="24"/>
        </w:rPr>
        <w:t xml:space="preserve">It is the policy of the Transfusion Service </w:t>
      </w: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897A5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Doctors Medical Center of Modesto </w:t>
      </w:r>
      <w:r w:rsidRPr="00897A5E">
        <w:rPr>
          <w:rFonts w:ascii="Times New Roman" w:hAnsi="Times New Roman" w:cs="Times New Roman"/>
          <w:sz w:val="24"/>
          <w:szCs w:val="24"/>
        </w:rPr>
        <w:t>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5E">
        <w:rPr>
          <w:rFonts w:ascii="Times New Roman" w:hAnsi="Times New Roman" w:cs="Times New Roman"/>
          <w:sz w:val="24"/>
          <w:szCs w:val="24"/>
        </w:rPr>
        <w:t>Clinical Pathologis</w:t>
      </w:r>
      <w:r>
        <w:rPr>
          <w:rFonts w:ascii="Times New Roman" w:hAnsi="Times New Roman" w:cs="Times New Roman"/>
          <w:sz w:val="24"/>
          <w:szCs w:val="24"/>
        </w:rPr>
        <w:t>t authorizes any deviation from Standard Operating P</w:t>
      </w:r>
      <w:r w:rsidRPr="00897A5E">
        <w:rPr>
          <w:rFonts w:ascii="Times New Roman" w:hAnsi="Times New Roman" w:cs="Times New Roman"/>
          <w:sz w:val="24"/>
          <w:szCs w:val="24"/>
        </w:rPr>
        <w:t>rocedure in the</w:t>
      </w:r>
      <w:r>
        <w:rPr>
          <w:rFonts w:ascii="Times New Roman" w:hAnsi="Times New Roman" w:cs="Times New Roman"/>
          <w:sz w:val="24"/>
          <w:szCs w:val="24"/>
        </w:rPr>
        <w:t xml:space="preserve"> Transfusion Service Department</w:t>
      </w:r>
      <w:r w:rsidRPr="00897A5E">
        <w:rPr>
          <w:rFonts w:ascii="Times New Roman" w:hAnsi="Times New Roman" w:cs="Times New Roman"/>
          <w:sz w:val="24"/>
          <w:szCs w:val="24"/>
        </w:rPr>
        <w:t xml:space="preserve">. Authorization of the deviation will be documented on the </w:t>
      </w:r>
      <w:r>
        <w:rPr>
          <w:rFonts w:ascii="Times New Roman" w:hAnsi="Times New Roman" w:cs="Times New Roman"/>
          <w:sz w:val="24"/>
          <w:szCs w:val="24"/>
        </w:rPr>
        <w:t>“Authorized Deviation Form</w:t>
      </w:r>
      <w:r w:rsidR="00B53073">
        <w:rPr>
          <w:rFonts w:ascii="Times New Roman" w:hAnsi="Times New Roman" w:cs="Times New Roman"/>
          <w:sz w:val="24"/>
          <w:szCs w:val="24"/>
        </w:rPr>
        <w:t xml:space="preserve"> – I.Pol.23.0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97A5E">
        <w:rPr>
          <w:rFonts w:ascii="Times New Roman" w:hAnsi="Times New Roman" w:cs="Times New Roman"/>
          <w:sz w:val="24"/>
          <w:szCs w:val="24"/>
        </w:rPr>
        <w:t>.</w:t>
      </w:r>
    </w:p>
    <w:p w:rsidR="00062A36" w:rsidRDefault="00062A36" w:rsidP="00062A36">
      <w:pPr>
        <w:tabs>
          <w:tab w:val="left" w:pos="354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62A36">
        <w:rPr>
          <w:rFonts w:ascii="Times New Roman" w:hAnsi="Times New Roman" w:cs="Times New Roman"/>
          <w:b/>
          <w:bCs/>
          <w:sz w:val="24"/>
          <w:szCs w:val="24"/>
        </w:rPr>
        <w:t>This Policy addresses the following CAP accreditation requirements:</w:t>
      </w:r>
    </w:p>
    <w:p w:rsidR="00062A36" w:rsidRDefault="00062A36" w:rsidP="00062A36">
      <w:pPr>
        <w:pStyle w:val="ListParagraph"/>
        <w:numPr>
          <w:ilvl w:val="0"/>
          <w:numId w:val="35"/>
        </w:num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 - </w:t>
      </w:r>
      <w:r w:rsidRPr="00062A36">
        <w:rPr>
          <w:rFonts w:ascii="Times New Roman" w:hAnsi="Times New Roman" w:cs="Times New Roman"/>
          <w:sz w:val="24"/>
          <w:szCs w:val="24"/>
        </w:rPr>
        <w:t>TRM.44996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2A36">
        <w:rPr>
          <w:rFonts w:ascii="Times New Roman" w:hAnsi="Times New Roman" w:cs="Times New Roman"/>
          <w:sz w:val="24"/>
          <w:szCs w:val="24"/>
        </w:rPr>
        <w:t>Deviations from SOP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A36" w:rsidRPr="00904F4D" w:rsidRDefault="00062A36" w:rsidP="00904F4D">
      <w:pPr>
        <w:pStyle w:val="ListParagraph"/>
        <w:numPr>
          <w:ilvl w:val="0"/>
          <w:numId w:val="35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062A36">
        <w:rPr>
          <w:rFonts w:ascii="Times New Roman" w:hAnsi="Times New Roman" w:cs="Times New Roman"/>
          <w:sz w:val="24"/>
          <w:szCs w:val="24"/>
        </w:rPr>
        <w:t>CAP - TRM.30900 - Records of Deviation From SOP</w:t>
      </w:r>
    </w:p>
    <w:p w:rsidR="00B51D12" w:rsidRPr="00B51D12" w:rsidRDefault="00B51D12" w:rsidP="00B51D12">
      <w:pPr>
        <w:pStyle w:val="ListParagraph"/>
        <w:tabs>
          <w:tab w:val="left" w:pos="354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897A5E" w:rsidRDefault="00897A5E" w:rsidP="00897A5E">
      <w:pPr>
        <w:pStyle w:val="ListParagraph"/>
        <w:numPr>
          <w:ilvl w:val="0"/>
          <w:numId w:val="23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Procedure:</w:t>
      </w:r>
    </w:p>
    <w:p w:rsidR="00B53073" w:rsidRDefault="00897A5E" w:rsidP="00897A5E">
      <w:pPr>
        <w:pStyle w:val="ListParagraph"/>
        <w:numPr>
          <w:ilvl w:val="0"/>
          <w:numId w:val="24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897A5E">
        <w:rPr>
          <w:rFonts w:ascii="Times New Roman" w:hAnsi="Times New Roman" w:cs="Times New Roman"/>
          <w:sz w:val="24"/>
          <w:szCs w:val="24"/>
        </w:rPr>
        <w:t>The Clinical Pathologist will authorize any deviation in standard operating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5E">
        <w:rPr>
          <w:rFonts w:ascii="Times New Roman" w:hAnsi="Times New Roman" w:cs="Times New Roman"/>
          <w:sz w:val="24"/>
          <w:szCs w:val="24"/>
        </w:rPr>
        <w:t>procedure required in the transfusion service. This will include, but not limited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5E">
        <w:rPr>
          <w:rFonts w:ascii="Times New Roman" w:hAnsi="Times New Roman" w:cs="Times New Roman"/>
          <w:sz w:val="24"/>
          <w:szCs w:val="24"/>
        </w:rPr>
        <w:t>to: pre-transfusion specimen collection, Rh positive interchange (excluding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97A5E">
        <w:rPr>
          <w:rFonts w:ascii="Times New Roman" w:hAnsi="Times New Roman" w:cs="Times New Roman"/>
          <w:sz w:val="24"/>
          <w:szCs w:val="24"/>
        </w:rPr>
        <w:t xml:space="preserve">rauma, MTP or </w:t>
      </w:r>
      <w:r>
        <w:rPr>
          <w:rFonts w:ascii="Times New Roman" w:hAnsi="Times New Roman" w:cs="Times New Roman"/>
          <w:sz w:val="24"/>
          <w:szCs w:val="24"/>
        </w:rPr>
        <w:t>Abdominal Aortic Aneurysm</w:t>
      </w:r>
      <w:r w:rsidRPr="00897A5E">
        <w:rPr>
          <w:rFonts w:ascii="Times New Roman" w:hAnsi="Times New Roman" w:cs="Times New Roman"/>
          <w:sz w:val="24"/>
          <w:szCs w:val="24"/>
        </w:rPr>
        <w:t xml:space="preserve"> patient), compatibility testing, blood storage or distribution,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5E">
        <w:rPr>
          <w:rFonts w:ascii="Times New Roman" w:hAnsi="Times New Roman" w:cs="Times New Roman"/>
          <w:sz w:val="24"/>
          <w:szCs w:val="24"/>
        </w:rPr>
        <w:t>transfusion, transfusion reaction protocol, or post-transfusion care.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A5E" w:rsidRDefault="00897A5E" w:rsidP="00B53073">
      <w:pPr>
        <w:pStyle w:val="ListParagraph"/>
        <w:tabs>
          <w:tab w:val="left" w:pos="3544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897A5E">
        <w:rPr>
          <w:rFonts w:ascii="Times New Roman" w:hAnsi="Times New Roman" w:cs="Times New Roman"/>
          <w:b/>
          <w:sz w:val="24"/>
          <w:szCs w:val="24"/>
        </w:rPr>
        <w:t>Examples may include</w:t>
      </w:r>
      <w:r w:rsidRPr="00897A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7A5E" w:rsidRDefault="00897A5E" w:rsidP="00897A5E">
      <w:pPr>
        <w:pStyle w:val="ListParagraph"/>
        <w:numPr>
          <w:ilvl w:val="0"/>
          <w:numId w:val="25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97A5E">
        <w:rPr>
          <w:rFonts w:ascii="Times New Roman" w:hAnsi="Times New Roman" w:cs="Times New Roman"/>
          <w:sz w:val="24"/>
          <w:szCs w:val="24"/>
        </w:rPr>
        <w:t xml:space="preserve">nability to antigen-type donor unit due to rarity </w:t>
      </w:r>
      <w:r w:rsidR="000E1964">
        <w:rPr>
          <w:rFonts w:ascii="Times New Roman" w:hAnsi="Times New Roman" w:cs="Times New Roman"/>
          <w:sz w:val="24"/>
          <w:szCs w:val="24"/>
        </w:rPr>
        <w:t xml:space="preserve">or unavailability </w:t>
      </w:r>
      <w:r>
        <w:rPr>
          <w:rFonts w:ascii="Times New Roman" w:hAnsi="Times New Roman" w:cs="Times New Roman"/>
          <w:sz w:val="24"/>
          <w:szCs w:val="24"/>
        </w:rPr>
        <w:t>of antisera.</w:t>
      </w:r>
    </w:p>
    <w:p w:rsidR="00897A5E" w:rsidRDefault="00897A5E" w:rsidP="00897A5E">
      <w:pPr>
        <w:pStyle w:val="ListParagraph"/>
        <w:numPr>
          <w:ilvl w:val="0"/>
          <w:numId w:val="25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97A5E">
        <w:rPr>
          <w:rFonts w:ascii="Times New Roman" w:hAnsi="Times New Roman" w:cs="Times New Roman"/>
          <w:sz w:val="24"/>
          <w:szCs w:val="24"/>
        </w:rPr>
        <w:t>xtension of the period for antibody identification of patient with warm autoantibo</w:t>
      </w:r>
      <w:r>
        <w:rPr>
          <w:rFonts w:ascii="Times New Roman" w:hAnsi="Times New Roman" w:cs="Times New Roman"/>
          <w:sz w:val="24"/>
          <w:szCs w:val="24"/>
        </w:rPr>
        <w:t xml:space="preserve">dies requiring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</w:t>
      </w:r>
      <w:proofErr w:type="spellEnd"/>
      <w:r>
        <w:rPr>
          <w:rFonts w:ascii="Times New Roman" w:hAnsi="Times New Roman" w:cs="Times New Roman"/>
          <w:sz w:val="24"/>
          <w:szCs w:val="24"/>
        </w:rPr>
        <w:t>-adsorption.</w:t>
      </w:r>
    </w:p>
    <w:p w:rsidR="00897A5E" w:rsidRDefault="00897A5E" w:rsidP="00FC1E85">
      <w:pPr>
        <w:pStyle w:val="ListParagraph"/>
        <w:numPr>
          <w:ilvl w:val="0"/>
          <w:numId w:val="25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897A5E">
        <w:rPr>
          <w:rFonts w:ascii="Times New Roman" w:hAnsi="Times New Roman" w:cs="Times New Roman"/>
          <w:sz w:val="24"/>
          <w:szCs w:val="24"/>
        </w:rPr>
        <w:t>Rh positive blood for Rh negative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5E">
        <w:rPr>
          <w:rFonts w:ascii="Times New Roman" w:hAnsi="Times New Roman" w:cs="Times New Roman"/>
          <w:sz w:val="24"/>
          <w:szCs w:val="24"/>
        </w:rPr>
        <w:t>recipient.</w:t>
      </w:r>
    </w:p>
    <w:p w:rsidR="000E4F3E" w:rsidRPr="00FC1E85" w:rsidRDefault="000E4F3E" w:rsidP="000E4F3E">
      <w:pPr>
        <w:pStyle w:val="ListParagraph"/>
        <w:tabs>
          <w:tab w:val="left" w:pos="3544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897A5E" w:rsidRDefault="00897A5E" w:rsidP="00897A5E">
      <w:pPr>
        <w:pStyle w:val="ListParagraph"/>
        <w:numPr>
          <w:ilvl w:val="0"/>
          <w:numId w:val="24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897A5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CLS</w:t>
      </w:r>
      <w:r w:rsidRPr="00897A5E">
        <w:rPr>
          <w:rFonts w:ascii="Times New Roman" w:hAnsi="Times New Roman" w:cs="Times New Roman"/>
          <w:sz w:val="24"/>
          <w:szCs w:val="24"/>
        </w:rPr>
        <w:t xml:space="preserve"> will complete </w:t>
      </w:r>
      <w:r>
        <w:rPr>
          <w:rFonts w:ascii="Times New Roman" w:hAnsi="Times New Roman" w:cs="Times New Roman"/>
          <w:sz w:val="24"/>
          <w:szCs w:val="24"/>
        </w:rPr>
        <w:t>“Authorized Deviation Form”</w:t>
      </w:r>
      <w:r w:rsidRPr="00897A5E">
        <w:rPr>
          <w:rFonts w:ascii="Times New Roman" w:hAnsi="Times New Roman" w:cs="Times New Roman"/>
          <w:sz w:val="24"/>
          <w:szCs w:val="24"/>
        </w:rPr>
        <w:t xml:space="preserve"> and confer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5E">
        <w:rPr>
          <w:rFonts w:ascii="Times New Roman" w:hAnsi="Times New Roman" w:cs="Times New Roman"/>
          <w:sz w:val="24"/>
          <w:szCs w:val="24"/>
        </w:rPr>
        <w:t>with the Clinical Pathologist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5E">
        <w:rPr>
          <w:rFonts w:ascii="Times New Roman" w:hAnsi="Times New Roman" w:cs="Times New Roman"/>
          <w:sz w:val="24"/>
          <w:szCs w:val="24"/>
        </w:rPr>
        <w:t>deviation. The pathologist will authorize the deviation.</w:t>
      </w:r>
    </w:p>
    <w:p w:rsidR="000E4F3E" w:rsidRPr="00897A5E" w:rsidRDefault="000E4F3E" w:rsidP="000E4F3E">
      <w:pPr>
        <w:pStyle w:val="ListParagraph"/>
        <w:tabs>
          <w:tab w:val="left" w:pos="354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E4F3E" w:rsidRDefault="00897A5E" w:rsidP="000E4F3E">
      <w:pPr>
        <w:pStyle w:val="ListParagraph"/>
        <w:numPr>
          <w:ilvl w:val="0"/>
          <w:numId w:val="24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897A5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comment</w:t>
      </w:r>
      <w:r w:rsidRPr="00897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“Authorized D</w:t>
      </w:r>
      <w:r w:rsidRPr="00897A5E">
        <w:rPr>
          <w:rFonts w:ascii="Times New Roman" w:hAnsi="Times New Roman" w:cs="Times New Roman"/>
          <w:sz w:val="24"/>
          <w:szCs w:val="24"/>
        </w:rPr>
        <w:t>eviation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D12">
        <w:rPr>
          <w:rFonts w:ascii="Times New Roman" w:hAnsi="Times New Roman" w:cs="Times New Roman"/>
          <w:sz w:val="24"/>
          <w:szCs w:val="24"/>
        </w:rPr>
        <w:t>from SOP</w:t>
      </w:r>
      <w:r w:rsidRPr="00897A5E">
        <w:rPr>
          <w:rFonts w:ascii="Times New Roman" w:hAnsi="Times New Roman" w:cs="Times New Roman"/>
          <w:sz w:val="24"/>
          <w:szCs w:val="24"/>
        </w:rPr>
        <w:t xml:space="preserve">” will be </w:t>
      </w:r>
      <w:r w:rsidR="00B51D12">
        <w:rPr>
          <w:rFonts w:ascii="Times New Roman" w:hAnsi="Times New Roman" w:cs="Times New Roman"/>
          <w:sz w:val="24"/>
          <w:szCs w:val="24"/>
        </w:rPr>
        <w:t>typed</w:t>
      </w:r>
      <w:r w:rsidRPr="00897A5E">
        <w:rPr>
          <w:rFonts w:ascii="Times New Roman" w:hAnsi="Times New Roman" w:cs="Times New Roman"/>
          <w:sz w:val="24"/>
          <w:szCs w:val="24"/>
        </w:rPr>
        <w:t xml:space="preserve"> on the patient</w:t>
      </w:r>
      <w:r w:rsidR="00FC1E85">
        <w:rPr>
          <w:rFonts w:ascii="Times New Roman" w:hAnsi="Times New Roman" w:cs="Times New Roman"/>
          <w:sz w:val="24"/>
          <w:szCs w:val="24"/>
        </w:rPr>
        <w:t>’s Blood B</w:t>
      </w:r>
      <w:r>
        <w:rPr>
          <w:rFonts w:ascii="Times New Roman" w:hAnsi="Times New Roman" w:cs="Times New Roman"/>
          <w:sz w:val="24"/>
          <w:szCs w:val="24"/>
        </w:rPr>
        <w:t xml:space="preserve">ank </w:t>
      </w:r>
      <w:r w:rsidR="00FC1E85">
        <w:rPr>
          <w:rFonts w:ascii="Times New Roman" w:hAnsi="Times New Roman" w:cs="Times New Roman"/>
          <w:sz w:val="24"/>
          <w:szCs w:val="24"/>
        </w:rPr>
        <w:t>comment field</w:t>
      </w:r>
      <w:r>
        <w:rPr>
          <w:rFonts w:ascii="Times New Roman" w:hAnsi="Times New Roman" w:cs="Times New Roman"/>
          <w:sz w:val="24"/>
          <w:szCs w:val="24"/>
        </w:rPr>
        <w:t xml:space="preserve"> by the CLS who obtains the deviation.</w:t>
      </w:r>
    </w:p>
    <w:p w:rsidR="000E4F3E" w:rsidRPr="000E4F3E" w:rsidRDefault="000E4F3E" w:rsidP="000E4F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4F3E" w:rsidRDefault="00897A5E" w:rsidP="000E4F3E">
      <w:pPr>
        <w:pStyle w:val="ListParagraph"/>
        <w:numPr>
          <w:ilvl w:val="0"/>
          <w:numId w:val="24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0E4F3E">
        <w:rPr>
          <w:rFonts w:ascii="Times New Roman" w:hAnsi="Times New Roman" w:cs="Times New Roman"/>
          <w:sz w:val="24"/>
          <w:szCs w:val="24"/>
        </w:rPr>
        <w:t>In the event the deviation is detected after the event, the event must be investigated</w:t>
      </w:r>
      <w:r w:rsidR="00031142" w:rsidRPr="000E4F3E">
        <w:rPr>
          <w:rFonts w:ascii="Times New Roman" w:hAnsi="Times New Roman" w:cs="Times New Roman"/>
          <w:sz w:val="24"/>
          <w:szCs w:val="24"/>
        </w:rPr>
        <w:t xml:space="preserve"> </w:t>
      </w:r>
      <w:r w:rsidRPr="000E4F3E">
        <w:rPr>
          <w:rFonts w:ascii="Times New Roman" w:hAnsi="Times New Roman" w:cs="Times New Roman"/>
          <w:sz w:val="24"/>
          <w:szCs w:val="24"/>
        </w:rPr>
        <w:t xml:space="preserve">according to policy </w:t>
      </w:r>
      <w:r w:rsidR="00031142" w:rsidRPr="000E4F3E">
        <w:rPr>
          <w:rFonts w:ascii="Times New Roman" w:hAnsi="Times New Roman" w:cs="Times New Roman"/>
          <w:sz w:val="24"/>
          <w:szCs w:val="24"/>
        </w:rPr>
        <w:t xml:space="preserve">“Investigating and Evaluating Incidents or Unusual Occurrences” </w:t>
      </w:r>
      <w:r w:rsidR="00FC1E85" w:rsidRPr="000E4F3E">
        <w:rPr>
          <w:rFonts w:ascii="Times New Roman" w:hAnsi="Times New Roman" w:cs="Times New Roman"/>
          <w:sz w:val="24"/>
          <w:szCs w:val="24"/>
        </w:rPr>
        <w:t xml:space="preserve">SOP: </w:t>
      </w:r>
      <w:r w:rsidR="00031142" w:rsidRPr="000E4F3E">
        <w:rPr>
          <w:rFonts w:ascii="Times New Roman" w:hAnsi="Times New Roman" w:cs="Times New Roman"/>
          <w:sz w:val="24"/>
          <w:szCs w:val="24"/>
        </w:rPr>
        <w:t>I.Q.19.</w:t>
      </w:r>
    </w:p>
    <w:p w:rsidR="000E4F3E" w:rsidRPr="000E4F3E" w:rsidRDefault="000E4F3E" w:rsidP="000E4F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1E85" w:rsidRPr="000E4F3E" w:rsidRDefault="00762FD7" w:rsidP="000E4F3E">
      <w:pPr>
        <w:pStyle w:val="ListParagraph"/>
        <w:numPr>
          <w:ilvl w:val="0"/>
          <w:numId w:val="24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0E4F3E">
        <w:rPr>
          <w:rFonts w:ascii="Times New Roman" w:hAnsi="Times New Roman" w:cs="Times New Roman"/>
          <w:sz w:val="24"/>
          <w:szCs w:val="24"/>
        </w:rPr>
        <w:lastRenderedPageBreak/>
        <w:t>During afterhours or when in-house Pathologists are unavailable, the on-call Pathologist will be contacted and asked for the approval of the Deviation from S</w:t>
      </w:r>
      <w:r w:rsidR="002C08D7" w:rsidRPr="000E4F3E">
        <w:rPr>
          <w:rFonts w:ascii="Times New Roman" w:hAnsi="Times New Roman" w:cs="Times New Roman"/>
          <w:sz w:val="24"/>
          <w:szCs w:val="24"/>
        </w:rPr>
        <w:t>tandard Operating Procedure</w:t>
      </w:r>
      <w:r w:rsidRPr="000E4F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E85" w:rsidRPr="00031142" w:rsidRDefault="00FC1E85" w:rsidP="000E4F3E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FC1E85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2C08D7" w:rsidRPr="00FC1E85">
        <w:rPr>
          <w:rFonts w:ascii="Times New Roman" w:hAnsi="Times New Roman" w:cs="Times New Roman"/>
          <w:i/>
          <w:sz w:val="24"/>
          <w:szCs w:val="24"/>
        </w:rPr>
        <w:t>To contact the on-call Pathologist, dial phone # 209-577-1040.</w:t>
      </w:r>
    </w:p>
    <w:p w:rsidR="00031142" w:rsidRDefault="00031142" w:rsidP="00897A5E">
      <w:pPr>
        <w:pStyle w:val="ListParagraph"/>
        <w:numPr>
          <w:ilvl w:val="0"/>
          <w:numId w:val="23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</w:t>
      </w:r>
    </w:p>
    <w:p w:rsidR="00B51D12" w:rsidRDefault="00FB53B5" w:rsidP="00BF147A">
      <w:pPr>
        <w:pStyle w:val="ListParagraph"/>
        <w:numPr>
          <w:ilvl w:val="0"/>
          <w:numId w:val="27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original copy</w:t>
      </w:r>
      <w:r w:rsidR="00031142">
        <w:rPr>
          <w:rFonts w:ascii="Times New Roman" w:hAnsi="Times New Roman" w:cs="Times New Roman"/>
          <w:sz w:val="24"/>
          <w:szCs w:val="24"/>
        </w:rPr>
        <w:t xml:space="preserve"> of </w:t>
      </w:r>
      <w:r w:rsidR="00897A5E" w:rsidRPr="00031142">
        <w:rPr>
          <w:rFonts w:ascii="Times New Roman" w:hAnsi="Times New Roman" w:cs="Times New Roman"/>
          <w:sz w:val="24"/>
          <w:szCs w:val="24"/>
        </w:rPr>
        <w:t xml:space="preserve">the </w:t>
      </w:r>
      <w:r w:rsidR="00031142">
        <w:rPr>
          <w:rFonts w:ascii="Times New Roman" w:hAnsi="Times New Roman" w:cs="Times New Roman"/>
          <w:sz w:val="24"/>
          <w:szCs w:val="24"/>
        </w:rPr>
        <w:t xml:space="preserve">Deviation from SOP </w:t>
      </w:r>
      <w:r w:rsidR="00897A5E" w:rsidRPr="00031142">
        <w:rPr>
          <w:rFonts w:ascii="Times New Roman" w:hAnsi="Times New Roman" w:cs="Times New Roman"/>
          <w:sz w:val="24"/>
          <w:szCs w:val="24"/>
        </w:rPr>
        <w:t xml:space="preserve">form will be </w:t>
      </w:r>
      <w:r w:rsidR="00031142">
        <w:rPr>
          <w:rFonts w:ascii="Times New Roman" w:hAnsi="Times New Roman" w:cs="Times New Roman"/>
          <w:sz w:val="24"/>
          <w:szCs w:val="24"/>
        </w:rPr>
        <w:t xml:space="preserve">attached to the patient’s PINK sheet </w:t>
      </w:r>
      <w:r w:rsidR="00897A5E" w:rsidRPr="00031142">
        <w:rPr>
          <w:rFonts w:ascii="Times New Roman" w:hAnsi="Times New Roman" w:cs="Times New Roman"/>
          <w:sz w:val="24"/>
          <w:szCs w:val="24"/>
        </w:rPr>
        <w:t>during the</w:t>
      </w:r>
      <w:r w:rsidR="00031142">
        <w:rPr>
          <w:rFonts w:ascii="Times New Roman" w:hAnsi="Times New Roman" w:cs="Times New Roman"/>
          <w:sz w:val="24"/>
          <w:szCs w:val="24"/>
        </w:rPr>
        <w:t xml:space="preserve"> </w:t>
      </w:r>
      <w:r w:rsidR="00897A5E" w:rsidRPr="00031142">
        <w:rPr>
          <w:rFonts w:ascii="Times New Roman" w:hAnsi="Times New Roman" w:cs="Times New Roman"/>
          <w:sz w:val="24"/>
          <w:szCs w:val="24"/>
        </w:rPr>
        <w:t>duration of the care of the patient involved</w:t>
      </w:r>
      <w:r>
        <w:rPr>
          <w:rFonts w:ascii="Times New Roman" w:hAnsi="Times New Roman" w:cs="Times New Roman"/>
          <w:sz w:val="24"/>
          <w:szCs w:val="24"/>
        </w:rPr>
        <w:t xml:space="preserve">. Once the patient is discharged, make a copy of the Deviation from SOP form and send it to Medical Record </w:t>
      </w:r>
      <w:r w:rsidR="00FC1E85">
        <w:rPr>
          <w:rFonts w:ascii="Times New Roman" w:hAnsi="Times New Roman" w:cs="Times New Roman"/>
          <w:sz w:val="24"/>
          <w:szCs w:val="24"/>
        </w:rPr>
        <w:t xml:space="preserve">(stamped with Chart Copy) </w:t>
      </w:r>
      <w:r>
        <w:rPr>
          <w:rFonts w:ascii="Times New Roman" w:hAnsi="Times New Roman" w:cs="Times New Roman"/>
          <w:sz w:val="24"/>
          <w:szCs w:val="24"/>
        </w:rPr>
        <w:t xml:space="preserve">so it will be scanned to the patient’s chart. Send the original copy </w:t>
      </w:r>
      <w:r w:rsidR="00BF147A">
        <w:rPr>
          <w:rFonts w:ascii="Times New Roman" w:hAnsi="Times New Roman" w:cs="Times New Roman"/>
          <w:sz w:val="24"/>
          <w:szCs w:val="24"/>
        </w:rPr>
        <w:t xml:space="preserve">of the Deviation from SOP form </w:t>
      </w:r>
      <w:r>
        <w:rPr>
          <w:rFonts w:ascii="Times New Roman" w:hAnsi="Times New Roman" w:cs="Times New Roman"/>
          <w:sz w:val="24"/>
          <w:szCs w:val="24"/>
        </w:rPr>
        <w:t xml:space="preserve">to the Transfusion Service Supervisor for </w:t>
      </w:r>
      <w:r w:rsidR="00BF147A">
        <w:rPr>
          <w:rFonts w:ascii="Times New Roman" w:hAnsi="Times New Roman" w:cs="Times New Roman"/>
          <w:sz w:val="24"/>
          <w:szCs w:val="24"/>
        </w:rPr>
        <w:t>archiving.</w:t>
      </w:r>
      <w:r w:rsidR="00897A5E" w:rsidRPr="00031142">
        <w:rPr>
          <w:rFonts w:ascii="Times New Roman" w:hAnsi="Times New Roman" w:cs="Times New Roman"/>
          <w:sz w:val="24"/>
          <w:szCs w:val="24"/>
        </w:rPr>
        <w:t xml:space="preserve"> The original form will be archived in </w:t>
      </w:r>
      <w:r w:rsidR="00BF147A">
        <w:rPr>
          <w:rFonts w:ascii="Times New Roman" w:hAnsi="Times New Roman" w:cs="Times New Roman"/>
          <w:sz w:val="24"/>
          <w:szCs w:val="24"/>
        </w:rPr>
        <w:t xml:space="preserve">the </w:t>
      </w:r>
      <w:r w:rsidR="00897A5E" w:rsidRPr="00031142">
        <w:rPr>
          <w:rFonts w:ascii="Times New Roman" w:hAnsi="Times New Roman" w:cs="Times New Roman"/>
          <w:sz w:val="24"/>
          <w:szCs w:val="24"/>
        </w:rPr>
        <w:t>Blood</w:t>
      </w:r>
      <w:r w:rsidR="00031142">
        <w:rPr>
          <w:rFonts w:ascii="Times New Roman" w:hAnsi="Times New Roman" w:cs="Times New Roman"/>
          <w:sz w:val="24"/>
          <w:szCs w:val="24"/>
        </w:rPr>
        <w:t xml:space="preserve"> </w:t>
      </w:r>
      <w:r w:rsidR="00897A5E" w:rsidRPr="00031142">
        <w:rPr>
          <w:rFonts w:ascii="Times New Roman" w:hAnsi="Times New Roman" w:cs="Times New Roman"/>
          <w:sz w:val="24"/>
          <w:szCs w:val="24"/>
        </w:rPr>
        <w:t xml:space="preserve">Bank records for a period of 10 years. </w:t>
      </w:r>
    </w:p>
    <w:p w:rsidR="00BF147A" w:rsidRPr="00BF147A" w:rsidRDefault="00BF147A" w:rsidP="00BF147A">
      <w:pPr>
        <w:pStyle w:val="ListParagraph"/>
        <w:tabs>
          <w:tab w:val="left" w:pos="354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1142" w:rsidRDefault="00031142" w:rsidP="00897A5E">
      <w:pPr>
        <w:pStyle w:val="ListParagraph"/>
        <w:numPr>
          <w:ilvl w:val="0"/>
          <w:numId w:val="23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031142" w:rsidRPr="00031142" w:rsidRDefault="00897A5E" w:rsidP="00031142">
      <w:pPr>
        <w:pStyle w:val="ListParagraph"/>
        <w:numPr>
          <w:ilvl w:val="0"/>
          <w:numId w:val="28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031142">
        <w:rPr>
          <w:rFonts w:ascii="Times New Roman" w:hAnsi="Times New Roman" w:cs="Times New Roman"/>
          <w:sz w:val="24"/>
          <w:szCs w:val="24"/>
        </w:rPr>
        <w:t>Accreditation Requirements</w:t>
      </w:r>
      <w:r w:rsidR="00031142">
        <w:rPr>
          <w:rFonts w:ascii="Times New Roman" w:hAnsi="Times New Roman" w:cs="Times New Roman"/>
          <w:sz w:val="24"/>
          <w:szCs w:val="24"/>
        </w:rPr>
        <w:t xml:space="preserve"> </w:t>
      </w:r>
      <w:r w:rsidR="00031142" w:rsidRPr="00031142">
        <w:rPr>
          <w:rFonts w:ascii="Times New Roman" w:hAnsi="Times New Roman" w:cs="Times New Roman"/>
          <w:sz w:val="24"/>
          <w:szCs w:val="24"/>
        </w:rPr>
        <w:t>Manual, American Association of Blood Banks, Bethesda,</w:t>
      </w:r>
      <w:r w:rsidR="00031142">
        <w:rPr>
          <w:rFonts w:ascii="Times New Roman" w:hAnsi="Times New Roman" w:cs="Times New Roman"/>
          <w:sz w:val="24"/>
          <w:szCs w:val="24"/>
        </w:rPr>
        <w:t xml:space="preserve"> </w:t>
      </w:r>
      <w:r w:rsidR="00031142" w:rsidRPr="00031142">
        <w:rPr>
          <w:rFonts w:ascii="Times New Roman" w:hAnsi="Times New Roman" w:cs="Times New Roman"/>
          <w:sz w:val="24"/>
          <w:szCs w:val="24"/>
        </w:rPr>
        <w:t>1995.</w:t>
      </w:r>
    </w:p>
    <w:p w:rsidR="00031142" w:rsidRPr="00031142" w:rsidRDefault="00031142" w:rsidP="00031142">
      <w:pPr>
        <w:pStyle w:val="ListParagraph"/>
        <w:numPr>
          <w:ilvl w:val="0"/>
          <w:numId w:val="28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031142">
        <w:rPr>
          <w:rFonts w:ascii="Times New Roman" w:hAnsi="Times New Roman" w:cs="Times New Roman"/>
          <w:sz w:val="24"/>
          <w:szCs w:val="24"/>
        </w:rPr>
        <w:t>College of American Pathologists Transfusion Medicine Checklist, Northfield, IL, 2012</w:t>
      </w:r>
    </w:p>
    <w:p w:rsidR="00E13642" w:rsidRDefault="00031142" w:rsidP="00B51D12">
      <w:pPr>
        <w:pStyle w:val="ListParagraph"/>
        <w:numPr>
          <w:ilvl w:val="0"/>
          <w:numId w:val="28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031142">
        <w:rPr>
          <w:rFonts w:ascii="Times New Roman" w:hAnsi="Times New Roman" w:cs="Times New Roman"/>
          <w:sz w:val="24"/>
          <w:szCs w:val="24"/>
        </w:rPr>
        <w:t>Standards for Blood Banks and Transfusion Services, AABB, Bethesda, MD, 30th Ed.,</w:t>
      </w:r>
      <w:r w:rsidR="00B51D12">
        <w:rPr>
          <w:rFonts w:ascii="Times New Roman" w:hAnsi="Times New Roman" w:cs="Times New Roman"/>
          <w:sz w:val="24"/>
          <w:szCs w:val="24"/>
        </w:rPr>
        <w:t xml:space="preserve"> </w:t>
      </w:r>
      <w:r w:rsidRPr="00B51D12">
        <w:rPr>
          <w:rFonts w:ascii="Times New Roman" w:hAnsi="Times New Roman" w:cs="Times New Roman"/>
          <w:sz w:val="24"/>
          <w:szCs w:val="24"/>
        </w:rPr>
        <w:t>2016</w:t>
      </w:r>
    </w:p>
    <w:p w:rsidR="000E4F3E" w:rsidRDefault="000E4F3E" w:rsidP="000E4F3E">
      <w:pPr>
        <w:pStyle w:val="ListParagraph"/>
        <w:tabs>
          <w:tab w:val="left" w:pos="354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B51D12">
      <w:pPr>
        <w:pStyle w:val="ListParagraph"/>
        <w:numPr>
          <w:ilvl w:val="0"/>
          <w:numId w:val="23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Appendix:</w:t>
      </w:r>
    </w:p>
    <w:p w:rsidR="00B51D12" w:rsidRPr="00B51D12" w:rsidRDefault="00B51D12" w:rsidP="00B51D12">
      <w:pPr>
        <w:pStyle w:val="ListParagraph"/>
        <w:numPr>
          <w:ilvl w:val="0"/>
          <w:numId w:val="29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Deviation from SOP form</w:t>
      </w:r>
    </w:p>
    <w:p w:rsidR="00926074" w:rsidRDefault="00926074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347369" w:rsidRDefault="00347369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347369" w:rsidRDefault="00347369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347369" w:rsidRDefault="00347369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D7290E" w:rsidRDefault="00D7290E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D7290E" w:rsidRDefault="00D7290E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904F4D" w:rsidRDefault="00904F4D" w:rsidP="00B51D1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Pr="00B51D12" w:rsidRDefault="00B51D12" w:rsidP="00B51D1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Appendix: A - </w:t>
      </w:r>
      <w:r w:rsidRPr="00B51D12">
        <w:rPr>
          <w:rFonts w:ascii="Times New Roman" w:hAnsi="Times New Roman" w:cs="Times New Roman"/>
          <w:sz w:val="24"/>
          <w:szCs w:val="24"/>
        </w:rPr>
        <w:t>Deviation from SOP Form</w:t>
      </w:r>
    </w:p>
    <w:p w:rsidR="00B51D12" w:rsidRPr="00B51D12" w:rsidRDefault="00B51D12" w:rsidP="00B51D12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D12">
        <w:rPr>
          <w:rFonts w:ascii="Times New Roman" w:hAnsi="Times New Roman" w:cs="Times New Roman"/>
          <w:b/>
          <w:bCs/>
          <w:sz w:val="24"/>
          <w:szCs w:val="24"/>
        </w:rPr>
        <w:t>Transfusion Service</w:t>
      </w:r>
    </w:p>
    <w:p w:rsidR="00B51D12" w:rsidRPr="00B51D12" w:rsidRDefault="00B51D12" w:rsidP="00B51D12">
      <w:p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Based on the following information, a deviation from standard operat</w:t>
      </w:r>
      <w:r>
        <w:rPr>
          <w:rFonts w:ascii="Times New Roman" w:hAnsi="Times New Roman" w:cs="Times New Roman"/>
          <w:bCs/>
          <w:sz w:val="24"/>
          <w:szCs w:val="24"/>
        </w:rPr>
        <w:t xml:space="preserve">ing procedure has been </w:t>
      </w:r>
      <w:r w:rsidRPr="00B51D12">
        <w:rPr>
          <w:rFonts w:ascii="Times New Roman" w:hAnsi="Times New Roman" w:cs="Times New Roman"/>
          <w:bCs/>
          <w:sz w:val="24"/>
          <w:szCs w:val="24"/>
        </w:rPr>
        <w:t>approved:</w:t>
      </w:r>
    </w:p>
    <w:p w:rsidR="00BF147A" w:rsidRDefault="00B51D12" w:rsidP="00BF147A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D21D" wp14:editId="4C1C691E">
                <wp:simplePos x="0" y="0"/>
                <wp:positionH relativeFrom="column">
                  <wp:posOffset>29210</wp:posOffset>
                </wp:positionH>
                <wp:positionV relativeFrom="paragraph">
                  <wp:posOffset>55245</wp:posOffset>
                </wp:positionV>
                <wp:extent cx="1858645" cy="1178560"/>
                <wp:effectExtent l="0" t="0" r="2730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1178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D12" w:rsidRDefault="00B51D12" w:rsidP="00B51D12">
                            <w:pPr>
                              <w:jc w:val="center"/>
                            </w:pPr>
                            <w:r>
                              <w:t>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.3pt;margin-top:4.35pt;width:146.35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" fillcolor="white [3201]" strokecolor="#f79646 [3209]" strokeweight="2pt">
                <v:textbox>
                  <w:txbxContent>
                    <w:p w:rsidR="00B51D12" w:rsidRDefault="00B51D12" w:rsidP="00B51D12">
                      <w:pPr>
                        <w:jc w:val="center"/>
                      </w:pPr>
                      <w:r>
                        <w:t>Patient Label Here</w:t>
                      </w:r>
                    </w:p>
                  </w:txbxContent>
                </v:textbox>
              </v:rect>
            </w:pict>
          </mc:Fallback>
        </mc:AlternateContent>
      </w:r>
      <w:r w:rsidRPr="00B51D12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BF147A">
        <w:rPr>
          <w:rFonts w:ascii="Times New Roman" w:hAnsi="Times New Roman" w:cs="Times New Roman"/>
          <w:bCs/>
          <w:sz w:val="24"/>
          <w:szCs w:val="24"/>
        </w:rPr>
        <w:t xml:space="preserve">            Patient ABO/Rh: ________________</w:t>
      </w:r>
    </w:p>
    <w:p w:rsidR="00BF147A" w:rsidRDefault="00BF147A" w:rsidP="00BF147A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Provider: _______________________</w:t>
      </w:r>
    </w:p>
    <w:p w:rsidR="00BF147A" w:rsidRDefault="00BF147A" w:rsidP="00BF147A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</w:p>
    <w:p w:rsidR="00BF147A" w:rsidRDefault="00BF147A" w:rsidP="00BF147A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Start Date/Time: ___________   End Date/Time: __________</w:t>
      </w:r>
    </w:p>
    <w:p w:rsidR="00342559" w:rsidRDefault="00342559" w:rsidP="00BF147A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F147A" w:rsidRDefault="00342559" w:rsidP="00BF147A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</w:p>
    <w:p w:rsidR="00B51D12" w:rsidRPr="00B51D12" w:rsidRDefault="00B51D12" w:rsidP="00BF147A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List product types and specific product numbers if applicable:</w:t>
      </w:r>
    </w:p>
    <w:p w:rsidR="00B51D12" w:rsidRPr="00B51D12" w:rsidRDefault="00B51D12" w:rsidP="00B51D12">
      <w:p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Product Types:</w:t>
      </w:r>
    </w:p>
    <w:p w:rsidR="00D125DC" w:rsidRPr="00B51D12" w:rsidRDefault="00B51D12" w:rsidP="00B51D1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Leukocyte Reduced PRBC</w:t>
      </w:r>
      <w:bookmarkStart w:id="0" w:name="_GoBack"/>
      <w:bookmarkEnd w:id="0"/>
    </w:p>
    <w:p w:rsidR="00D125DC" w:rsidRPr="00B51D12" w:rsidRDefault="00B51D12" w:rsidP="00B51D1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FFP/Thawed Plasma</w:t>
      </w:r>
    </w:p>
    <w:p w:rsidR="00D125DC" w:rsidRPr="00B51D12" w:rsidRDefault="00B51D12" w:rsidP="00B51D1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Cryoprecipitate</w:t>
      </w:r>
    </w:p>
    <w:p w:rsidR="00B51D12" w:rsidRPr="00B51D12" w:rsidRDefault="00B51D12" w:rsidP="00B51D1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Platelet Concentrate</w:t>
      </w:r>
    </w:p>
    <w:p w:rsidR="00B51D12" w:rsidRPr="00B51D12" w:rsidRDefault="00B51D12" w:rsidP="00B51D1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Other (s): _______________________________________________________________</w:t>
      </w:r>
    </w:p>
    <w:p w:rsidR="001D56A7" w:rsidRDefault="001D56A7" w:rsidP="00B51D12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51D12" w:rsidRPr="00B51D12" w:rsidRDefault="00762FD7" w:rsidP="00B51D12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Unit/Product Number (s)/ Unit Group and Rh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1D12" w:rsidRPr="00B51D12" w:rsidTr="005034C5">
        <w:trPr>
          <w:trHeight w:val="1007"/>
        </w:trPr>
        <w:tc>
          <w:tcPr>
            <w:tcW w:w="9576" w:type="dxa"/>
          </w:tcPr>
          <w:p w:rsidR="00B51D12" w:rsidRPr="00B51D12" w:rsidRDefault="00B51D12" w:rsidP="00B51D12">
            <w:pPr>
              <w:pStyle w:val="ListParagraph"/>
              <w:spacing w:after="200" w:line="276" w:lineRule="auto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1D12" w:rsidRPr="00B51D12" w:rsidRDefault="00B51D12" w:rsidP="00B51D12">
      <w:p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Stand</w:t>
      </w:r>
      <w:r w:rsidR="008B0D1E">
        <w:rPr>
          <w:rFonts w:ascii="Times New Roman" w:hAnsi="Times New Roman" w:cs="Times New Roman"/>
          <w:bCs/>
          <w:sz w:val="24"/>
          <w:szCs w:val="24"/>
        </w:rPr>
        <w:t>ard procedure (reference SOP</w:t>
      </w:r>
      <w:r w:rsidRPr="00B51D12">
        <w:rPr>
          <w:rFonts w:ascii="Times New Roman" w:hAnsi="Times New Roman" w:cs="Times New Roman"/>
          <w:bCs/>
          <w:sz w:val="24"/>
          <w:szCs w:val="24"/>
        </w:rPr>
        <w:t>):</w:t>
      </w:r>
    </w:p>
    <w:p w:rsidR="00B51D12" w:rsidRDefault="00B51D12" w:rsidP="00B51D12">
      <w:pPr>
        <w:rPr>
          <w:rFonts w:ascii="Times New Roman" w:hAnsi="Times New Roman" w:cs="Times New Roman"/>
          <w:bCs/>
          <w:sz w:val="24"/>
          <w:szCs w:val="24"/>
        </w:rPr>
      </w:pPr>
    </w:p>
    <w:p w:rsidR="00B51D12" w:rsidRDefault="00B51D12" w:rsidP="00B51D12">
      <w:pPr>
        <w:rPr>
          <w:rFonts w:ascii="Times New Roman" w:hAnsi="Times New Roman" w:cs="Times New Roman"/>
          <w:bCs/>
          <w:sz w:val="24"/>
          <w:szCs w:val="24"/>
        </w:rPr>
      </w:pPr>
      <w:r w:rsidRPr="00B51D12">
        <w:rPr>
          <w:rFonts w:ascii="Times New Roman" w:hAnsi="Times New Roman" w:cs="Times New Roman"/>
          <w:bCs/>
          <w:sz w:val="24"/>
          <w:szCs w:val="24"/>
        </w:rPr>
        <w:t>Modified procedure (include rationale):</w:t>
      </w:r>
    </w:p>
    <w:p w:rsidR="00B51D12" w:rsidRDefault="00B51D12" w:rsidP="00B51D12">
      <w:pPr>
        <w:rPr>
          <w:rFonts w:ascii="Times New Roman" w:hAnsi="Times New Roman" w:cs="Times New Roman"/>
          <w:bCs/>
          <w:sz w:val="24"/>
          <w:szCs w:val="24"/>
        </w:rPr>
      </w:pPr>
    </w:p>
    <w:p w:rsidR="00B51D12" w:rsidRDefault="00B51D12" w:rsidP="008B0D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Authorized</w:t>
      </w:r>
      <w:r w:rsidRPr="00B51D12">
        <w:rPr>
          <w:rFonts w:ascii="Times New Roman" w:hAnsi="Times New Roman" w:cs="Times New Roman"/>
          <w:bCs/>
          <w:sz w:val="24"/>
          <w:szCs w:val="24"/>
        </w:rPr>
        <w:t xml:space="preserve"> by: _________________________</w:t>
      </w:r>
      <w:r w:rsidR="00BF147A">
        <w:rPr>
          <w:rFonts w:ascii="Times New Roman" w:hAnsi="Times New Roman" w:cs="Times New Roman"/>
          <w:bCs/>
          <w:sz w:val="24"/>
          <w:szCs w:val="24"/>
        </w:rPr>
        <w:t>__</w:t>
      </w:r>
      <w:r w:rsidRPr="00B51D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D12">
        <w:rPr>
          <w:rFonts w:ascii="Times New Roman" w:hAnsi="Times New Roman" w:cs="Times New Roman"/>
          <w:bCs/>
          <w:sz w:val="24"/>
          <w:szCs w:val="24"/>
        </w:rPr>
        <w:tab/>
      </w:r>
      <w:r w:rsidR="00BF147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51D12">
        <w:rPr>
          <w:rFonts w:ascii="Times New Roman" w:hAnsi="Times New Roman" w:cs="Times New Roman"/>
          <w:bCs/>
          <w:sz w:val="24"/>
          <w:szCs w:val="24"/>
        </w:rPr>
        <w:t>Date</w:t>
      </w:r>
      <w:r w:rsidR="00BF147A">
        <w:rPr>
          <w:rFonts w:ascii="Times New Roman" w:hAnsi="Times New Roman" w:cs="Times New Roman"/>
          <w:bCs/>
          <w:sz w:val="24"/>
          <w:szCs w:val="24"/>
        </w:rPr>
        <w:t>/Time</w:t>
      </w:r>
      <w:r w:rsidRPr="00B51D12">
        <w:rPr>
          <w:rFonts w:ascii="Times New Roman" w:hAnsi="Times New Roman" w:cs="Times New Roman"/>
          <w:bCs/>
          <w:sz w:val="24"/>
          <w:szCs w:val="24"/>
        </w:rPr>
        <w:t>: _____________________</w:t>
      </w:r>
    </w:p>
    <w:p w:rsidR="008B0D1E" w:rsidRDefault="008B0D1E" w:rsidP="008B0D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Clinical Pathologist</w:t>
      </w:r>
    </w:p>
    <w:p w:rsidR="00342559" w:rsidRDefault="00342559" w:rsidP="008B0D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42559" w:rsidRPr="00B51D12" w:rsidRDefault="00342559" w:rsidP="008B0D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2559">
        <w:rPr>
          <w:rFonts w:ascii="Times New Roman" w:hAnsi="Times New Roman" w:cs="Times New Roman"/>
          <w:bCs/>
          <w:sz w:val="24"/>
          <w:szCs w:val="24"/>
        </w:rPr>
        <w:t>CLS Initials: ______________</w:t>
      </w:r>
    </w:p>
    <w:p w:rsidR="00BF147A" w:rsidRPr="00BF147A" w:rsidRDefault="00BF147A" w:rsidP="00BF147A">
      <w:pPr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BF147A">
        <w:rPr>
          <w:rFonts w:ascii="Times New Roman" w:hAnsi="Times New Roman" w:cs="Times New Roman"/>
          <w:bCs/>
          <w:sz w:val="24"/>
          <w:szCs w:val="24"/>
        </w:rPr>
        <w:t xml:space="preserve">Check if approval was </w:t>
      </w:r>
      <w:r w:rsidR="00904F4D">
        <w:rPr>
          <w:rFonts w:ascii="Times New Roman" w:hAnsi="Times New Roman" w:cs="Times New Roman"/>
          <w:bCs/>
          <w:sz w:val="24"/>
          <w:szCs w:val="24"/>
        </w:rPr>
        <w:t xml:space="preserve">done </w:t>
      </w:r>
      <w:r w:rsidRPr="00BF147A">
        <w:rPr>
          <w:rFonts w:ascii="Times New Roman" w:hAnsi="Times New Roman" w:cs="Times New Roman"/>
          <w:bCs/>
          <w:sz w:val="24"/>
          <w:szCs w:val="24"/>
        </w:rPr>
        <w:t>by phone</w:t>
      </w:r>
    </w:p>
    <w:p w:rsidR="008B0D1E" w:rsidRDefault="00BF147A" w:rsidP="008B0D1E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Send </w:t>
      </w:r>
      <w:r w:rsidR="008B0D1E">
        <w:rPr>
          <w:rFonts w:ascii="Times New Roman" w:hAnsi="Times New Roman" w:cs="Times New Roman"/>
          <w:bCs/>
          <w:sz w:val="18"/>
          <w:szCs w:val="18"/>
        </w:rPr>
        <w:t xml:space="preserve">Original Copy to: </w:t>
      </w:r>
      <w:r w:rsidR="008B0D1E" w:rsidRPr="00D27B3F">
        <w:rPr>
          <w:rFonts w:ascii="Times New Roman" w:hAnsi="Times New Roman" w:cs="Times New Roman"/>
          <w:bCs/>
          <w:sz w:val="18"/>
          <w:szCs w:val="18"/>
        </w:rPr>
        <w:t>Transfusion Service Supervisor for archiving</w:t>
      </w:r>
    </w:p>
    <w:p w:rsidR="008B0D1E" w:rsidRDefault="008B0D1E" w:rsidP="008B0D1E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Copy to: </w:t>
      </w:r>
      <w:r w:rsidRPr="00AF3021">
        <w:rPr>
          <w:rFonts w:ascii="Times New Roman" w:hAnsi="Times New Roman" w:cs="Times New Roman"/>
          <w:bCs/>
          <w:sz w:val="18"/>
          <w:szCs w:val="18"/>
        </w:rPr>
        <w:t xml:space="preserve">Medical </w:t>
      </w:r>
      <w:r>
        <w:rPr>
          <w:rFonts w:ascii="Times New Roman" w:hAnsi="Times New Roman" w:cs="Times New Roman"/>
          <w:bCs/>
          <w:sz w:val="18"/>
          <w:szCs w:val="18"/>
        </w:rPr>
        <w:t>Record</w:t>
      </w:r>
    </w:p>
    <w:p w:rsidR="00B51D12" w:rsidRPr="00B51D12" w:rsidRDefault="00B51D12" w:rsidP="00B51D12">
      <w:pPr>
        <w:pStyle w:val="ListParagraph"/>
        <w:tabs>
          <w:tab w:val="left" w:pos="3544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B51D12" w:rsidRDefault="00B51D1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D7290E" w:rsidRPr="009F3F19" w:rsidRDefault="00D7290E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926074" w:rsidRPr="009F3F19" w:rsidRDefault="00926074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926074" w:rsidRPr="009F3F19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3F19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Pr="009F3F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3F19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926074" w:rsidRPr="009F3F19" w:rsidRDefault="00926074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9F3F19">
        <w:rPr>
          <w:rFonts w:ascii="Times New Roman" w:hAnsi="Times New Roman" w:cs="Times New Roman"/>
          <w:sz w:val="24"/>
          <w:szCs w:val="24"/>
        </w:rPr>
        <w:t xml:space="preserve">           Director of Laboratory                                                                           Date    </w:t>
      </w:r>
    </w:p>
    <w:p w:rsidR="00926074" w:rsidRPr="009F3F19" w:rsidRDefault="00926074" w:rsidP="00926074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926074" w:rsidRPr="009F3F19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3F19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Pr="009F3F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3F19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926074" w:rsidRPr="009F3F19" w:rsidRDefault="00926074" w:rsidP="00926074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9F3F19">
        <w:rPr>
          <w:rFonts w:ascii="Times New Roman" w:hAnsi="Times New Roman" w:cs="Times New Roman"/>
          <w:sz w:val="24"/>
          <w:szCs w:val="24"/>
        </w:rPr>
        <w:t xml:space="preserve">           Medical Director of Laboratory                                                             Date    </w:t>
      </w:r>
    </w:p>
    <w:p w:rsidR="00926074" w:rsidRPr="009F3F19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26074" w:rsidRPr="009F3F19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26074" w:rsidRPr="009F3F19" w:rsidRDefault="00926074" w:rsidP="00926074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3F19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Pr="009F3F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F3F19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926074" w:rsidRPr="009F3F19" w:rsidRDefault="00926074" w:rsidP="00926074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9F3F19">
        <w:rPr>
          <w:rFonts w:ascii="Times New Roman" w:hAnsi="Times New Roman" w:cs="Times New Roman"/>
          <w:sz w:val="24"/>
          <w:szCs w:val="24"/>
        </w:rPr>
        <w:t xml:space="preserve">           Laboratory Supervisor                                                                           Date    </w:t>
      </w:r>
    </w:p>
    <w:p w:rsidR="00926074" w:rsidRPr="009F3F19" w:rsidRDefault="00926074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E13642" w:rsidRPr="009F3F19" w:rsidRDefault="00E1364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E13642" w:rsidRPr="009F3F19" w:rsidRDefault="00E1364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E13642" w:rsidRPr="009F3F19" w:rsidRDefault="00E1364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E13642" w:rsidRPr="009F3F19" w:rsidRDefault="00E1364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E13642" w:rsidRPr="009F3F19" w:rsidRDefault="00E13642" w:rsidP="00704602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sectPr w:rsidR="00E13642" w:rsidRPr="009F3F19" w:rsidSect="004550DA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DA" w:rsidRDefault="004550DA" w:rsidP="004550DA">
      <w:pPr>
        <w:spacing w:after="0" w:line="240" w:lineRule="auto"/>
      </w:pPr>
      <w:r>
        <w:separator/>
      </w:r>
    </w:p>
  </w:endnote>
  <w:endnote w:type="continuationSeparator" w:id="0">
    <w:p w:rsidR="004550DA" w:rsidRDefault="004550DA" w:rsidP="004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775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1261C" w:rsidRDefault="00A126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4F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4F4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261C" w:rsidRDefault="00A57790">
    <w:pPr>
      <w:pStyle w:val="Footer"/>
    </w:pPr>
    <w:r>
      <w:t xml:space="preserve">I.Pol.23 - </w:t>
    </w:r>
    <w:r w:rsidRPr="00A57790">
      <w:t>Authorized Deviation From Standard Operating Procedure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1C" w:rsidRDefault="00A1261C">
    <w:pPr>
      <w:pStyle w:val="Footer"/>
      <w:jc w:val="right"/>
    </w:pPr>
  </w:p>
  <w:p w:rsidR="00A1261C" w:rsidRDefault="00A12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DA" w:rsidRDefault="004550DA" w:rsidP="004550DA">
      <w:pPr>
        <w:spacing w:after="0" w:line="240" w:lineRule="auto"/>
      </w:pPr>
      <w:r>
        <w:separator/>
      </w:r>
    </w:p>
  </w:footnote>
  <w:footnote w:type="continuationSeparator" w:id="0">
    <w:p w:rsidR="004550DA" w:rsidRDefault="004550DA" w:rsidP="004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0" w:type="pct"/>
      <w:tblLook w:val="04A0" w:firstRow="1" w:lastRow="0" w:firstColumn="1" w:lastColumn="0" w:noHBand="0" w:noVBand="1"/>
    </w:tblPr>
    <w:tblGrid>
      <w:gridCol w:w="5224"/>
      <w:gridCol w:w="3525"/>
      <w:gridCol w:w="181"/>
      <w:gridCol w:w="1259"/>
    </w:tblGrid>
    <w:tr w:rsidR="004550DA" w:rsidTr="00D461B7">
      <w:trPr>
        <w:cantSplit/>
        <w:trHeight w:val="332"/>
      </w:trPr>
      <w:tc>
        <w:tcPr>
          <w:tcW w:w="256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5970CC" w:rsidRDefault="004550DA" w:rsidP="00D461B7">
          <w:pPr>
            <w:pStyle w:val="Header"/>
            <w:jc w:val="center"/>
            <w:rPr>
              <w:rFonts w:ascii="Times New Roman" w:hAnsi="Times New Roman"/>
              <w:iCs/>
              <w:sz w:val="8"/>
            </w:rPr>
          </w:pPr>
        </w:p>
        <w:p w:rsidR="00C56BF3" w:rsidRDefault="00C56BF3" w:rsidP="00C56BF3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EB6058">
            <w:rPr>
              <w:rFonts w:ascii="Times New Roman" w:hAnsi="Times New Roman"/>
              <w:noProof/>
            </w:rPr>
            <w:drawing>
              <wp:inline distT="0" distB="0" distL="0" distR="0" wp14:anchorId="2D780C63" wp14:editId="717FFC37">
                <wp:extent cx="1338681" cy="593436"/>
                <wp:effectExtent l="0" t="0" r="0" b="0"/>
                <wp:docPr id="2" name="Picture 2" descr="DMC_2c_on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MC_2c_on 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891" cy="594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6BF3" w:rsidRPr="00B0758B" w:rsidRDefault="00C56BF3" w:rsidP="00C56BF3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34E16">
            <w:rPr>
              <w:rFonts w:ascii="Times New Roman" w:hAnsi="Times New Roman" w:cs="Times New Roman"/>
              <w:sz w:val="20"/>
              <w:szCs w:val="20"/>
            </w:rPr>
            <w:t>1441 Florida Avenue, Modesto CA 95355</w:t>
          </w:r>
        </w:p>
        <w:p w:rsidR="00C56BF3" w:rsidRPr="00344C45" w:rsidRDefault="00C56BF3" w:rsidP="00C56BF3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44C45">
            <w:rPr>
              <w:rFonts w:ascii="Times New Roman" w:hAnsi="Times New Roman" w:cs="Times New Roman"/>
              <w:sz w:val="24"/>
              <w:szCs w:val="24"/>
            </w:rPr>
            <w:t>Transfusion Service Department Manual</w:t>
          </w:r>
        </w:p>
        <w:p w:rsidR="004550DA" w:rsidRPr="00EB6058" w:rsidRDefault="00C56BF3" w:rsidP="00C56BF3">
          <w:pPr>
            <w:pStyle w:val="Header"/>
            <w:jc w:val="center"/>
            <w:rPr>
              <w:rFonts w:ascii="Times New Roman" w:hAnsi="Times New Roman"/>
              <w:sz w:val="28"/>
              <w:szCs w:val="28"/>
            </w:rPr>
          </w:pPr>
          <w:r w:rsidRPr="00344C45">
            <w:rPr>
              <w:rFonts w:ascii="Times New Roman" w:hAnsi="Times New Roman"/>
              <w:sz w:val="24"/>
              <w:szCs w:val="24"/>
            </w:rPr>
            <w:t>Policy/Procedure</w:t>
          </w:r>
        </w:p>
      </w:tc>
      <w:tc>
        <w:tcPr>
          <w:tcW w:w="1819" w:type="pct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4550DA" w:rsidRPr="00EB6058" w:rsidRDefault="004550DA" w:rsidP="00D461B7">
          <w:pPr>
            <w:pStyle w:val="Head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1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EB6058" w:rsidRDefault="000901A1" w:rsidP="00B51D12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No.</w:t>
          </w:r>
          <w:r w:rsidR="00B51D12">
            <w:rPr>
              <w:rFonts w:ascii="Times New Roman" w:hAnsi="Times New Roman"/>
              <w:sz w:val="20"/>
              <w:szCs w:val="20"/>
            </w:rPr>
            <w:t>I.Pol</w:t>
          </w:r>
          <w:r w:rsidR="00B53073">
            <w:rPr>
              <w:rFonts w:ascii="Times New Roman" w:hAnsi="Times New Roman"/>
              <w:sz w:val="20"/>
              <w:szCs w:val="20"/>
            </w:rPr>
            <w:t>.23</w:t>
          </w:r>
        </w:p>
      </w:tc>
    </w:tr>
    <w:tr w:rsidR="008770E6" w:rsidTr="00A47D17">
      <w:trPr>
        <w:cantSplit/>
        <w:trHeight w:val="103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70E6" w:rsidRPr="00EB6058" w:rsidRDefault="008770E6" w:rsidP="00D461B7">
          <w:pPr>
            <w:pStyle w:val="Header"/>
            <w:rPr>
              <w:rFonts w:ascii="Times New Roman" w:hAnsi="Times New Roman"/>
            </w:rPr>
          </w:pPr>
        </w:p>
      </w:tc>
      <w:tc>
        <w:tcPr>
          <w:tcW w:w="2437" w:type="pct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0901A1" w:rsidRDefault="000901A1" w:rsidP="000901A1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>Document Owner: Director of Laboratory Services</w:t>
          </w:r>
        </w:p>
        <w:p w:rsidR="008770E6" w:rsidRPr="00E66130" w:rsidRDefault="000901A1" w:rsidP="000901A1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B30755">
            <w:rPr>
              <w:rFonts w:ascii="Times New Roman" w:hAnsi="Times New Roman"/>
              <w:sz w:val="24"/>
              <w:szCs w:val="24"/>
            </w:rPr>
            <w:t xml:space="preserve">Policy and Procedure Prepared Reviewed By: </w:t>
          </w:r>
          <w:proofErr w:type="spellStart"/>
          <w:r w:rsidRPr="00B30755">
            <w:rPr>
              <w:rFonts w:ascii="Times New Roman" w:hAnsi="Times New Roman"/>
              <w:sz w:val="24"/>
              <w:szCs w:val="24"/>
            </w:rPr>
            <w:t>Rexon</w:t>
          </w:r>
          <w:proofErr w:type="spellEnd"/>
          <w:r w:rsidRPr="00B30755">
            <w:rPr>
              <w:rFonts w:ascii="Times New Roman" w:hAnsi="Times New Roman"/>
              <w:sz w:val="24"/>
              <w:szCs w:val="24"/>
            </w:rPr>
            <w:t xml:space="preserve"> O.L. </w:t>
          </w:r>
          <w:proofErr w:type="spellStart"/>
          <w:r w:rsidRPr="00B30755">
            <w:rPr>
              <w:rFonts w:ascii="Times New Roman" w:hAnsi="Times New Roman"/>
              <w:sz w:val="24"/>
              <w:szCs w:val="24"/>
            </w:rPr>
            <w:t>Suico</w:t>
          </w:r>
          <w:proofErr w:type="spellEnd"/>
          <w:r w:rsidRPr="00B30755">
            <w:rPr>
              <w:rFonts w:ascii="Times New Roman" w:hAnsi="Times New Roman"/>
              <w:sz w:val="24"/>
              <w:szCs w:val="24"/>
            </w:rPr>
            <w:t xml:space="preserve">, BSMT, CLS, ASCP       </w:t>
          </w:r>
        </w:p>
      </w:tc>
    </w:tr>
    <w:tr w:rsidR="004550DA" w:rsidTr="00347369">
      <w:trPr>
        <w:cantSplit/>
        <w:trHeight w:val="61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EB6058" w:rsidRDefault="004550DA" w:rsidP="00D461B7">
          <w:pPr>
            <w:pStyle w:val="Header"/>
            <w:rPr>
              <w:rFonts w:ascii="Times New Roman" w:hAnsi="Times New Roman"/>
            </w:rPr>
          </w:pPr>
        </w:p>
      </w:tc>
      <w:tc>
        <w:tcPr>
          <w:tcW w:w="17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4550DA" w:rsidRPr="00E66130" w:rsidRDefault="00234755" w:rsidP="00234755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>Approved:</w:t>
          </w:r>
          <w:r w:rsidR="00926074" w:rsidRPr="00E66130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234755" w:rsidRPr="00E66130" w:rsidRDefault="00234755" w:rsidP="009E1F0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 xml:space="preserve">Next Review Date: </w:t>
          </w:r>
        </w:p>
      </w:tc>
      <w:tc>
        <w:tcPr>
          <w:tcW w:w="70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rFonts w:ascii="Times New Roman" w:hAnsi="Times New Roman"/>
              <w:sz w:val="24"/>
              <w:szCs w:val="24"/>
            </w:rPr>
            <w:id w:val="884603986"/>
            <w:docPartObj>
              <w:docPartGallery w:val="Page Numbers (Top of Page)"/>
              <w:docPartUnique/>
            </w:docPartObj>
          </w:sdtPr>
          <w:sdtEndPr/>
          <w:sdtContent>
            <w:p w:rsidR="004550DA" w:rsidRPr="00E66130" w:rsidRDefault="004550DA" w:rsidP="00D461B7">
              <w:pPr>
                <w:rPr>
                  <w:rFonts w:ascii="Times New Roman" w:hAnsi="Times New Roman"/>
                  <w:sz w:val="24"/>
                  <w:szCs w:val="24"/>
                </w:rPr>
              </w:pPr>
              <w:r w:rsidRPr="00E66130">
                <w:rPr>
                  <w:rFonts w:ascii="Times New Roman" w:hAnsi="Times New Roman"/>
                </w:rPr>
                <w:t xml:space="preserve">Page </w:t>
              </w:r>
              <w:r w:rsidRPr="00E66130">
                <w:rPr>
                  <w:rFonts w:ascii="Times New Roman" w:hAnsi="Times New Roman"/>
                </w:rPr>
                <w:fldChar w:fldCharType="begin"/>
              </w:r>
              <w:r w:rsidRPr="00E66130">
                <w:rPr>
                  <w:rFonts w:ascii="Times New Roman" w:hAnsi="Times New Roman"/>
                </w:rPr>
                <w:instrText xml:space="preserve"> PAGE </w:instrText>
              </w:r>
              <w:r w:rsidRPr="00E66130">
                <w:rPr>
                  <w:rFonts w:ascii="Times New Roman" w:hAnsi="Times New Roman"/>
                </w:rPr>
                <w:fldChar w:fldCharType="separate"/>
              </w:r>
              <w:r w:rsidR="00904F4D">
                <w:rPr>
                  <w:rFonts w:ascii="Times New Roman" w:hAnsi="Times New Roman"/>
                  <w:noProof/>
                </w:rPr>
                <w:t>1</w:t>
              </w:r>
              <w:r w:rsidRPr="00E66130">
                <w:rPr>
                  <w:rFonts w:ascii="Times New Roman" w:hAnsi="Times New Roman"/>
                </w:rPr>
                <w:fldChar w:fldCharType="end"/>
              </w:r>
              <w:r w:rsidRPr="00E66130">
                <w:rPr>
                  <w:rFonts w:ascii="Times New Roman" w:hAnsi="Times New Roman"/>
                </w:rPr>
                <w:t xml:space="preserve"> of </w:t>
              </w:r>
              <w:r w:rsidRPr="00E66130">
                <w:rPr>
                  <w:rFonts w:ascii="Times New Roman" w:hAnsi="Times New Roman"/>
                </w:rPr>
                <w:fldChar w:fldCharType="begin"/>
              </w:r>
              <w:r w:rsidRPr="00E66130">
                <w:rPr>
                  <w:rFonts w:ascii="Times New Roman" w:hAnsi="Times New Roman"/>
                </w:rPr>
                <w:instrText xml:space="preserve"> NUMPAGES  </w:instrText>
              </w:r>
              <w:r w:rsidRPr="00E66130">
                <w:rPr>
                  <w:rFonts w:ascii="Times New Roman" w:hAnsi="Times New Roman"/>
                </w:rPr>
                <w:fldChar w:fldCharType="separate"/>
              </w:r>
              <w:r w:rsidR="00904F4D">
                <w:rPr>
                  <w:rFonts w:ascii="Times New Roman" w:hAnsi="Times New Roman"/>
                  <w:noProof/>
                </w:rPr>
                <w:t>4</w:t>
              </w:r>
              <w:r w:rsidRPr="00E66130">
                <w:rPr>
                  <w:rFonts w:ascii="Times New Roman" w:hAnsi="Times New Roman"/>
                </w:rPr>
                <w:fldChar w:fldCharType="end"/>
              </w:r>
            </w:p>
          </w:sdtContent>
        </w:sdt>
      </w:tc>
    </w:tr>
    <w:tr w:rsidR="004550DA" w:rsidTr="00D461B7">
      <w:trPr>
        <w:cantSplit/>
        <w:trHeight w:val="305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50DA" w:rsidRPr="00E66130" w:rsidRDefault="004550DA" w:rsidP="00D461B7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r w:rsidRPr="00E66130">
            <w:rPr>
              <w:rFonts w:ascii="Times New Roman" w:hAnsi="Times New Roman"/>
              <w:b/>
              <w:sz w:val="24"/>
              <w:szCs w:val="24"/>
            </w:rPr>
            <w:t>TITLE:</w:t>
          </w:r>
        </w:p>
        <w:p w:rsidR="005675A5" w:rsidRPr="00EB6058" w:rsidRDefault="00A1261C" w:rsidP="00E66130">
          <w:pPr>
            <w:pStyle w:val="Header"/>
            <w:tabs>
              <w:tab w:val="center" w:pos="4986"/>
              <w:tab w:val="left" w:pos="6687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Authorized Deviation From Standard Operating Procedure </w:t>
          </w:r>
        </w:p>
      </w:tc>
    </w:tr>
  </w:tbl>
  <w:p w:rsidR="004550DA" w:rsidRDefault="00455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0.7pt;visibility:visible;mso-wrap-style:square" o:bullet="t">
        <v:imagedata r:id="rId1" o:title=""/>
      </v:shape>
    </w:pict>
  </w:numPicBullet>
  <w:abstractNum w:abstractNumId="0">
    <w:nsid w:val="000A267C"/>
    <w:multiLevelType w:val="hybridMultilevel"/>
    <w:tmpl w:val="8F38E7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072329"/>
    <w:multiLevelType w:val="hybridMultilevel"/>
    <w:tmpl w:val="72B06224"/>
    <w:lvl w:ilvl="0" w:tplc="CBE259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461B1"/>
    <w:multiLevelType w:val="hybridMultilevel"/>
    <w:tmpl w:val="09683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36983"/>
    <w:multiLevelType w:val="hybridMultilevel"/>
    <w:tmpl w:val="B7664A9E"/>
    <w:lvl w:ilvl="0" w:tplc="500075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33584E"/>
    <w:multiLevelType w:val="hybridMultilevel"/>
    <w:tmpl w:val="C7E8C1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CE74C6"/>
    <w:multiLevelType w:val="hybridMultilevel"/>
    <w:tmpl w:val="6A76ABEC"/>
    <w:lvl w:ilvl="0" w:tplc="4A227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BCFE9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124F1"/>
    <w:multiLevelType w:val="hybridMultilevel"/>
    <w:tmpl w:val="DE0ADE00"/>
    <w:lvl w:ilvl="0" w:tplc="240AE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E8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CD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81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A8D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C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25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08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A1164D6"/>
    <w:multiLevelType w:val="hybridMultilevel"/>
    <w:tmpl w:val="419AFD26"/>
    <w:lvl w:ilvl="0" w:tplc="6DDE7B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2039F5"/>
    <w:multiLevelType w:val="multilevel"/>
    <w:tmpl w:val="7D1031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7E4427A"/>
    <w:multiLevelType w:val="hybridMultilevel"/>
    <w:tmpl w:val="55224D40"/>
    <w:lvl w:ilvl="0" w:tplc="065A1F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72F02"/>
    <w:multiLevelType w:val="hybridMultilevel"/>
    <w:tmpl w:val="8A6CCD26"/>
    <w:lvl w:ilvl="0" w:tplc="358E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745A8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B9325354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E8522DAE">
      <w:start w:val="1"/>
      <w:numFmt w:val="lowerRoman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CDCE147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768C0"/>
    <w:multiLevelType w:val="hybridMultilevel"/>
    <w:tmpl w:val="7340C944"/>
    <w:lvl w:ilvl="0" w:tplc="FAB45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12C4"/>
    <w:multiLevelType w:val="hybridMultilevel"/>
    <w:tmpl w:val="4198D3D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200A4"/>
    <w:multiLevelType w:val="hybridMultilevel"/>
    <w:tmpl w:val="A176D51A"/>
    <w:lvl w:ilvl="0" w:tplc="C3201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C5471"/>
    <w:multiLevelType w:val="hybridMultilevel"/>
    <w:tmpl w:val="733078FA"/>
    <w:lvl w:ilvl="0" w:tplc="F560FC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E0C62"/>
    <w:multiLevelType w:val="hybridMultilevel"/>
    <w:tmpl w:val="225A186C"/>
    <w:lvl w:ilvl="0" w:tplc="B8808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78424F"/>
    <w:multiLevelType w:val="hybridMultilevel"/>
    <w:tmpl w:val="1C96314A"/>
    <w:lvl w:ilvl="0" w:tplc="653C4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A5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1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CC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0B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E7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3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C1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551CBB"/>
    <w:multiLevelType w:val="hybridMultilevel"/>
    <w:tmpl w:val="D59EA1E0"/>
    <w:lvl w:ilvl="0" w:tplc="B82AB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32F4F"/>
    <w:multiLevelType w:val="hybridMultilevel"/>
    <w:tmpl w:val="826A9D98"/>
    <w:lvl w:ilvl="0" w:tplc="8B748B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CC0A9D"/>
    <w:multiLevelType w:val="hybridMultilevel"/>
    <w:tmpl w:val="97204694"/>
    <w:lvl w:ilvl="0" w:tplc="2E4A3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B52422A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AC78DF"/>
    <w:multiLevelType w:val="hybridMultilevel"/>
    <w:tmpl w:val="E5B01BBA"/>
    <w:lvl w:ilvl="0" w:tplc="360CE30C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8C21EA1"/>
    <w:multiLevelType w:val="hybridMultilevel"/>
    <w:tmpl w:val="2A64A8A0"/>
    <w:lvl w:ilvl="0" w:tplc="7D3873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E31FD6"/>
    <w:multiLevelType w:val="hybridMultilevel"/>
    <w:tmpl w:val="2C6699DC"/>
    <w:lvl w:ilvl="0" w:tplc="20722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06696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2AE362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55E23AE">
      <w:start w:val="1"/>
      <w:numFmt w:val="lowerRoman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424D2"/>
    <w:multiLevelType w:val="hybridMultilevel"/>
    <w:tmpl w:val="ED70A0A2"/>
    <w:lvl w:ilvl="0" w:tplc="926EE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1758F8"/>
    <w:multiLevelType w:val="hybridMultilevel"/>
    <w:tmpl w:val="3710C50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6D3596"/>
    <w:multiLevelType w:val="hybridMultilevel"/>
    <w:tmpl w:val="BCBAC82A"/>
    <w:lvl w:ilvl="0" w:tplc="BAF851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0D5A25"/>
    <w:multiLevelType w:val="hybridMultilevel"/>
    <w:tmpl w:val="98EAF5FA"/>
    <w:lvl w:ilvl="0" w:tplc="E2D004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B73149"/>
    <w:multiLevelType w:val="hybridMultilevel"/>
    <w:tmpl w:val="D84A2194"/>
    <w:lvl w:ilvl="0" w:tplc="42B445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636169"/>
    <w:multiLevelType w:val="hybridMultilevel"/>
    <w:tmpl w:val="2782FAC0"/>
    <w:lvl w:ilvl="0" w:tplc="1F044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05780"/>
    <w:multiLevelType w:val="hybridMultilevel"/>
    <w:tmpl w:val="ACFC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A11F4"/>
    <w:multiLevelType w:val="hybridMultilevel"/>
    <w:tmpl w:val="E1227086"/>
    <w:lvl w:ilvl="0" w:tplc="024A1B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7E2348"/>
    <w:multiLevelType w:val="hybridMultilevel"/>
    <w:tmpl w:val="B7467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A7FAF"/>
    <w:multiLevelType w:val="hybridMultilevel"/>
    <w:tmpl w:val="6C2C4EA4"/>
    <w:lvl w:ilvl="0" w:tplc="4DD43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0E3792E"/>
    <w:multiLevelType w:val="hybridMultilevel"/>
    <w:tmpl w:val="8D463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A0491"/>
    <w:multiLevelType w:val="hybridMultilevel"/>
    <w:tmpl w:val="9256894A"/>
    <w:lvl w:ilvl="0" w:tplc="339E96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17"/>
  </w:num>
  <w:num w:numId="5">
    <w:abstractNumId w:val="12"/>
  </w:num>
  <w:num w:numId="6">
    <w:abstractNumId w:val="24"/>
  </w:num>
  <w:num w:numId="7">
    <w:abstractNumId w:val="4"/>
  </w:num>
  <w:num w:numId="8">
    <w:abstractNumId w:val="20"/>
  </w:num>
  <w:num w:numId="9">
    <w:abstractNumId w:val="0"/>
  </w:num>
  <w:num w:numId="10">
    <w:abstractNumId w:val="10"/>
  </w:num>
  <w:num w:numId="11">
    <w:abstractNumId w:val="8"/>
  </w:num>
  <w:num w:numId="12">
    <w:abstractNumId w:val="15"/>
  </w:num>
  <w:num w:numId="13">
    <w:abstractNumId w:val="29"/>
  </w:num>
  <w:num w:numId="14">
    <w:abstractNumId w:val="23"/>
  </w:num>
  <w:num w:numId="15">
    <w:abstractNumId w:val="13"/>
  </w:num>
  <w:num w:numId="16">
    <w:abstractNumId w:val="19"/>
  </w:num>
  <w:num w:numId="17">
    <w:abstractNumId w:val="33"/>
  </w:num>
  <w:num w:numId="18">
    <w:abstractNumId w:val="9"/>
  </w:num>
  <w:num w:numId="19">
    <w:abstractNumId w:val="14"/>
  </w:num>
  <w:num w:numId="20">
    <w:abstractNumId w:val="1"/>
  </w:num>
  <w:num w:numId="21">
    <w:abstractNumId w:val="25"/>
  </w:num>
  <w:num w:numId="22">
    <w:abstractNumId w:val="18"/>
  </w:num>
  <w:num w:numId="23">
    <w:abstractNumId w:val="11"/>
  </w:num>
  <w:num w:numId="24">
    <w:abstractNumId w:val="7"/>
  </w:num>
  <w:num w:numId="25">
    <w:abstractNumId w:val="32"/>
  </w:num>
  <w:num w:numId="26">
    <w:abstractNumId w:val="2"/>
  </w:num>
  <w:num w:numId="27">
    <w:abstractNumId w:val="30"/>
  </w:num>
  <w:num w:numId="28">
    <w:abstractNumId w:val="21"/>
  </w:num>
  <w:num w:numId="29">
    <w:abstractNumId w:val="27"/>
  </w:num>
  <w:num w:numId="30">
    <w:abstractNumId w:val="31"/>
  </w:num>
  <w:num w:numId="31">
    <w:abstractNumId w:val="26"/>
  </w:num>
  <w:num w:numId="32">
    <w:abstractNumId w:val="6"/>
  </w:num>
  <w:num w:numId="33">
    <w:abstractNumId w:val="16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A"/>
    <w:rsid w:val="00003BD1"/>
    <w:rsid w:val="00031142"/>
    <w:rsid w:val="00046787"/>
    <w:rsid w:val="000574F2"/>
    <w:rsid w:val="00062A36"/>
    <w:rsid w:val="00071D91"/>
    <w:rsid w:val="000901A1"/>
    <w:rsid w:val="000A762E"/>
    <w:rsid w:val="000C38CD"/>
    <w:rsid w:val="000D67DB"/>
    <w:rsid w:val="000E1964"/>
    <w:rsid w:val="000E4F3E"/>
    <w:rsid w:val="00141BC6"/>
    <w:rsid w:val="001D56A7"/>
    <w:rsid w:val="00234755"/>
    <w:rsid w:val="002C0367"/>
    <w:rsid w:val="002C08D7"/>
    <w:rsid w:val="00306B80"/>
    <w:rsid w:val="00342559"/>
    <w:rsid w:val="00346B3A"/>
    <w:rsid w:val="00347369"/>
    <w:rsid w:val="00393B39"/>
    <w:rsid w:val="0039704C"/>
    <w:rsid w:val="003D24F7"/>
    <w:rsid w:val="00404B06"/>
    <w:rsid w:val="00411DEA"/>
    <w:rsid w:val="00441193"/>
    <w:rsid w:val="00442660"/>
    <w:rsid w:val="004550DA"/>
    <w:rsid w:val="004B1596"/>
    <w:rsid w:val="004E1ABC"/>
    <w:rsid w:val="00524935"/>
    <w:rsid w:val="005675A5"/>
    <w:rsid w:val="005970CC"/>
    <w:rsid w:val="006C7D0C"/>
    <w:rsid w:val="00704602"/>
    <w:rsid w:val="00762FD7"/>
    <w:rsid w:val="00796CB7"/>
    <w:rsid w:val="007C2DE0"/>
    <w:rsid w:val="007D6817"/>
    <w:rsid w:val="008308A5"/>
    <w:rsid w:val="008770E6"/>
    <w:rsid w:val="00897A5E"/>
    <w:rsid w:val="008B0D1E"/>
    <w:rsid w:val="008C423E"/>
    <w:rsid w:val="008E1A16"/>
    <w:rsid w:val="008E4364"/>
    <w:rsid w:val="00904F4D"/>
    <w:rsid w:val="00926074"/>
    <w:rsid w:val="0093726A"/>
    <w:rsid w:val="00951C85"/>
    <w:rsid w:val="00953775"/>
    <w:rsid w:val="009A4188"/>
    <w:rsid w:val="009D1697"/>
    <w:rsid w:val="009E1F0A"/>
    <w:rsid w:val="009F0212"/>
    <w:rsid w:val="009F3F19"/>
    <w:rsid w:val="00A1261C"/>
    <w:rsid w:val="00A1626E"/>
    <w:rsid w:val="00A55BC3"/>
    <w:rsid w:val="00A57790"/>
    <w:rsid w:val="00A632AB"/>
    <w:rsid w:val="00A67D1D"/>
    <w:rsid w:val="00AA7000"/>
    <w:rsid w:val="00B31418"/>
    <w:rsid w:val="00B43CE3"/>
    <w:rsid w:val="00B51D12"/>
    <w:rsid w:val="00B53073"/>
    <w:rsid w:val="00B90033"/>
    <w:rsid w:val="00BB3DA7"/>
    <w:rsid w:val="00BD49E9"/>
    <w:rsid w:val="00BF147A"/>
    <w:rsid w:val="00C514AF"/>
    <w:rsid w:val="00C56BF3"/>
    <w:rsid w:val="00C7245A"/>
    <w:rsid w:val="00CB41F9"/>
    <w:rsid w:val="00D7290E"/>
    <w:rsid w:val="00D72AD6"/>
    <w:rsid w:val="00DA6AEC"/>
    <w:rsid w:val="00DC09EF"/>
    <w:rsid w:val="00DD6A55"/>
    <w:rsid w:val="00E13642"/>
    <w:rsid w:val="00E66130"/>
    <w:rsid w:val="00EA116D"/>
    <w:rsid w:val="00EB4716"/>
    <w:rsid w:val="00EC6035"/>
    <w:rsid w:val="00ED779E"/>
    <w:rsid w:val="00EF7E3C"/>
    <w:rsid w:val="00F33289"/>
    <w:rsid w:val="00F85252"/>
    <w:rsid w:val="00FA127B"/>
    <w:rsid w:val="00FB53B5"/>
    <w:rsid w:val="00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DA"/>
  </w:style>
  <w:style w:type="paragraph" w:styleId="Footer">
    <w:name w:val="footer"/>
    <w:basedOn w:val="Normal"/>
    <w:link w:val="Foot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DA"/>
  </w:style>
  <w:style w:type="paragraph" w:styleId="ListParagraph">
    <w:name w:val="List Paragraph"/>
    <w:basedOn w:val="Normal"/>
    <w:uiPriority w:val="34"/>
    <w:qFormat/>
    <w:rsid w:val="00057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8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4736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B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DA"/>
  </w:style>
  <w:style w:type="paragraph" w:styleId="Footer">
    <w:name w:val="footer"/>
    <w:basedOn w:val="Normal"/>
    <w:link w:val="Foot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DA"/>
  </w:style>
  <w:style w:type="paragraph" w:styleId="ListParagraph">
    <w:name w:val="List Paragraph"/>
    <w:basedOn w:val="Normal"/>
    <w:uiPriority w:val="34"/>
    <w:qFormat/>
    <w:rsid w:val="00057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8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4736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B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84E4-9450-42F1-B525-77BDF717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Medical Center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Rexon Oliver Suico</dc:creator>
  <cp:lastModifiedBy>Windows User</cp:lastModifiedBy>
  <cp:revision>12</cp:revision>
  <cp:lastPrinted>2020-07-03T14:39:00Z</cp:lastPrinted>
  <dcterms:created xsi:type="dcterms:W3CDTF">2020-06-25T20:15:00Z</dcterms:created>
  <dcterms:modified xsi:type="dcterms:W3CDTF">2020-09-01T20:32:00Z</dcterms:modified>
</cp:coreProperties>
</file>