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459" w:rsidRPr="000C5459" w:rsidRDefault="000C5459" w:rsidP="004A6C89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2"/>
          <w:szCs w:val="22"/>
          <w:shd w:val="clear" w:color="auto" w:fill="FFFFFF"/>
          <w:lang w:val="en-AU" w:eastAsia="x-none"/>
        </w:rPr>
      </w:pPr>
      <w:r w:rsidRPr="000C5459">
        <w:rPr>
          <w:rFonts w:asciiTheme="minorHAnsi" w:hAnsiTheme="minorHAnsi" w:cstheme="minorHAnsi"/>
          <w:sz w:val="22"/>
          <w:szCs w:val="22"/>
          <w:shd w:val="clear" w:color="auto" w:fill="FFFFFF"/>
          <w:lang w:val="en-AU" w:eastAsia="x-none"/>
        </w:rPr>
        <w:t xml:space="preserve">52yo Female </w:t>
      </w:r>
    </w:p>
    <w:p w:rsidR="004A6C89" w:rsidRPr="000C5459" w:rsidRDefault="004A6C89" w:rsidP="004A6C89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2"/>
          <w:szCs w:val="22"/>
          <w:shd w:val="clear" w:color="auto" w:fill="FFFFFF"/>
          <w:lang w:eastAsia="x-none"/>
        </w:rPr>
      </w:pPr>
      <w:r w:rsidRPr="000C5459">
        <w:rPr>
          <w:rFonts w:asciiTheme="minorHAnsi" w:hAnsiTheme="minorHAnsi" w:cstheme="minorHAnsi"/>
          <w:sz w:val="22"/>
          <w:szCs w:val="22"/>
          <w:shd w:val="clear" w:color="auto" w:fill="FFFFFF"/>
          <w:lang w:eastAsia="x-none"/>
        </w:rPr>
        <w:t>T/F FROM BENDIGO WITH ? NEW AML.</w:t>
      </w:r>
    </w:p>
    <w:p w:rsidR="004A6C89" w:rsidRPr="004A6C89" w:rsidRDefault="004A6C89" w:rsidP="004A6C89">
      <w:pPr>
        <w:autoSpaceDE w:val="0"/>
        <w:autoSpaceDN w:val="0"/>
        <w:adjustRightInd w:val="0"/>
        <w:spacing w:before="100" w:after="100" w:line="240" w:lineRule="auto"/>
        <w:rPr>
          <w:rFonts w:cstheme="minorHAnsi"/>
        </w:rPr>
      </w:pPr>
      <w:r w:rsidRPr="004A6C89">
        <w:rPr>
          <w:rFonts w:cstheme="minorHAnsi"/>
        </w:rPr>
        <w:t>History of Presenting Complaint told</w:t>
      </w:r>
      <w:r w:rsidRPr="000C5459">
        <w:rPr>
          <w:rFonts w:cstheme="minorHAnsi"/>
        </w:rPr>
        <w:t xml:space="preserve"> </w:t>
      </w:r>
      <w:r w:rsidRPr="004A6C89">
        <w:rPr>
          <w:rFonts w:cstheme="minorHAnsi"/>
        </w:rPr>
        <w:t>leukaemia</w:t>
      </w:r>
      <w:r w:rsidRPr="000C5459">
        <w:rPr>
          <w:rFonts w:cstheme="minorHAnsi"/>
        </w:rPr>
        <w:t xml:space="preserve"> </w:t>
      </w:r>
      <w:r w:rsidRPr="004A6C89">
        <w:rPr>
          <w:rFonts w:cstheme="minorHAnsi"/>
        </w:rPr>
        <w:t>and</w:t>
      </w:r>
      <w:r w:rsidRPr="000C5459">
        <w:rPr>
          <w:rFonts w:cstheme="minorHAnsi"/>
        </w:rPr>
        <w:t xml:space="preserve"> </w:t>
      </w:r>
      <w:r w:rsidRPr="004A6C89">
        <w:rPr>
          <w:rFonts w:cstheme="minorHAnsi"/>
        </w:rPr>
        <w:t>to</w:t>
      </w:r>
      <w:r w:rsidRPr="000C5459">
        <w:rPr>
          <w:rFonts w:cstheme="minorHAnsi"/>
        </w:rPr>
        <w:t xml:space="preserve"> </w:t>
      </w:r>
      <w:r w:rsidRPr="004A6C89">
        <w:rPr>
          <w:rFonts w:cstheme="minorHAnsi"/>
        </w:rPr>
        <w:t>present</w:t>
      </w:r>
      <w:r w:rsidRPr="000C5459">
        <w:rPr>
          <w:rFonts w:cstheme="minorHAnsi"/>
        </w:rPr>
        <w:t xml:space="preserve"> </w:t>
      </w:r>
      <w:r w:rsidRPr="004A6C89">
        <w:rPr>
          <w:rFonts w:cstheme="minorHAnsi"/>
        </w:rPr>
        <w:t>to</w:t>
      </w:r>
      <w:r w:rsidRPr="000C5459">
        <w:rPr>
          <w:rFonts w:cstheme="minorHAnsi"/>
        </w:rPr>
        <w:t xml:space="preserve"> </w:t>
      </w:r>
      <w:r w:rsidRPr="004A6C89">
        <w:rPr>
          <w:rFonts w:cstheme="minorHAnsi"/>
        </w:rPr>
        <w:t>E</w:t>
      </w:r>
      <w:r w:rsidRPr="000C5459">
        <w:rPr>
          <w:rFonts w:cstheme="minorHAnsi"/>
        </w:rPr>
        <w:t>D</w:t>
      </w:r>
      <w:r w:rsidRPr="004A6C89">
        <w:rPr>
          <w:rFonts w:cstheme="minorHAnsi"/>
        </w:rPr>
        <w:br/>
        <w:t>-1/52 LL bruising</w:t>
      </w:r>
      <w:r w:rsidRPr="004A6C89">
        <w:rPr>
          <w:rFonts w:cstheme="minorHAnsi"/>
        </w:rPr>
        <w:br/>
        <w:t>-no other bleeding</w:t>
      </w:r>
      <w:r w:rsidRPr="004A6C89">
        <w:rPr>
          <w:rFonts w:cstheme="minorHAnsi"/>
        </w:rPr>
        <w:br/>
        <w:t>-increasing lethargy - but still able to go to work this week</w:t>
      </w:r>
      <w:r w:rsidRPr="004A6C89">
        <w:rPr>
          <w:rFonts w:cstheme="minorHAnsi"/>
        </w:rPr>
        <w:br/>
        <w:t>-no dyspnoea</w:t>
      </w:r>
      <w:r w:rsidRPr="004A6C89">
        <w:rPr>
          <w:rFonts w:cstheme="minorHAnsi"/>
        </w:rPr>
        <w:br/>
        <w:t>-no headache, no neurological symptoms</w:t>
      </w:r>
      <w:r w:rsidRPr="004A6C89">
        <w:rPr>
          <w:rFonts w:cstheme="minorHAnsi"/>
        </w:rPr>
        <w:br/>
        <w:t xml:space="preserve">-felt hot </w:t>
      </w:r>
      <w:proofErr w:type="spellStart"/>
      <w:r w:rsidRPr="004A6C89">
        <w:rPr>
          <w:rFonts w:cstheme="minorHAnsi"/>
        </w:rPr>
        <w:t>sunday</w:t>
      </w:r>
      <w:proofErr w:type="spellEnd"/>
      <w:r w:rsidRPr="004A6C89">
        <w:rPr>
          <w:rFonts w:cstheme="minorHAnsi"/>
        </w:rPr>
        <w:t xml:space="preserve"> night, no other infective symptoms</w:t>
      </w:r>
      <w:r w:rsidRPr="004A6C89">
        <w:rPr>
          <w:rFonts w:cstheme="minorHAnsi"/>
        </w:rPr>
        <w:br/>
        <w:t xml:space="preserve">-saw GP -&gt; told leukaemia and to present to ED </w:t>
      </w:r>
    </w:p>
    <w:p w:rsidR="004A6C89" w:rsidRDefault="004A6C89" w:rsidP="004A6C89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Microsoft Sans Serif" w:hAnsi="Microsoft Sans Serif" w:cs="Microsoft Sans Serif"/>
          <w:sz w:val="20"/>
          <w:szCs w:val="20"/>
          <w:shd w:val="clear" w:color="auto" w:fill="FFFFFF"/>
          <w:lang w:eastAsia="x-none"/>
        </w:rPr>
      </w:pPr>
    </w:p>
    <w:p w:rsidR="00A958EE" w:rsidRDefault="00A958EE">
      <w:r>
        <w:rPr>
          <w:noProof/>
          <w:lang w:eastAsia="en-AU"/>
        </w:rPr>
        <w:drawing>
          <wp:inline distT="0" distB="0" distL="0" distR="0" wp14:anchorId="05A88A15" wp14:editId="2044A0B7">
            <wp:extent cx="938725" cy="1711791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168" cy="17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5C1097C" wp14:editId="6C1B91E5">
            <wp:extent cx="364026" cy="161536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14" cy="17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59">
        <w:rPr>
          <w:noProof/>
          <w:lang w:eastAsia="en-AU"/>
        </w:rPr>
        <w:drawing>
          <wp:inline distT="0" distB="0" distL="0" distR="0" wp14:anchorId="689E1692" wp14:editId="13D4BB47">
            <wp:extent cx="881668" cy="6365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523" cy="6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59">
        <w:rPr>
          <w:noProof/>
          <w:lang w:eastAsia="en-AU"/>
        </w:rPr>
        <w:drawing>
          <wp:inline distT="0" distB="0" distL="0" distR="0" wp14:anchorId="2F50A4AB" wp14:editId="43C9EE0A">
            <wp:extent cx="333691" cy="538076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33" cy="58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89" w:rsidRDefault="004A6C89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5EAA1B60" wp14:editId="2BE749CF">
            <wp:extent cx="3781347" cy="275620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6990" cy="27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89" w:rsidRDefault="004A6C89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760290BB" wp14:editId="305F6524">
            <wp:extent cx="3091960" cy="1811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2234" cy="182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89" w:rsidRDefault="004A6C89">
      <w:pPr>
        <w:rPr>
          <w:b/>
        </w:rPr>
      </w:pPr>
      <w:r>
        <w:rPr>
          <w:noProof/>
          <w:lang w:eastAsia="en-AU"/>
        </w:rPr>
        <w:lastRenderedPageBreak/>
        <w:drawing>
          <wp:inline distT="0" distB="0" distL="0" distR="0" wp14:anchorId="1F80DD21" wp14:editId="33DCCA1E">
            <wp:extent cx="5217714" cy="1350386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9304" cy="13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89" w:rsidRDefault="004A6C89" w:rsidP="00543318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3B575F44" wp14:editId="63C79CF9">
            <wp:extent cx="2585080" cy="2509183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9367" cy="252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5A214AC" wp14:editId="32E505DE">
            <wp:extent cx="3771534" cy="723720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359" cy="73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89" w:rsidRDefault="004A6C89" w:rsidP="00543318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27E288E5" wp14:editId="00C1A6E4">
            <wp:extent cx="4926728" cy="221882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0594" cy="22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EE" w:rsidRDefault="00A958EE">
      <w:pPr>
        <w:rPr>
          <w:b/>
        </w:rPr>
      </w:pPr>
    </w:p>
    <w:p w:rsidR="00A958EE" w:rsidRPr="00246F3D" w:rsidRDefault="00A958EE" w:rsidP="00A958EE">
      <w:pPr>
        <w:rPr>
          <w:rFonts w:cstheme="minorHAnsi"/>
          <w:b/>
          <w:sz w:val="28"/>
          <w:szCs w:val="24"/>
        </w:rPr>
      </w:pPr>
      <w:r w:rsidRPr="00246F3D">
        <w:rPr>
          <w:rFonts w:cstheme="minorHAnsi"/>
          <w:b/>
          <w:sz w:val="28"/>
          <w:szCs w:val="24"/>
          <w:lang w:val="en-US"/>
        </w:rPr>
        <w:t>Acute promyelocytic leukemia</w:t>
      </w:r>
      <w:r w:rsidRPr="00064A56">
        <w:rPr>
          <w:rFonts w:cstheme="minorHAnsi"/>
          <w:sz w:val="24"/>
          <w:szCs w:val="24"/>
          <w:lang w:val="en-US"/>
        </w:rPr>
        <w:t xml:space="preserve"> (APL)</w:t>
      </w:r>
    </w:p>
    <w:p w:rsidR="00A958EE" w:rsidRPr="00543318" w:rsidRDefault="00A958EE" w:rsidP="00A958EE">
      <w:pPr>
        <w:rPr>
          <w:rFonts w:cstheme="minorHAnsi"/>
          <w:lang w:val="en-US"/>
        </w:rPr>
      </w:pPr>
      <w:r w:rsidRPr="00543318">
        <w:rPr>
          <w:rFonts w:cstheme="minorHAnsi"/>
          <w:lang w:val="en-US"/>
        </w:rPr>
        <w:t xml:space="preserve">Biologically and clinically distinct variant of AML. </w:t>
      </w:r>
    </w:p>
    <w:p w:rsidR="00A958EE" w:rsidRPr="00543318" w:rsidRDefault="00A958EE" w:rsidP="00A958EE">
      <w:pPr>
        <w:pStyle w:val="ListParagraph"/>
        <w:numPr>
          <w:ilvl w:val="0"/>
          <w:numId w:val="1"/>
        </w:numPr>
        <w:rPr>
          <w:rFonts w:cstheme="minorHAnsi"/>
          <w:lang w:val="en-US"/>
        </w:rPr>
      </w:pPr>
      <w:r w:rsidRPr="00543318">
        <w:rPr>
          <w:rFonts w:cstheme="minorHAnsi"/>
          <w:lang w:val="en-US"/>
        </w:rPr>
        <w:t xml:space="preserve">AML-M3 in the older French-American-British (FAB) classification </w:t>
      </w:r>
    </w:p>
    <w:p w:rsidR="00A958EE" w:rsidRPr="00543318" w:rsidRDefault="00A958EE" w:rsidP="00A958EE">
      <w:pPr>
        <w:pStyle w:val="ListParagraph"/>
        <w:numPr>
          <w:ilvl w:val="0"/>
          <w:numId w:val="1"/>
        </w:numPr>
        <w:rPr>
          <w:rStyle w:val="Emphasis"/>
          <w:rFonts w:cstheme="minorHAnsi"/>
          <w:i w:val="0"/>
          <w:iCs w:val="0"/>
          <w:lang w:val="en-US"/>
        </w:rPr>
      </w:pPr>
      <w:r w:rsidRPr="00543318">
        <w:rPr>
          <w:rFonts w:cstheme="minorHAnsi"/>
          <w:lang w:val="en-US"/>
        </w:rPr>
        <w:t xml:space="preserve">World Health Organization classification system currently classified as </w:t>
      </w:r>
      <w:r w:rsidRPr="00543318">
        <w:rPr>
          <w:rFonts w:cstheme="minorHAnsi"/>
        </w:rPr>
        <w:t>APL with PML-RARA</w:t>
      </w:r>
      <w:r w:rsidRPr="00543318">
        <w:rPr>
          <w:rFonts w:cstheme="minorHAnsi"/>
          <w:lang w:val="en-US"/>
        </w:rPr>
        <w:t xml:space="preserve"> </w:t>
      </w:r>
    </w:p>
    <w:p w:rsidR="00A958EE" w:rsidRPr="00543318" w:rsidRDefault="00A958EE" w:rsidP="00A958EE">
      <w:pPr>
        <w:rPr>
          <w:rFonts w:cstheme="minorHAnsi"/>
          <w:lang w:val="en"/>
        </w:rPr>
      </w:pPr>
      <w:r w:rsidRPr="00543318">
        <w:rPr>
          <w:rFonts w:cstheme="minorHAnsi"/>
          <w:lang w:val="en-US"/>
        </w:rPr>
        <w:lastRenderedPageBreak/>
        <w:t xml:space="preserve">APL represents a medical emergency with a high rate of early mortality, often due to hemorrhage from a characteristic coagulopathy </w:t>
      </w:r>
      <w:r w:rsidR="00543318">
        <w:rPr>
          <w:rFonts w:cstheme="minorHAnsi"/>
          <w:lang w:val="en-US"/>
        </w:rPr>
        <w:t>(</w:t>
      </w:r>
      <w:r w:rsidRPr="00543318">
        <w:rPr>
          <w:rFonts w:cstheme="minorHAnsi"/>
          <w:lang w:val="en-US"/>
        </w:rPr>
        <w:t>disseminated intravascular coagulation (DIC) and/or primary fibrinolysis</w:t>
      </w:r>
      <w:r w:rsidR="00543318">
        <w:rPr>
          <w:rFonts w:cstheme="minorHAnsi"/>
          <w:lang w:val="en-US"/>
        </w:rPr>
        <w:t>)</w:t>
      </w:r>
      <w:r w:rsidRPr="00543318">
        <w:rPr>
          <w:rFonts w:cstheme="minorHAnsi"/>
          <w:lang w:val="en-US"/>
        </w:rPr>
        <w:t xml:space="preserve">. </w:t>
      </w:r>
    </w:p>
    <w:p w:rsidR="000C5459" w:rsidRDefault="00A958EE" w:rsidP="00A958EE">
      <w:pPr>
        <w:rPr>
          <w:rFonts w:cstheme="minorHAnsi"/>
          <w:lang w:val="en-US"/>
        </w:rPr>
      </w:pPr>
      <w:r w:rsidRPr="00543318">
        <w:rPr>
          <w:rFonts w:cstheme="minorHAnsi"/>
          <w:lang w:val="en-US"/>
        </w:rPr>
        <w:t xml:space="preserve">It is critical to start treatment with ATRA without delay as soon as the diagnosis </w:t>
      </w:r>
      <w:proofErr w:type="gramStart"/>
      <w:r w:rsidRPr="00543318">
        <w:rPr>
          <w:rFonts w:cstheme="minorHAnsi"/>
          <w:lang w:val="en-US"/>
        </w:rPr>
        <w:t xml:space="preserve">is </w:t>
      </w:r>
      <w:r w:rsidRPr="00543318">
        <w:rPr>
          <w:rStyle w:val="Strong"/>
          <w:rFonts w:cstheme="minorHAnsi"/>
          <w:lang w:val="en-US"/>
        </w:rPr>
        <w:t>suspected</w:t>
      </w:r>
      <w:proofErr w:type="gramEnd"/>
      <w:r w:rsidRPr="00543318">
        <w:rPr>
          <w:rFonts w:cstheme="minorHAnsi"/>
          <w:lang w:val="en-US"/>
        </w:rPr>
        <w:t xml:space="preserve"> and before definitive confirmation of the diagnosis has been made by genetic, cytogenetic, or immunostaining methods </w:t>
      </w:r>
      <w:r w:rsidRPr="00543318">
        <w:rPr>
          <w:rFonts w:cstheme="minorHAnsi"/>
          <w:color w:val="00905A"/>
          <w:lang w:val="en-US"/>
        </w:rPr>
        <w:t>-</w:t>
      </w:r>
      <w:r w:rsidRPr="00543318">
        <w:rPr>
          <w:rFonts w:cstheme="minorHAnsi"/>
          <w:lang w:val="en-US"/>
        </w:rPr>
        <w:t xml:space="preserve"> if the diagnosis is not confirmed, ATRA can be discontinued and treatment changed to that used for other types of acute myeloid leukemia (AML). </w:t>
      </w:r>
    </w:p>
    <w:p w:rsidR="00B35FEC" w:rsidRPr="00543318" w:rsidRDefault="00B35FEC" w:rsidP="00A958EE">
      <w:pPr>
        <w:rPr>
          <w:rFonts w:cstheme="minorHAnsi"/>
          <w:lang w:val="en-US"/>
        </w:rPr>
      </w:pPr>
      <w:r>
        <w:t>The most important prognostic factor in APL is the WBC at diagnosis, which allows distinction of patients with higher or lower risk disease (WBC &gt;10 or WBC &lt;10). Induction involves treatment with combination therapies of ATRA and Arsenic trioxide (ATO) in low t</w:t>
      </w:r>
      <w:r>
        <w:t>o intermediate risk patients.</w:t>
      </w:r>
      <w:bookmarkStart w:id="0" w:name="_GoBack"/>
      <w:bookmarkEnd w:id="0"/>
    </w:p>
    <w:p w:rsidR="00A958EE" w:rsidRDefault="00A958EE" w:rsidP="0054331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43318">
        <w:rPr>
          <w:rFonts w:asciiTheme="minorHAnsi" w:hAnsiTheme="minorHAnsi" w:cstheme="minorHAnsi"/>
          <w:sz w:val="22"/>
          <w:szCs w:val="22"/>
          <w:lang w:val="en-US"/>
        </w:rPr>
        <w:t xml:space="preserve">Induction </w:t>
      </w:r>
      <w:r w:rsidRPr="00543318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therapy </w:t>
      </w:r>
      <w:r w:rsidR="000C5459" w:rsidRPr="00543318">
        <w:rPr>
          <w:rFonts w:asciiTheme="minorHAnsi" w:hAnsiTheme="minorHAnsi" w:cstheme="minorHAnsi"/>
          <w:b/>
          <w:color w:val="auto"/>
          <w:sz w:val="22"/>
          <w:szCs w:val="22"/>
          <w:lang w:val="en-US"/>
        </w:rPr>
        <w:t>tretinoin</w:t>
      </w:r>
      <w:r w:rsidR="000C5459" w:rsidRPr="00543318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(</w:t>
      </w:r>
      <w:hyperlink r:id="rId16" w:history="1">
        <w:r w:rsidRPr="00543318">
          <w:rPr>
            <w:rFonts w:asciiTheme="minorHAnsi" w:hAnsiTheme="minorHAnsi" w:cstheme="minorHAnsi"/>
            <w:color w:val="auto"/>
            <w:sz w:val="22"/>
            <w:szCs w:val="22"/>
            <w:lang w:val="en-US"/>
          </w:rPr>
          <w:t>all-trans retinoic acid</w:t>
        </w:r>
      </w:hyperlink>
      <w:r w:rsidR="000C5459" w:rsidRPr="00543318">
        <w:rPr>
          <w:rFonts w:asciiTheme="minorHAnsi" w:hAnsiTheme="minorHAnsi" w:cstheme="minorHAnsi"/>
          <w:color w:val="auto"/>
          <w:sz w:val="22"/>
          <w:szCs w:val="22"/>
          <w:lang w:val="en-US"/>
        </w:rPr>
        <w:t>)</w:t>
      </w:r>
      <w:r w:rsidRPr="00543318">
        <w:rPr>
          <w:rFonts w:asciiTheme="minorHAnsi" w:hAnsiTheme="minorHAnsi" w:cstheme="minorHAnsi"/>
          <w:sz w:val="22"/>
          <w:szCs w:val="22"/>
          <w:lang w:val="en-US"/>
        </w:rPr>
        <w:t xml:space="preserve"> (ATRA), promotes the terminal differentiation of malignant promyelocytes to mature neutrophils </w:t>
      </w:r>
      <w:r w:rsidRPr="00543318">
        <w:rPr>
          <w:rFonts w:asciiTheme="minorHAnsi" w:hAnsiTheme="minorHAnsi" w:cstheme="minorHAnsi"/>
          <w:color w:val="auto"/>
          <w:sz w:val="22"/>
          <w:szCs w:val="22"/>
        </w:rPr>
        <w:t xml:space="preserve">with a </w:t>
      </w:r>
      <w:r w:rsidRPr="00543318">
        <w:rPr>
          <w:rFonts w:asciiTheme="minorHAnsi" w:hAnsiTheme="minorHAnsi" w:cstheme="minorHAnsi"/>
          <w:sz w:val="22"/>
          <w:szCs w:val="22"/>
        </w:rPr>
        <w:t xml:space="preserve">peak WCC </w:t>
      </w:r>
      <w:r w:rsidR="000C5459" w:rsidRPr="00543318">
        <w:rPr>
          <w:rFonts w:asciiTheme="minorHAnsi" w:hAnsiTheme="minorHAnsi" w:cstheme="minorHAnsi"/>
          <w:sz w:val="22"/>
          <w:szCs w:val="22"/>
        </w:rPr>
        <w:t xml:space="preserve">at </w:t>
      </w:r>
      <w:r w:rsidRPr="00543318">
        <w:rPr>
          <w:rFonts w:asciiTheme="minorHAnsi" w:hAnsiTheme="minorHAnsi" w:cstheme="minorHAnsi"/>
          <w:sz w:val="22"/>
          <w:szCs w:val="22"/>
        </w:rPr>
        <w:t>usually around day 15</w:t>
      </w:r>
      <w:r w:rsidR="00543318">
        <w:rPr>
          <w:rFonts w:asciiTheme="minorHAnsi" w:hAnsiTheme="minorHAnsi" w:cstheme="minorHAnsi"/>
          <w:sz w:val="22"/>
          <w:szCs w:val="22"/>
        </w:rPr>
        <w:t>.</w:t>
      </w:r>
    </w:p>
    <w:p w:rsidR="00543318" w:rsidRPr="00543318" w:rsidRDefault="00543318" w:rsidP="00543318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A958EE" w:rsidRDefault="00A958EE" w:rsidP="00A958EE">
      <w:pPr>
        <w:rPr>
          <w:rFonts w:cstheme="minorHAnsi"/>
          <w:lang w:val="en"/>
        </w:rPr>
      </w:pPr>
      <w:r w:rsidRPr="00543318">
        <w:rPr>
          <w:rFonts w:cstheme="minorHAnsi"/>
          <w:lang w:val="en"/>
        </w:rPr>
        <w:t xml:space="preserve">Arsenic trioxide acts through specific binding of the promyelocytic leukemia protein (PML) moiety of the disease-specific PML–retinoic acid receptor alpha (RARA) oncoprotein, leading to its degradation and resulting in partial differentiation and induction of apoptosis of leukemic </w:t>
      </w:r>
      <w:proofErr w:type="spellStart"/>
      <w:r w:rsidRPr="00543318">
        <w:rPr>
          <w:rFonts w:cstheme="minorHAnsi"/>
          <w:lang w:val="en"/>
        </w:rPr>
        <w:t>promyelocytes</w:t>
      </w:r>
      <w:proofErr w:type="spellEnd"/>
    </w:p>
    <w:p w:rsidR="007B5990" w:rsidRDefault="007B5990" w:rsidP="00A958EE">
      <w:pPr>
        <w:rPr>
          <w:rFonts w:cstheme="minorHAnsi"/>
          <w:lang w:val="en"/>
        </w:rPr>
      </w:pPr>
      <w:r>
        <w:t>F</w:t>
      </w:r>
      <w:r>
        <w:t>usion gene PML-RARA</w:t>
      </w:r>
      <w:r>
        <w:t xml:space="preserve"> results from </w:t>
      </w:r>
      <w:r>
        <w:t>reciprocal translocation between the long arms of chromosomes 15 and 17</w:t>
      </w:r>
      <w:r>
        <w:t xml:space="preserve">. </w:t>
      </w:r>
      <w:r>
        <w:t xml:space="preserve">This fusion links the retinoic acid receptor alpha (RARA) gene on chromosome 17 with the </w:t>
      </w:r>
      <w:proofErr w:type="spellStart"/>
      <w:r>
        <w:t>promyelocytic</w:t>
      </w:r>
      <w:proofErr w:type="spellEnd"/>
      <w:r>
        <w:t xml:space="preserve"> </w:t>
      </w:r>
      <w:proofErr w:type="spellStart"/>
      <w:r>
        <w:t>leukemia</w:t>
      </w:r>
      <w:proofErr w:type="spellEnd"/>
      <w:r>
        <w:t xml:space="preserve"> (PML) gene on chromosome 15.</w:t>
      </w:r>
    </w:p>
    <w:p w:rsidR="007B5990" w:rsidRDefault="007B5990" w:rsidP="00A958EE">
      <w:r>
        <w:t>The resulting</w:t>
      </w:r>
      <w:r>
        <w:t xml:space="preserve"> PML/RARA fusion protein inhibits the transcription of genes necessary for differentiation. </w:t>
      </w:r>
    </w:p>
    <w:p w:rsidR="007B5990" w:rsidRPr="00543318" w:rsidRDefault="007B5990" w:rsidP="00A958EE">
      <w:pPr>
        <w:rPr>
          <w:rFonts w:cstheme="minorHAnsi"/>
          <w:lang w:val="en"/>
        </w:rPr>
      </w:pPr>
      <w:r>
        <w:t xml:space="preserve">Over 95% of </w:t>
      </w:r>
      <w:r>
        <w:t xml:space="preserve">APL </w:t>
      </w:r>
      <w:r>
        <w:t xml:space="preserve">cases have the translocation containing </w:t>
      </w:r>
      <w:proofErr w:type="gramStart"/>
      <w:r>
        <w:t>t(</w:t>
      </w:r>
      <w:proofErr w:type="gramEnd"/>
      <w:r>
        <w:t xml:space="preserve">15;17)(q24.1;q21.1), variant translocations </w:t>
      </w:r>
      <w:r>
        <w:t>include</w:t>
      </w:r>
      <w:r>
        <w:t xml:space="preserve"> t(11;17) and t(5;17) .</w:t>
      </w:r>
    </w:p>
    <w:p w:rsidR="00A958EE" w:rsidRDefault="007B5990" w:rsidP="00A958EE">
      <w:pPr>
        <w:rPr>
          <w:rFonts w:cstheme="minorHAnsi"/>
          <w:b/>
          <w:sz w:val="28"/>
          <w:szCs w:val="24"/>
          <w:lang w:val="en"/>
        </w:rPr>
      </w:pPr>
      <w:r>
        <w:rPr>
          <w:rFonts w:cstheme="minorHAnsi"/>
          <w:b/>
          <w:sz w:val="28"/>
          <w:szCs w:val="24"/>
          <w:lang w:val="en"/>
        </w:rPr>
        <w:t xml:space="preserve">APL with </w:t>
      </w:r>
      <w:r w:rsidR="00A958EE" w:rsidRPr="00164EC2">
        <w:rPr>
          <w:rFonts w:cstheme="minorHAnsi"/>
          <w:b/>
          <w:sz w:val="28"/>
          <w:szCs w:val="24"/>
          <w:lang w:val="en"/>
        </w:rPr>
        <w:t>PML-RARA</w:t>
      </w:r>
      <w:r>
        <w:rPr>
          <w:rFonts w:cstheme="minorHAnsi"/>
          <w:b/>
          <w:sz w:val="28"/>
          <w:szCs w:val="24"/>
          <w:lang w:val="en"/>
        </w:rPr>
        <w:t xml:space="preserve"> typical</w:t>
      </w:r>
      <w:r w:rsidR="00A958EE">
        <w:rPr>
          <w:rFonts w:cstheme="minorHAnsi"/>
          <w:b/>
          <w:sz w:val="28"/>
          <w:szCs w:val="24"/>
          <w:lang w:val="en"/>
        </w:rPr>
        <w:t xml:space="preserve"> presentation</w:t>
      </w:r>
      <w:r w:rsidR="00A958EE" w:rsidRPr="00164EC2">
        <w:rPr>
          <w:rFonts w:cstheme="minorHAnsi"/>
          <w:b/>
          <w:sz w:val="28"/>
          <w:szCs w:val="24"/>
          <w:lang w:val="en"/>
        </w:rPr>
        <w:t>:</w:t>
      </w:r>
    </w:p>
    <w:p w:rsidR="00A958EE" w:rsidRPr="00543318" w:rsidRDefault="007B5990" w:rsidP="00A958EE">
      <w:pPr>
        <w:pStyle w:val="ListParagraph"/>
        <w:numPr>
          <w:ilvl w:val="0"/>
          <w:numId w:val="2"/>
        </w:numPr>
        <w:rPr>
          <w:rFonts w:cstheme="minorHAnsi"/>
          <w:lang w:val="en"/>
        </w:rPr>
      </w:pPr>
      <w:r>
        <w:rPr>
          <w:rFonts w:cstheme="minorHAnsi"/>
          <w:lang w:val="en"/>
        </w:rPr>
        <w:t>L</w:t>
      </w:r>
      <w:r w:rsidR="00A958EE" w:rsidRPr="00543318">
        <w:rPr>
          <w:rFonts w:cstheme="minorHAnsi"/>
          <w:lang w:val="en"/>
        </w:rPr>
        <w:t>ow WCC</w:t>
      </w:r>
      <w:r>
        <w:rPr>
          <w:rFonts w:cstheme="minorHAnsi"/>
          <w:lang w:val="en"/>
        </w:rPr>
        <w:t xml:space="preserve"> +/- pancytopenia</w:t>
      </w:r>
    </w:p>
    <w:p w:rsidR="00A958EE" w:rsidRPr="00543318" w:rsidRDefault="00A958EE" w:rsidP="00A958EE">
      <w:pPr>
        <w:pStyle w:val="ListParagraph"/>
        <w:numPr>
          <w:ilvl w:val="0"/>
          <w:numId w:val="2"/>
        </w:numPr>
        <w:rPr>
          <w:rFonts w:cstheme="minorHAnsi"/>
          <w:lang w:val="en"/>
        </w:rPr>
      </w:pPr>
      <w:r w:rsidRPr="00543318">
        <w:rPr>
          <w:rFonts w:cstheme="minorHAnsi"/>
          <w:lang w:val="en"/>
        </w:rPr>
        <w:t xml:space="preserve">Promyelocytes are large – kidney or bilobed (butterfly) nucleus, abundant basophilic cytoplasm with large densely packed granules +/- </w:t>
      </w:r>
      <w:proofErr w:type="spellStart"/>
      <w:r w:rsidRPr="00543318">
        <w:rPr>
          <w:rFonts w:cstheme="minorHAnsi"/>
          <w:lang w:val="en"/>
        </w:rPr>
        <w:t>auer</w:t>
      </w:r>
      <w:proofErr w:type="spellEnd"/>
      <w:r w:rsidRPr="00543318">
        <w:rPr>
          <w:rFonts w:cstheme="minorHAnsi"/>
          <w:lang w:val="en"/>
        </w:rPr>
        <w:t xml:space="preserve"> rods </w:t>
      </w:r>
    </w:p>
    <w:p w:rsidR="00A958EE" w:rsidRPr="00A958EE" w:rsidRDefault="00A958EE" w:rsidP="00A958E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"/>
        </w:rPr>
      </w:pPr>
      <w:r w:rsidRPr="00543318">
        <w:rPr>
          <w:rFonts w:cstheme="minorHAnsi"/>
          <w:lang w:val="en"/>
        </w:rPr>
        <w:t>Flow: High side scatter, wCD117+, b CD33+, MPO+, CD34 -, HLA-DR -, CD13+/-, CD64+. Aberrant CD56 associated with poorer prognosis</w:t>
      </w:r>
      <w:r w:rsidRPr="00A958EE">
        <w:rPr>
          <w:rFonts w:cstheme="minorHAnsi"/>
          <w:sz w:val="24"/>
          <w:szCs w:val="24"/>
          <w:lang w:val="en"/>
        </w:rPr>
        <w:t xml:space="preserve">    </w:t>
      </w:r>
    </w:p>
    <w:p w:rsidR="00A958EE" w:rsidRPr="007B5990" w:rsidRDefault="00A958EE" w:rsidP="007B5990">
      <w:pPr>
        <w:pStyle w:val="ListParagraph"/>
        <w:numPr>
          <w:ilvl w:val="0"/>
          <w:numId w:val="6"/>
        </w:numPr>
        <w:rPr>
          <w:rFonts w:cstheme="minorHAnsi"/>
          <w:b/>
          <w:sz w:val="24"/>
          <w:szCs w:val="24"/>
          <w:lang w:val="en"/>
        </w:rPr>
      </w:pPr>
      <w:proofErr w:type="spellStart"/>
      <w:r w:rsidRPr="007B5990">
        <w:rPr>
          <w:rFonts w:cstheme="minorHAnsi"/>
          <w:b/>
          <w:sz w:val="24"/>
          <w:szCs w:val="24"/>
          <w:lang w:val="en"/>
        </w:rPr>
        <w:t>Microgranular</w:t>
      </w:r>
      <w:proofErr w:type="spellEnd"/>
      <w:r w:rsidRPr="007B5990">
        <w:rPr>
          <w:rFonts w:cstheme="minorHAnsi"/>
          <w:b/>
          <w:sz w:val="24"/>
          <w:szCs w:val="24"/>
          <w:lang w:val="en"/>
        </w:rPr>
        <w:t xml:space="preserve"> form:</w:t>
      </w:r>
    </w:p>
    <w:p w:rsidR="00A958EE" w:rsidRPr="00543318" w:rsidRDefault="007B5990" w:rsidP="007B5990">
      <w:pPr>
        <w:pStyle w:val="ListParagraph"/>
        <w:numPr>
          <w:ilvl w:val="0"/>
          <w:numId w:val="7"/>
        </w:numPr>
        <w:rPr>
          <w:rFonts w:cstheme="minorHAnsi"/>
          <w:lang w:val="en"/>
        </w:rPr>
      </w:pPr>
      <w:r>
        <w:rPr>
          <w:rFonts w:cstheme="minorHAnsi"/>
          <w:lang w:val="en"/>
        </w:rPr>
        <w:t>Usually p</w:t>
      </w:r>
      <w:r w:rsidR="00A958EE" w:rsidRPr="00543318">
        <w:rPr>
          <w:rFonts w:cstheme="minorHAnsi"/>
          <w:lang w:val="en"/>
        </w:rPr>
        <w:t>resents with higher WCC.</w:t>
      </w:r>
    </w:p>
    <w:p w:rsidR="00A958EE" w:rsidRPr="007B5990" w:rsidRDefault="00A958EE" w:rsidP="007B5990">
      <w:pPr>
        <w:pStyle w:val="ListParagraph"/>
        <w:numPr>
          <w:ilvl w:val="0"/>
          <w:numId w:val="7"/>
        </w:numPr>
        <w:rPr>
          <w:rFonts w:cstheme="minorHAnsi"/>
          <w:lang w:val="en"/>
        </w:rPr>
      </w:pPr>
      <w:r w:rsidRPr="00543318">
        <w:rPr>
          <w:rFonts w:cstheme="minorHAnsi"/>
          <w:lang w:val="en"/>
        </w:rPr>
        <w:t>Promyelocytes predominantly bilobed a</w:t>
      </w:r>
      <w:r w:rsidR="007B5990">
        <w:rPr>
          <w:rFonts w:cstheme="minorHAnsi"/>
          <w:lang w:val="en"/>
        </w:rPr>
        <w:t>nd granules not visible or rare (t</w:t>
      </w:r>
      <w:r w:rsidR="007B5990" w:rsidRPr="007B5990">
        <w:rPr>
          <w:rFonts w:cstheme="minorHAnsi"/>
          <w:lang w:val="en"/>
        </w:rPr>
        <w:t xml:space="preserve">he apparent lack of granules relates to the </w:t>
      </w:r>
      <w:proofErr w:type="spellStart"/>
      <w:r w:rsidR="007B5990" w:rsidRPr="007B5990">
        <w:rPr>
          <w:rFonts w:cstheme="minorHAnsi"/>
          <w:lang w:val="en"/>
        </w:rPr>
        <w:t>submicroscopic</w:t>
      </w:r>
      <w:proofErr w:type="spellEnd"/>
      <w:r w:rsidR="007B5990" w:rsidRPr="007B5990">
        <w:rPr>
          <w:rFonts w:cstheme="minorHAnsi"/>
          <w:lang w:val="en"/>
        </w:rPr>
        <w:t xml:space="preserve"> size of the granules present, which are not visible by light microscopy.)</w:t>
      </w:r>
    </w:p>
    <w:p w:rsidR="00A958EE" w:rsidRPr="00543318" w:rsidRDefault="00A958EE" w:rsidP="007B5990">
      <w:pPr>
        <w:pStyle w:val="ListParagraph"/>
        <w:numPr>
          <w:ilvl w:val="0"/>
          <w:numId w:val="7"/>
        </w:numPr>
        <w:rPr>
          <w:lang w:val="en"/>
        </w:rPr>
      </w:pPr>
      <w:r w:rsidRPr="00543318">
        <w:rPr>
          <w:rFonts w:cstheme="minorHAnsi"/>
          <w:lang w:val="en"/>
        </w:rPr>
        <w:t xml:space="preserve">CD34 and HLA-DR may be dimly positive, Aberrant CD2+ </w:t>
      </w:r>
    </w:p>
    <w:p w:rsidR="000C5459" w:rsidRPr="007B5990" w:rsidRDefault="000C5459" w:rsidP="007B5990">
      <w:pPr>
        <w:pStyle w:val="ListParagraph"/>
        <w:numPr>
          <w:ilvl w:val="0"/>
          <w:numId w:val="6"/>
        </w:numPr>
        <w:rPr>
          <w:rFonts w:cstheme="minorHAnsi"/>
          <w:b/>
          <w:sz w:val="24"/>
          <w:szCs w:val="24"/>
          <w:lang w:val="en-US"/>
        </w:rPr>
      </w:pPr>
      <w:r w:rsidRPr="007B5990">
        <w:rPr>
          <w:rFonts w:cstheme="minorHAnsi"/>
          <w:b/>
          <w:sz w:val="24"/>
          <w:szCs w:val="24"/>
          <w:lang w:val="en-US"/>
        </w:rPr>
        <w:t>t(11;17) variant</w:t>
      </w:r>
    </w:p>
    <w:p w:rsidR="000C5459" w:rsidRPr="00543318" w:rsidRDefault="000C5459" w:rsidP="007B5990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543318">
        <w:rPr>
          <w:rFonts w:cstheme="minorHAnsi"/>
          <w:lang w:val="en-US"/>
        </w:rPr>
        <w:t>Morphologically distinct to t(15;17) – promyelocytes resemble normal promyelocytes with regular shaped, round nuclei</w:t>
      </w:r>
    </w:p>
    <w:p w:rsidR="000C5459" w:rsidRPr="00543318" w:rsidRDefault="000C5459" w:rsidP="007B5990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543318">
        <w:rPr>
          <w:rFonts w:cstheme="minorHAnsi"/>
          <w:lang w:val="en-US"/>
        </w:rPr>
        <w:t xml:space="preserve">poor response to ATRA at induction therapy  </w:t>
      </w:r>
    </w:p>
    <w:p w:rsidR="000C5459" w:rsidRPr="00543318" w:rsidRDefault="000C5459" w:rsidP="007B5990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543318">
        <w:rPr>
          <w:rFonts w:cstheme="minorHAnsi"/>
          <w:lang w:val="en-US"/>
        </w:rPr>
        <w:t xml:space="preserve">high incidence at diagnosis of disseminated intravascular coagulation </w:t>
      </w:r>
    </w:p>
    <w:p w:rsidR="000C5459" w:rsidRPr="00A958EE" w:rsidRDefault="000C5459" w:rsidP="000C5459">
      <w:pPr>
        <w:pStyle w:val="ListParagraph"/>
        <w:rPr>
          <w:lang w:val="en"/>
        </w:rPr>
      </w:pPr>
    </w:p>
    <w:p w:rsidR="00A958EE" w:rsidRPr="004A6C89" w:rsidRDefault="00A958EE">
      <w:pPr>
        <w:rPr>
          <w:b/>
        </w:rPr>
      </w:pPr>
    </w:p>
    <w:sectPr w:rsidR="00A958EE" w:rsidRPr="004A6C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42DEC"/>
    <w:multiLevelType w:val="hybridMultilevel"/>
    <w:tmpl w:val="32C89CF8"/>
    <w:lvl w:ilvl="0" w:tplc="0B06622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D2393"/>
    <w:multiLevelType w:val="hybridMultilevel"/>
    <w:tmpl w:val="107836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4A09CA"/>
    <w:multiLevelType w:val="hybridMultilevel"/>
    <w:tmpl w:val="8AD48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41D36"/>
    <w:multiLevelType w:val="hybridMultilevel"/>
    <w:tmpl w:val="189A374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40D93"/>
    <w:multiLevelType w:val="hybridMultilevel"/>
    <w:tmpl w:val="F2E6215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A01C48"/>
    <w:multiLevelType w:val="hybridMultilevel"/>
    <w:tmpl w:val="EF065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86D77"/>
    <w:multiLevelType w:val="hybridMultilevel"/>
    <w:tmpl w:val="17AED7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E08C1"/>
    <w:multiLevelType w:val="hybridMultilevel"/>
    <w:tmpl w:val="2A4276F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89"/>
    <w:rsid w:val="000C5459"/>
    <w:rsid w:val="004A6C89"/>
    <w:rsid w:val="00543318"/>
    <w:rsid w:val="007B5990"/>
    <w:rsid w:val="00A958EE"/>
    <w:rsid w:val="00B35FEC"/>
    <w:rsid w:val="00CA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8DA88"/>
  <w15:chartTrackingRefBased/>
  <w15:docId w15:val="{CE15FCFC-8B8F-4E21-BBC8-ED2B830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4A6C8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character" w:styleId="Emphasis">
    <w:name w:val="Emphasis"/>
    <w:basedOn w:val="DefaultParagraphFont"/>
    <w:uiPriority w:val="20"/>
    <w:qFormat/>
    <w:rsid w:val="00A958EE"/>
    <w:rPr>
      <w:i/>
      <w:iCs/>
    </w:rPr>
  </w:style>
  <w:style w:type="character" w:styleId="Strong">
    <w:name w:val="Strong"/>
    <w:basedOn w:val="DefaultParagraphFont"/>
    <w:uiPriority w:val="22"/>
    <w:qFormat/>
    <w:rsid w:val="00A958EE"/>
    <w:rPr>
      <w:b/>
      <w:bCs/>
    </w:rPr>
  </w:style>
  <w:style w:type="paragraph" w:customStyle="1" w:styleId="Default">
    <w:name w:val="Default"/>
    <w:rsid w:val="00A95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958E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uptodate.com/contents/all-trans-retinoic-acid-systemic-tretinoin-drug-information?search=apl&amp;topicRef=4498&amp;source=see_lin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56E09-5BEC-4ACC-B7E6-84B4ADB2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Wendy</dc:creator>
  <cp:keywords/>
  <dc:description/>
  <cp:lastModifiedBy>Shackles, Jocelyn</cp:lastModifiedBy>
  <cp:revision>2</cp:revision>
  <dcterms:created xsi:type="dcterms:W3CDTF">2020-06-26T05:38:00Z</dcterms:created>
  <dcterms:modified xsi:type="dcterms:W3CDTF">2020-06-30T05:56:00Z</dcterms:modified>
</cp:coreProperties>
</file>