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AE" w:rsidRDefault="0005769A">
      <w:pPr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 xml:space="preserve">OBJECTIVE </w:t>
      </w:r>
      <w:r>
        <w:rPr>
          <w:rFonts w:ascii="Arial" w:eastAsia="Arial" w:hAnsi="Arial" w:cs="Arial"/>
          <w:b/>
          <w:sz w:val="22"/>
          <w:szCs w:val="22"/>
        </w:rPr>
        <w:br/>
      </w:r>
    </w:p>
    <w:p w:rsidR="005F69AE" w:rsidRDefault="0005769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Prevention of transfusion-associated graft-vs-host disease by irradiation of blood and its components</w:t>
      </w:r>
    </w:p>
    <w:p w:rsidR="005F69AE" w:rsidRDefault="0005769A">
      <w:pPr>
        <w:pStyle w:val="NormalWeb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BACKGROUND </w:t>
      </w:r>
    </w:p>
    <w:p w:rsidR="005F69AE" w:rsidRDefault="0005769A">
      <w:pPr>
        <w:pStyle w:val="Normal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TA-GVHD is a rare but usually fatal complication of transfusion. The disease occurs when donor lymphocytes engraft in a susceptible recipient. These donor lymphocytes proliferate and damage target organs, especially bone marrow, skin, liver and gastrointes</w:t>
      </w:r>
      <w:r>
        <w:rPr>
          <w:rFonts w:ascii="Arial" w:eastAsia="Arial" w:hAnsi="Arial" w:cs="Arial"/>
          <w:sz w:val="22"/>
          <w:szCs w:val="22"/>
        </w:rPr>
        <w:t>tinal tract. Typically the condition presents 10-14 days after transfusion with rash (erythroderma), pancytopenia and abnormal liver function. The mortality rate of TA-GVHD approaches 100%.</w:t>
      </w:r>
    </w:p>
    <w:p w:rsidR="005F69AE" w:rsidRDefault="0005769A">
      <w:pPr>
        <w:pStyle w:val="Normal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Transfusion-associated graft-vs-host disease (GVHD) is a serious r</w:t>
      </w:r>
      <w:r>
        <w:rPr>
          <w:rFonts w:ascii="Arial" w:eastAsia="Arial" w:hAnsi="Arial" w:cs="Arial"/>
          <w:sz w:val="22"/>
          <w:szCs w:val="22"/>
        </w:rPr>
        <w:t xml:space="preserve">isk for some severely immunosuppressed or immunodeficient patients. Cellular components for at-risk patients should be irradiated with a minimum of 25 Gy prior to transfusion. Evidence suggests that irradiation is not necessary for fresh frozen plasma and </w:t>
      </w:r>
      <w:r>
        <w:rPr>
          <w:rFonts w:ascii="Arial" w:eastAsia="Arial" w:hAnsi="Arial" w:cs="Arial"/>
          <w:sz w:val="22"/>
          <w:szCs w:val="22"/>
        </w:rPr>
        <w:t>cryoprecipitate. GVHD has been reported in immunocompetent recipients who have received blood from an individual with a similar HLA haplotype, such as a close relative. Scientific evidence indicates that donor lymphocytes of similar HLA type are not percei</w:t>
      </w:r>
      <w:r>
        <w:rPr>
          <w:rFonts w:ascii="Arial" w:eastAsia="Arial" w:hAnsi="Arial" w:cs="Arial"/>
          <w:sz w:val="22"/>
          <w:szCs w:val="22"/>
        </w:rPr>
        <w:t>ved as foreign and are therefore not destroyed by the recipient's immune system.</w:t>
      </w:r>
    </w:p>
    <w:p w:rsidR="005F69AE" w:rsidRDefault="0005769A">
      <w:pPr>
        <w:pStyle w:val="NormalWeb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Indications for Irradiated Cellular Products</w:t>
      </w:r>
    </w:p>
    <w:p w:rsidR="005F69AE" w:rsidRDefault="0005769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Refer to </w:t>
      </w:r>
      <w:hyperlink r:id="rId7" w:history="1">
        <w:r>
          <w:rPr>
            <w:rStyle w:val="Hyperlink"/>
            <w:rFonts w:ascii="Arial" w:eastAsia="Arial" w:hAnsi="Arial" w:cs="Arial"/>
            <w:b/>
            <w:sz w:val="22"/>
            <w:szCs w:val="22"/>
          </w:rPr>
          <w:t>CD_HA_0513</w:t>
        </w:r>
      </w:hyperlink>
      <w:r>
        <w:rPr>
          <w:rFonts w:ascii="Arial" w:eastAsia="Arial" w:hAnsi="Arial" w:cs="Arial"/>
          <w:b/>
          <w:sz w:val="22"/>
          <w:szCs w:val="22"/>
        </w:rPr>
        <w:t>_ Patient Comment (PTC)</w:t>
      </w:r>
      <w:r>
        <w:rPr>
          <w:rFonts w:ascii="Arial" w:eastAsia="Arial" w:hAnsi="Arial" w:cs="Arial"/>
          <w:sz w:val="22"/>
          <w:szCs w:val="22"/>
        </w:rPr>
        <w:t xml:space="preserve"> for details on ho</w:t>
      </w:r>
      <w:r>
        <w:rPr>
          <w:rFonts w:ascii="Arial" w:eastAsia="Arial" w:hAnsi="Arial" w:cs="Arial"/>
          <w:sz w:val="22"/>
          <w:szCs w:val="22"/>
        </w:rPr>
        <w:t xml:space="preserve">w to enter </w:t>
      </w:r>
      <w:r>
        <w:rPr>
          <w:rFonts w:ascii="Arial" w:eastAsia="Arial" w:hAnsi="Arial" w:cs="Arial"/>
          <w:b/>
          <w:sz w:val="22"/>
          <w:szCs w:val="22"/>
        </w:rPr>
        <w:t>Use Irradiated</w:t>
      </w:r>
      <w:r>
        <w:rPr>
          <w:rFonts w:ascii="Arial" w:eastAsia="Arial" w:hAnsi="Arial" w:cs="Arial"/>
          <w:sz w:val="22"/>
          <w:szCs w:val="22"/>
        </w:rPr>
        <w:t xml:space="preserve"> as a transfusion requirement.</w:t>
      </w:r>
    </w:p>
    <w:p w:rsidR="005F69AE" w:rsidRDefault="0005769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5F69AE" w:rsidRDefault="0005769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Definite indications</w:t>
      </w:r>
    </w:p>
    <w:p w:rsidR="005F69AE" w:rsidRDefault="0005769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These are indications where there is strong evidence to support the requirement for use of irradiated blood components or where there is clear consensus on the requirement withi</w:t>
      </w:r>
      <w:r>
        <w:rPr>
          <w:rFonts w:ascii="Arial" w:eastAsia="Arial" w:hAnsi="Arial" w:cs="Arial"/>
          <w:sz w:val="22"/>
          <w:szCs w:val="22"/>
        </w:rPr>
        <w:t>n published guidelines:</w:t>
      </w:r>
    </w:p>
    <w:p w:rsidR="005F69AE" w:rsidRDefault="0005769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5F69AE" w:rsidRDefault="0005769A">
      <w:pPr>
        <w:spacing w:after="120"/>
        <w:jc w:val="both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ab/>
        <w:t xml:space="preserve">Allogeneic and Autologous bone marrow/peripheral blood stem cell  recipients </w:t>
      </w:r>
    </w:p>
    <w:p w:rsidR="005F69AE" w:rsidRDefault="0005769A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Acute leukaemia</w:t>
      </w:r>
      <w:r>
        <w:rPr>
          <w:rFonts w:ascii="Arial" w:eastAsia="Arial" w:hAnsi="Arial" w:cs="Arial"/>
          <w:sz w:val="22"/>
          <w:szCs w:val="22"/>
        </w:rPr>
        <w:tab/>
      </w:r>
    </w:p>
    <w:p w:rsidR="005F69AE" w:rsidRDefault="0005769A">
      <w:pPr>
        <w:spacing w:after="120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Congenital cellular immune deficiencies</w:t>
      </w:r>
    </w:p>
    <w:p w:rsidR="005F69AE" w:rsidRDefault="0005769A">
      <w:pPr>
        <w:spacing w:after="120"/>
        <w:jc w:val="both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ab/>
        <w:t>Aplastic anaemia receiving immunosuppressive therapy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 </w:t>
      </w:r>
    </w:p>
    <w:p w:rsidR="005F69AE" w:rsidRDefault="0005769A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Patients receiving purine analogues (</w:t>
      </w:r>
      <w:r>
        <w:rPr>
          <w:rFonts w:ascii="Arial" w:eastAsia="Arial" w:hAnsi="Arial" w:cs="Arial"/>
          <w:sz w:val="22"/>
          <w:szCs w:val="22"/>
        </w:rPr>
        <w:t xml:space="preserve">cladribine, fludarabine, pentostatin, bendamustine) </w:t>
      </w:r>
    </w:p>
    <w:p w:rsidR="005F69AE" w:rsidRDefault="0005769A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Hodgkin disease</w:t>
      </w:r>
    </w:p>
    <w:p w:rsidR="005F69AE" w:rsidRDefault="0005769A">
      <w:pPr>
        <w:spacing w:after="120"/>
        <w:jc w:val="both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ab/>
        <w:t>Directed donations from first or second degree relatives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 </w:t>
      </w:r>
    </w:p>
    <w:p w:rsidR="005F69AE" w:rsidRDefault="0005769A">
      <w:pPr>
        <w:spacing w:after="120"/>
        <w:jc w:val="both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ab/>
        <w:t>HLA matched single donor platelets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 </w:t>
      </w:r>
    </w:p>
    <w:p w:rsidR="005F69AE" w:rsidRDefault="0005769A">
      <w:pPr>
        <w:spacing w:after="120"/>
        <w:jc w:val="both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5F69AE" w:rsidRDefault="0005769A">
      <w:pPr>
        <w:spacing w:after="120"/>
        <w:jc w:val="both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5F69AE" w:rsidRDefault="005F69AE">
      <w:pPr>
        <w:jc w:val="both"/>
        <w:rPr>
          <w:rFonts w:ascii="Arial" w:eastAsia="Arial" w:hAnsi="Arial" w:cs="Arial"/>
          <w:sz w:val="22"/>
          <w:szCs w:val="22"/>
        </w:rPr>
      </w:pPr>
    </w:p>
    <w:p w:rsidR="005F69AE" w:rsidRDefault="005F69AE">
      <w:pPr>
        <w:jc w:val="both"/>
        <w:rPr>
          <w:rFonts w:ascii="Arial" w:eastAsia="Arial" w:hAnsi="Arial" w:cs="Arial"/>
          <w:sz w:val="22"/>
          <w:szCs w:val="22"/>
        </w:rPr>
      </w:pPr>
    </w:p>
    <w:p w:rsidR="005F69AE" w:rsidRDefault="0005769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References</w:t>
      </w:r>
    </w:p>
    <w:p w:rsidR="005F69AE" w:rsidRDefault="005F69AE">
      <w:pPr>
        <w:jc w:val="both"/>
        <w:rPr>
          <w:rFonts w:ascii="Arial" w:eastAsia="Arial" w:hAnsi="Arial" w:cs="Arial"/>
          <w:sz w:val="22"/>
          <w:szCs w:val="22"/>
        </w:rPr>
      </w:pPr>
    </w:p>
    <w:p w:rsidR="005F69AE" w:rsidRDefault="0005769A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ANZSBT Guidelines for Prevention of Transfusion Associated GvHD, 1</w:t>
      </w:r>
      <w:r>
        <w:rPr>
          <w:rFonts w:ascii="Arial" w:eastAsia="Arial" w:hAnsi="Arial" w:cs="Arial"/>
          <w:sz w:val="22"/>
          <w:szCs w:val="22"/>
          <w:vertAlign w:val="superscript"/>
        </w:rPr>
        <w:t>st</w:t>
      </w:r>
      <w:r>
        <w:rPr>
          <w:rFonts w:ascii="Arial" w:eastAsia="Arial" w:hAnsi="Arial" w:cs="Arial"/>
          <w:sz w:val="22"/>
          <w:szCs w:val="22"/>
        </w:rPr>
        <w:t xml:space="preserve"> Edition, January 2011.</w:t>
      </w:r>
    </w:p>
    <w:p w:rsidR="005F69AE" w:rsidRDefault="0005769A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British Committee for Standards in Haematology blood transfusion task force, Guidelines on the use of irradiated blood components, 2010. British Journal of Haematology, 152, 35-51.</w:t>
      </w:r>
    </w:p>
    <w:p w:rsidR="005F69AE" w:rsidRDefault="0005769A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AABB Technical Manual 18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Edition 2008 p.155-156  </w:t>
      </w:r>
      <w:r>
        <w:rPr>
          <w:rFonts w:ascii="Arial" w:eastAsia="Arial" w:hAnsi="Arial" w:cs="Arial"/>
          <w:sz w:val="22"/>
          <w:szCs w:val="22"/>
        </w:rPr>
        <w:t>and P 688-689</w:t>
      </w:r>
    </w:p>
    <w:p w:rsidR="005F69AE" w:rsidRDefault="0005769A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Recommendations for Use of Irradiated Blood Components in Canada: a NAC nad CCNMT collaborative initiative </w:t>
      </w:r>
      <w:r>
        <w:rPr>
          <w:rStyle w:val="Hyperlink"/>
          <w:rFonts w:ascii="Arial" w:eastAsia="Arial" w:hAnsi="Arial" w:cs="Arial"/>
          <w:sz w:val="22"/>
          <w:szCs w:val="22"/>
        </w:rPr>
        <w:t>https://www.nacblood.ca/resources/guidelines/downloads/Recommendations_Irradiated_Blood_Components.pdf accessed July 31</w:t>
      </w:r>
      <w:r>
        <w:rPr>
          <w:rStyle w:val="Hyperlink"/>
          <w:rFonts w:ascii="Arial" w:eastAsia="Arial" w:hAnsi="Arial" w:cs="Arial"/>
          <w:sz w:val="22"/>
          <w:szCs w:val="22"/>
          <w:vertAlign w:val="superscript"/>
        </w:rPr>
        <w:t>st</w:t>
      </w:r>
      <w:r>
        <w:rPr>
          <w:rStyle w:val="Hyperlink"/>
          <w:rFonts w:ascii="Arial" w:eastAsia="Arial" w:hAnsi="Arial" w:cs="Arial"/>
          <w:sz w:val="22"/>
          <w:szCs w:val="22"/>
        </w:rPr>
        <w:t xml:space="preserve"> 2020</w:t>
      </w:r>
    </w:p>
    <w:p w:rsidR="005F69AE" w:rsidRDefault="005F69AE">
      <w:pPr>
        <w:jc w:val="both"/>
        <w:rPr>
          <w:rFonts w:ascii="Arial" w:eastAsia="Arial" w:hAnsi="Arial" w:cs="Arial"/>
          <w:sz w:val="22"/>
          <w:szCs w:val="22"/>
        </w:rPr>
      </w:pPr>
    </w:p>
    <w:p w:rsidR="005F69AE" w:rsidRDefault="0005769A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Kopolo</w:t>
      </w:r>
      <w:r>
        <w:rPr>
          <w:rFonts w:ascii="Arial" w:eastAsia="Arial" w:hAnsi="Arial" w:cs="Arial"/>
          <w:sz w:val="22"/>
          <w:szCs w:val="22"/>
        </w:rPr>
        <w:t>vic I, Ostro J, Tsubota H et. Al . A systematic review of transfusion-associated graft-versus-host disease. Blood 2015;126</w:t>
      </w:r>
      <w:r>
        <w:rPr>
          <w:rFonts w:ascii="Arial" w:eastAsia="Arial" w:hAnsi="Arial" w:cs="Arial"/>
          <w:sz w:val="22"/>
          <w:szCs w:val="22"/>
        </w:rPr>
        <w:sym w:font="Wingdings" w:char="F04C"/>
      </w:r>
      <w:r>
        <w:rPr>
          <w:rFonts w:ascii="Arial" w:eastAsia="Arial" w:hAnsi="Arial" w:cs="Arial"/>
          <w:sz w:val="22"/>
          <w:szCs w:val="22"/>
        </w:rPr>
        <w:t>3):406-414</w:t>
      </w:r>
    </w:p>
    <w:p w:rsidR="005F69AE" w:rsidRDefault="005F69AE">
      <w:pPr>
        <w:jc w:val="both"/>
        <w:rPr>
          <w:rFonts w:ascii="Arial" w:eastAsia="Arial" w:hAnsi="Arial" w:cs="Arial"/>
          <w:sz w:val="22"/>
          <w:szCs w:val="22"/>
        </w:rPr>
      </w:pPr>
    </w:p>
    <w:p w:rsidR="005F69AE" w:rsidRDefault="005F69AE">
      <w:pPr>
        <w:tabs>
          <w:tab w:val="left" w:pos="3960"/>
          <w:tab w:val="center" w:pos="6660"/>
          <w:tab w:val="right" w:pos="7920"/>
        </w:tabs>
        <w:jc w:val="both"/>
      </w:pPr>
    </w:p>
    <w:sectPr w:rsidR="005F69AE">
      <w:headerReference w:type="default" r:id="rId8"/>
      <w:footerReference w:type="default" r:id="rId9"/>
      <w:pgSz w:w="11907" w:h="16840"/>
      <w:pgMar w:top="1247" w:right="1247" w:bottom="1247" w:left="1247" w:header="680" w:footer="397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769A">
      <w:pPr>
        <w:spacing w:after="0"/>
      </w:pPr>
      <w:r>
        <w:separator/>
      </w:r>
    </w:p>
  </w:endnote>
  <w:endnote w:type="continuationSeparator" w:id="0">
    <w:p w:rsidR="00000000" w:rsidRDefault="000576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39"/>
      <w:gridCol w:w="3686"/>
      <w:gridCol w:w="3123"/>
    </w:tblGrid>
    <w:tr w:rsidR="005F69AE">
      <w:trPr>
        <w:trHeight w:val="135"/>
        <w:jc w:val="center"/>
      </w:trPr>
      <w:tc>
        <w:tcPr>
          <w:tcW w:w="3539" w:type="dxa"/>
          <w:shd w:val="clear" w:color="auto" w:fill="auto"/>
          <w:vAlign w:val="center"/>
        </w:tcPr>
        <w:p w:rsidR="005F69AE" w:rsidRDefault="0005769A">
          <w:pPr>
            <w:pStyle w:val="Header"/>
            <w:spacing w:after="0"/>
            <w:rPr>
              <w:rFonts w:cs="Arial"/>
            </w:rPr>
          </w:pPr>
          <w:r>
            <w:rPr>
              <w:rFonts w:cs="Arial"/>
            </w:rPr>
            <w:t>Haematology</w:t>
          </w:r>
        </w:p>
      </w:tc>
      <w:tc>
        <w:tcPr>
          <w:tcW w:w="3686" w:type="dxa"/>
          <w:shd w:val="clear" w:color="auto" w:fill="auto"/>
          <w:vAlign w:val="center"/>
        </w:tcPr>
        <w:p w:rsidR="005F69AE" w:rsidRDefault="0005769A">
          <w:pPr>
            <w:pStyle w:val="Header"/>
            <w:tabs>
              <w:tab w:val="left" w:pos="0"/>
              <w:tab w:val="right" w:pos="9356"/>
            </w:tabs>
            <w:spacing w:after="0"/>
            <w:rPr>
              <w:rFonts w:cs="Arial"/>
            </w:rPr>
          </w:pPr>
          <w:r>
            <w:rPr>
              <w:rFonts w:cs="Arial"/>
            </w:rPr>
            <w:t>Blood Product PRocedures</w:t>
          </w:r>
        </w:p>
      </w:tc>
      <w:tc>
        <w:tcPr>
          <w:tcW w:w="3123" w:type="dxa"/>
          <w:shd w:val="clear" w:color="auto" w:fill="auto"/>
          <w:vAlign w:val="center"/>
        </w:tcPr>
        <w:p w:rsidR="005F69AE" w:rsidRDefault="0005769A">
          <w:pPr>
            <w:pStyle w:val="Header"/>
            <w:tabs>
              <w:tab w:val="left" w:pos="0"/>
              <w:tab w:val="right" w:pos="9356"/>
            </w:tabs>
            <w:spacing w:after="0"/>
            <w:jc w:val="right"/>
            <w:rPr>
              <w:rFonts w:cs="Arial"/>
              <w:sz w:val="18"/>
            </w:rPr>
          </w:pPr>
          <w:r>
            <w:rPr>
              <w:rFonts w:cs="Arial"/>
            </w:rPr>
            <w:t xml:space="preserve">Page </w:t>
          </w:r>
          <w:r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 xml:space="preserve"> PAGE  \* Arabic  \* MERGEFORMAT </w:instrText>
          </w:r>
          <w:r>
            <w:rPr>
              <w:rFonts w:cs="Arial"/>
              <w:b/>
            </w:rPr>
            <w:fldChar w:fldCharType="separate"/>
          </w:r>
          <w:r>
            <w:rPr>
              <w:rFonts w:cs="Arial"/>
              <w:b/>
              <w:noProof/>
            </w:rPr>
            <w:t>1</w:t>
          </w:r>
          <w:r>
            <w:rPr>
              <w:rFonts w:cs="Arial"/>
              <w:b/>
            </w:rPr>
            <w:fldChar w:fldCharType="end"/>
          </w:r>
          <w:r>
            <w:rPr>
              <w:rFonts w:cs="Arial"/>
            </w:rPr>
            <w:t xml:space="preserve"> of </w:t>
          </w:r>
          <w:r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 xml:space="preserve"> NUMPAGES  \* Arabic  \* MERGEFORMAT </w:instrText>
          </w:r>
          <w:r>
            <w:rPr>
              <w:rFonts w:cs="Arial"/>
              <w:b/>
            </w:rPr>
            <w:fldChar w:fldCharType="separate"/>
          </w:r>
          <w:r>
            <w:rPr>
              <w:rFonts w:cs="Arial"/>
              <w:b/>
              <w:noProof/>
            </w:rPr>
            <w:t>1</w:t>
          </w:r>
          <w:r>
            <w:rPr>
              <w:rFonts w:cs="Arial"/>
              <w:b/>
            </w:rPr>
            <w:fldChar w:fldCharType="end"/>
          </w:r>
        </w:p>
      </w:tc>
    </w:tr>
    <w:tr w:rsidR="005F69AE">
      <w:trPr>
        <w:trHeight w:val="215"/>
        <w:jc w:val="center"/>
      </w:trPr>
      <w:tc>
        <w:tcPr>
          <w:tcW w:w="10348" w:type="dxa"/>
          <w:gridSpan w:val="3"/>
          <w:shd w:val="clear" w:color="auto" w:fill="D9D9D9"/>
          <w:vAlign w:val="center"/>
        </w:tcPr>
        <w:p w:rsidR="005F69AE" w:rsidRDefault="0005769A">
          <w:pPr>
            <w:pStyle w:val="Header"/>
            <w:spacing w:after="0"/>
            <w:jc w:val="center"/>
            <w:rPr>
              <w:rFonts w:cs="Arial"/>
              <w:b/>
              <w:i/>
              <w:sz w:val="18"/>
            </w:rPr>
          </w:pPr>
          <w:r>
            <w:rPr>
              <w:rFonts w:cs="Arial"/>
              <w:b/>
              <w:i/>
            </w:rPr>
            <w:t>**Printed copy may not be the current version. Please refer to Fast Track Library for the current issue.**</w:t>
          </w:r>
        </w:p>
      </w:tc>
    </w:tr>
  </w:tbl>
  <w:p w:rsidR="005F69AE" w:rsidRDefault="005F6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769A">
      <w:pPr>
        <w:spacing w:after="0"/>
      </w:pPr>
      <w:r>
        <w:separator/>
      </w:r>
    </w:p>
  </w:footnote>
  <w:footnote w:type="continuationSeparator" w:id="0">
    <w:p w:rsidR="00000000" w:rsidRDefault="000576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89"/>
      <w:gridCol w:w="1558"/>
      <w:gridCol w:w="2552"/>
      <w:gridCol w:w="1417"/>
      <w:gridCol w:w="2552"/>
    </w:tblGrid>
    <w:tr w:rsidR="005F69AE">
      <w:trPr>
        <w:cantSplit/>
        <w:trHeight w:val="227"/>
        <w:jc w:val="center"/>
      </w:trPr>
      <w:tc>
        <w:tcPr>
          <w:tcW w:w="2689" w:type="dxa"/>
          <w:vMerge w:val="restart"/>
          <w:tcBorders>
            <w:left w:val="single" w:sz="4" w:space="0" w:color="auto"/>
          </w:tcBorders>
          <w:vAlign w:val="center"/>
        </w:tcPr>
        <w:p w:rsidR="005F69AE" w:rsidRDefault="0005769A">
          <w:pPr>
            <w:pStyle w:val="Header"/>
            <w:spacing w:after="0"/>
            <w:jc w:val="center"/>
            <w:rPr>
              <w:rFonts w:cs="Arial"/>
              <w:szCs w:val="16"/>
            </w:rPr>
          </w:pPr>
          <w:r>
            <w:rPr>
              <w:b/>
              <w:color w:val="CC0000"/>
              <w:spacing w:val="-4"/>
              <w:sz w:val="40"/>
              <w:szCs w:val="44"/>
            </w:rPr>
            <w:t>Alfred</w:t>
          </w:r>
          <w:r>
            <w:rPr>
              <w:b/>
              <w:spacing w:val="-4"/>
              <w:sz w:val="40"/>
              <w:szCs w:val="44"/>
            </w:rPr>
            <w:t>H</w:t>
          </w:r>
          <w:r>
            <w:rPr>
              <w:b/>
              <w:sz w:val="40"/>
              <w:szCs w:val="44"/>
            </w:rPr>
            <w:t>ealth</w:t>
          </w:r>
        </w:p>
      </w:tc>
      <w:tc>
        <w:tcPr>
          <w:tcW w:w="8079" w:type="dxa"/>
          <w:gridSpan w:val="4"/>
          <w:tcBorders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:rsidR="005F69AE" w:rsidRDefault="0005769A">
          <w:pPr>
            <w:pStyle w:val="Header"/>
            <w:spacing w:after="0"/>
            <w:jc w:val="center"/>
            <w:rPr>
              <w:rFonts w:cs="Arial"/>
              <w:b/>
              <w:szCs w:val="16"/>
            </w:rPr>
          </w:pPr>
          <w:r>
            <w:rPr>
              <w:rFonts w:cs="Arial"/>
              <w:b/>
              <w:sz w:val="24"/>
              <w:szCs w:val="16"/>
            </w:rPr>
            <w:t>Alfred Pathology Services</w:t>
          </w:r>
        </w:p>
      </w:tc>
    </w:tr>
    <w:tr w:rsidR="005F69AE">
      <w:trPr>
        <w:cantSplit/>
        <w:trHeight w:val="272"/>
        <w:jc w:val="center"/>
      </w:trPr>
      <w:tc>
        <w:tcPr>
          <w:tcW w:w="2689" w:type="dxa"/>
          <w:vMerge/>
          <w:tcBorders>
            <w:left w:val="single" w:sz="4" w:space="0" w:color="auto"/>
          </w:tcBorders>
        </w:tcPr>
        <w:p w:rsidR="005F69AE" w:rsidRDefault="005F69AE">
          <w:pPr>
            <w:pStyle w:val="Header"/>
            <w:spacing w:after="0"/>
            <w:rPr>
              <w:rFonts w:cs="Arial"/>
              <w:szCs w:val="16"/>
            </w:rPr>
          </w:pPr>
        </w:p>
      </w:tc>
      <w:tc>
        <w:tcPr>
          <w:tcW w:w="1558" w:type="dxa"/>
          <w:tcBorders>
            <w:left w:val="single" w:sz="4" w:space="0" w:color="auto"/>
            <w:bottom w:val="nil"/>
          </w:tcBorders>
          <w:vAlign w:val="center"/>
        </w:tcPr>
        <w:p w:rsidR="005F69AE" w:rsidRDefault="0005769A">
          <w:pPr>
            <w:pStyle w:val="Footer"/>
            <w:spacing w:after="0"/>
            <w:jc w:val="right"/>
            <w:rPr>
              <w:rFonts w:ascii="Arial" w:eastAsia="Arial" w:hAnsi="Arial" w:cs="Arial"/>
              <w:b/>
              <w:szCs w:val="16"/>
            </w:rPr>
          </w:pPr>
          <w:r>
            <w:rPr>
              <w:rFonts w:ascii="Arial" w:eastAsia="Arial" w:hAnsi="Arial" w:cs="Arial"/>
              <w:b/>
              <w:szCs w:val="16"/>
            </w:rPr>
            <w:t xml:space="preserve">Document No: </w:t>
          </w:r>
        </w:p>
      </w:tc>
      <w:tc>
        <w:tcPr>
          <w:tcW w:w="2552" w:type="dxa"/>
          <w:vAlign w:val="center"/>
        </w:tcPr>
        <w:p w:rsidR="005F69AE" w:rsidRDefault="0005769A">
          <w:pPr>
            <w:pStyle w:val="Header"/>
            <w:spacing w:after="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CD_HA_0529</w:t>
          </w:r>
        </w:p>
      </w:tc>
      <w:tc>
        <w:tcPr>
          <w:tcW w:w="1417" w:type="dxa"/>
          <w:tcBorders>
            <w:right w:val="single" w:sz="4" w:space="0" w:color="auto"/>
          </w:tcBorders>
          <w:vAlign w:val="center"/>
        </w:tcPr>
        <w:p w:rsidR="005F69AE" w:rsidRDefault="0005769A">
          <w:pPr>
            <w:pStyle w:val="Footer"/>
            <w:spacing w:after="0"/>
            <w:jc w:val="right"/>
            <w:rPr>
              <w:rFonts w:ascii="Arial" w:eastAsia="Arial" w:hAnsi="Arial" w:cs="Arial"/>
              <w:b/>
              <w:szCs w:val="16"/>
            </w:rPr>
          </w:pPr>
          <w:r>
            <w:rPr>
              <w:rFonts w:ascii="Arial" w:eastAsia="Arial" w:hAnsi="Arial" w:cs="Arial"/>
              <w:b/>
              <w:szCs w:val="16"/>
            </w:rPr>
            <w:t>Authorised By:</w:t>
          </w:r>
        </w:p>
      </w:tc>
      <w:tc>
        <w:tcPr>
          <w:tcW w:w="2552" w:type="dxa"/>
          <w:tcBorders>
            <w:right w:val="single" w:sz="4" w:space="0" w:color="auto"/>
          </w:tcBorders>
          <w:vAlign w:val="center"/>
        </w:tcPr>
        <w:p w:rsidR="005F69AE" w:rsidRDefault="0005769A">
          <w:pPr>
            <w:pStyle w:val="Header"/>
            <w:spacing w:after="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Andrew Webb</w:t>
          </w:r>
        </w:p>
      </w:tc>
    </w:tr>
    <w:tr w:rsidR="005F69AE">
      <w:trPr>
        <w:cantSplit/>
        <w:trHeight w:val="120"/>
        <w:jc w:val="center"/>
      </w:trPr>
      <w:tc>
        <w:tcPr>
          <w:tcW w:w="2689" w:type="dxa"/>
          <w:vMerge/>
          <w:tcBorders>
            <w:left w:val="single" w:sz="4" w:space="0" w:color="auto"/>
            <w:bottom w:val="nil"/>
          </w:tcBorders>
        </w:tcPr>
        <w:p w:rsidR="005F69AE" w:rsidRDefault="005F69AE">
          <w:pPr>
            <w:pStyle w:val="Header"/>
            <w:spacing w:after="0"/>
            <w:rPr>
              <w:rFonts w:cs="Arial"/>
              <w:szCs w:val="16"/>
            </w:rPr>
          </w:pPr>
        </w:p>
      </w:tc>
      <w:tc>
        <w:tcPr>
          <w:tcW w:w="1558" w:type="dxa"/>
          <w:tcBorders>
            <w:left w:val="single" w:sz="4" w:space="0" w:color="auto"/>
            <w:bottom w:val="nil"/>
          </w:tcBorders>
          <w:vAlign w:val="center"/>
        </w:tcPr>
        <w:p w:rsidR="005F69AE" w:rsidRDefault="0005769A">
          <w:pPr>
            <w:pStyle w:val="Header"/>
            <w:spacing w:after="0"/>
            <w:jc w:val="right"/>
            <w:rPr>
              <w:rFonts w:cs="Arial"/>
              <w:szCs w:val="16"/>
            </w:rPr>
          </w:pPr>
          <w:r>
            <w:rPr>
              <w:rFonts w:cs="Arial"/>
              <w:b/>
              <w:szCs w:val="16"/>
            </w:rPr>
            <w:t>Version No:</w:t>
          </w:r>
        </w:p>
      </w:tc>
      <w:tc>
        <w:tcPr>
          <w:tcW w:w="2552" w:type="dxa"/>
          <w:tcBorders>
            <w:bottom w:val="nil"/>
          </w:tcBorders>
          <w:vAlign w:val="center"/>
        </w:tcPr>
        <w:p w:rsidR="005F69AE" w:rsidRDefault="0005769A">
          <w:pPr>
            <w:pStyle w:val="Header"/>
            <w:spacing w:after="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1.6</w:t>
          </w:r>
        </w:p>
      </w:tc>
      <w:tc>
        <w:tcPr>
          <w:tcW w:w="1417" w:type="dxa"/>
          <w:tcBorders>
            <w:bottom w:val="nil"/>
            <w:right w:val="single" w:sz="4" w:space="0" w:color="auto"/>
          </w:tcBorders>
          <w:vAlign w:val="center"/>
        </w:tcPr>
        <w:p w:rsidR="005F69AE" w:rsidRDefault="0005769A">
          <w:pPr>
            <w:pStyle w:val="Footer"/>
            <w:spacing w:after="0"/>
            <w:jc w:val="right"/>
            <w:rPr>
              <w:rFonts w:ascii="Arial" w:eastAsia="Arial" w:hAnsi="Arial" w:cs="Arial"/>
              <w:b/>
              <w:szCs w:val="16"/>
            </w:rPr>
          </w:pPr>
          <w:r>
            <w:rPr>
              <w:rFonts w:ascii="Arial" w:eastAsia="Arial" w:hAnsi="Arial" w:cs="Arial"/>
              <w:b/>
              <w:szCs w:val="16"/>
            </w:rPr>
            <w:t>Issue Date:</w:t>
          </w:r>
        </w:p>
      </w:tc>
      <w:tc>
        <w:tcPr>
          <w:tcW w:w="2552" w:type="dxa"/>
          <w:tcBorders>
            <w:bottom w:val="nil"/>
            <w:right w:val="single" w:sz="4" w:space="0" w:color="auto"/>
          </w:tcBorders>
          <w:vAlign w:val="center"/>
        </w:tcPr>
        <w:p w:rsidR="005F69AE" w:rsidRDefault="0005769A">
          <w:pPr>
            <w:pStyle w:val="Header"/>
            <w:spacing w:after="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20/08/2020</w:t>
          </w:r>
        </w:p>
      </w:tc>
    </w:tr>
    <w:tr w:rsidR="005F69AE">
      <w:trPr>
        <w:cantSplit/>
        <w:jc w:val="center"/>
      </w:trPr>
      <w:tc>
        <w:tcPr>
          <w:tcW w:w="10768" w:type="dxa"/>
          <w:gridSpan w:val="5"/>
          <w:tcBorders>
            <w:left w:val="nil"/>
            <w:bottom w:val="single" w:sz="12" w:space="0" w:color="auto"/>
            <w:right w:val="nil"/>
          </w:tcBorders>
        </w:tcPr>
        <w:p w:rsidR="005F69AE" w:rsidRDefault="0005769A">
          <w:pPr>
            <w:pStyle w:val="RunningTitle"/>
            <w:tabs>
              <w:tab w:val="right" w:pos="9350"/>
            </w:tabs>
            <w:spacing w:after="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Cs w:val="16"/>
            </w:rPr>
            <w:t>Indications for Irradiation of Blood products</w:t>
          </w:r>
        </w:p>
      </w:tc>
    </w:tr>
  </w:tbl>
  <w:p w:rsidR="005F69AE" w:rsidRDefault="005F6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CD6"/>
    <w:multiLevelType w:val="multilevel"/>
    <w:tmpl w:val="8A741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87EB4"/>
    <w:multiLevelType w:val="multilevel"/>
    <w:tmpl w:val="DA06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27B2A"/>
    <w:multiLevelType w:val="multilevel"/>
    <w:tmpl w:val="99827A30"/>
    <w:lvl w:ilvl="0">
      <w:start w:val="5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378C9"/>
    <w:multiLevelType w:val="multilevel"/>
    <w:tmpl w:val="0CAEE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59677E"/>
    <w:multiLevelType w:val="multilevel"/>
    <w:tmpl w:val="75801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D4723F"/>
    <w:multiLevelType w:val="multilevel"/>
    <w:tmpl w:val="B6125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776F2"/>
    <w:multiLevelType w:val="multilevel"/>
    <w:tmpl w:val="2B888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%2.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7FB7EC7"/>
    <w:multiLevelType w:val="multilevel"/>
    <w:tmpl w:val="CFD24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3B2395"/>
    <w:multiLevelType w:val="multilevel"/>
    <w:tmpl w:val="FEB4F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7C5BFF"/>
    <w:multiLevelType w:val="multilevel"/>
    <w:tmpl w:val="8CC61E4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3E0C09CF"/>
    <w:multiLevelType w:val="multilevel"/>
    <w:tmpl w:val="2F621BA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A27C8C"/>
    <w:multiLevelType w:val="multilevel"/>
    <w:tmpl w:val="29585AFC"/>
    <w:lvl w:ilvl="0">
      <w:start w:val="1"/>
      <w:numFmt w:val="bullet"/>
      <w:pStyle w:val="SubH3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24509D"/>
    <w:multiLevelType w:val="multilevel"/>
    <w:tmpl w:val="01ECF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4414B5"/>
    <w:multiLevelType w:val="multilevel"/>
    <w:tmpl w:val="8842B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6411E5"/>
    <w:multiLevelType w:val="multilevel"/>
    <w:tmpl w:val="595EC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F8580E"/>
    <w:multiLevelType w:val="multilevel"/>
    <w:tmpl w:val="3B8E10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5A71CB7"/>
    <w:multiLevelType w:val="multilevel"/>
    <w:tmpl w:val="ACF27074"/>
    <w:lvl w:ilvl="0">
      <w:start w:val="1"/>
      <w:numFmt w:val="decimal"/>
      <w:lvlText w:val="%1)"/>
      <w:lvlJc w:val="left"/>
      <w:pPr>
        <w:tabs>
          <w:tab w:val="num" w:pos="537"/>
        </w:tabs>
        <w:ind w:left="537" w:hanging="48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5D1141"/>
    <w:multiLevelType w:val="multilevel"/>
    <w:tmpl w:val="7D525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28370A"/>
    <w:multiLevelType w:val="multilevel"/>
    <w:tmpl w:val="5D04BD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B94BAA"/>
    <w:multiLevelType w:val="multilevel"/>
    <w:tmpl w:val="8BC0B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AE"/>
    <w:rsid w:val="0005769A"/>
    <w:rsid w:val="005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BB685BBA-1267-4D13-BF53-0148B94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</w:pPr>
  </w:style>
  <w:style w:type="paragraph" w:styleId="Heading1">
    <w:name w:val="heading 1"/>
    <w:basedOn w:val="Normal"/>
    <w:next w:val="Normal"/>
    <w:qFormat/>
    <w:pPr>
      <w:keepNext/>
      <w:keepLines/>
      <w:suppressAutoHyphens/>
      <w:spacing w:before="120"/>
      <w:outlineLvl w:val="0"/>
    </w:pPr>
    <w:rPr>
      <w:rFonts w:ascii="Arial" w:eastAsia="Arial" w:hAnsi="Arial"/>
      <w:b/>
      <w:sz w:val="28"/>
    </w:rPr>
  </w:style>
  <w:style w:type="paragraph" w:styleId="Heading2">
    <w:name w:val="heading 2"/>
    <w:basedOn w:val="Normal"/>
    <w:next w:val="SubH2"/>
    <w:qFormat/>
    <w:pPr>
      <w:keepNext/>
      <w:keepLines/>
      <w:suppressAutoHyphens/>
      <w:spacing w:before="120"/>
      <w:ind w:left="426"/>
      <w:outlineLvl w:val="1"/>
    </w:pPr>
    <w:rPr>
      <w:rFonts w:ascii="Arial" w:eastAsia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keepLines/>
      <w:suppressAutoHyphens/>
      <w:spacing w:before="120"/>
      <w:outlineLvl w:val="2"/>
    </w:pPr>
    <w:rPr>
      <w:rFonts w:ascii="Arial" w:eastAsia="Arial" w:hAnsi="Arial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6"/>
      </w:numPr>
      <w:spacing w:before="240"/>
      <w:outlineLvl w:val="3"/>
    </w:pPr>
    <w:rPr>
      <w:rFonts w:ascii="Arial" w:eastAsia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6"/>
      </w:numPr>
      <w:spacing w:before="24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6"/>
      </w:num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6"/>
      </w:numPr>
      <w:spacing w:before="240"/>
      <w:outlineLvl w:val="6"/>
    </w:pPr>
    <w:rPr>
      <w:rFonts w:ascii="Arial" w:eastAsia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6"/>
      </w:numPr>
      <w:spacing w:before="240"/>
      <w:outlineLvl w:val="7"/>
    </w:pPr>
    <w:rPr>
      <w:rFonts w:ascii="Arial" w:eastAsia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6"/>
      </w:numPr>
      <w:spacing w:before="240"/>
      <w:outlineLvl w:val="8"/>
    </w:pPr>
    <w:rPr>
      <w:rFonts w:ascii="Arial" w:eastAsia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SubH1">
    <w:name w:val="Sub_H1"/>
    <w:basedOn w:val="Normal"/>
    <w:rPr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eastAsia="Arial" w:hAnsi="Arial"/>
      <w:sz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60"/>
    </w:pPr>
    <w:rPr>
      <w:sz w:val="16"/>
    </w:rPr>
  </w:style>
  <w:style w:type="paragraph" w:customStyle="1" w:styleId="SubH2Bullet">
    <w:name w:val="Sub_H2_Bullet"/>
    <w:basedOn w:val="Normal"/>
    <w:pPr>
      <w:tabs>
        <w:tab w:val="num" w:pos="709"/>
      </w:tabs>
      <w:ind w:left="709" w:hanging="283"/>
    </w:pPr>
    <w:rPr>
      <w:sz w:val="22"/>
    </w:rPr>
  </w:style>
  <w:style w:type="paragraph" w:customStyle="1" w:styleId="DocHistCont">
    <w:name w:val="Doc_Hist_Cont"/>
    <w:basedOn w:val="Normal"/>
    <w:pPr>
      <w:keepNext/>
      <w:keepLines/>
      <w:suppressLineNumbers/>
      <w:suppressAutoHyphens/>
      <w:spacing w:before="40" w:after="40"/>
    </w:pPr>
    <w:rPr>
      <w:sz w:val="16"/>
    </w:rPr>
  </w:style>
  <w:style w:type="paragraph" w:customStyle="1" w:styleId="SubH2">
    <w:name w:val="Sub_H2"/>
    <w:basedOn w:val="Normal"/>
    <w:pPr>
      <w:ind w:left="426"/>
    </w:pPr>
    <w:rPr>
      <w:sz w:val="22"/>
    </w:rPr>
  </w:style>
  <w:style w:type="paragraph" w:styleId="BodyText">
    <w:name w:val="Body Text"/>
    <w:basedOn w:val="Normal"/>
    <w:pPr>
      <w:spacing w:after="0"/>
      <w:jc w:val="both"/>
    </w:pPr>
    <w:rPr>
      <w:rFonts w:ascii="Arial" w:eastAsia="Arial" w:hAnsi="Arial"/>
      <w:sz w:val="22"/>
    </w:rPr>
  </w:style>
  <w:style w:type="paragraph" w:customStyle="1" w:styleId="SubH1Bullet">
    <w:name w:val="Sub_H1_Bullet"/>
    <w:basedOn w:val="SubH1"/>
    <w:pPr>
      <w:tabs>
        <w:tab w:val="num" w:pos="284"/>
      </w:tabs>
      <w:ind w:left="284" w:hanging="284"/>
    </w:pPr>
  </w:style>
  <w:style w:type="paragraph" w:customStyle="1" w:styleId="SubH3">
    <w:name w:val="Sub_H3"/>
    <w:basedOn w:val="Normal"/>
    <w:pPr>
      <w:ind w:left="851"/>
    </w:pPr>
    <w:rPr>
      <w:sz w:val="22"/>
    </w:rPr>
  </w:style>
  <w:style w:type="paragraph" w:customStyle="1" w:styleId="SubH3Bullet">
    <w:name w:val="Sub_H3_Bullet"/>
    <w:basedOn w:val="SubH1Bullet"/>
    <w:pPr>
      <w:numPr>
        <w:numId w:val="12"/>
      </w:numPr>
      <w:tabs>
        <w:tab w:val="clear" w:pos="360"/>
        <w:tab w:val="num" w:pos="1134"/>
      </w:tabs>
      <w:ind w:left="1134" w:hanging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RunningTitle">
    <w:name w:val="Running Title"/>
    <w:basedOn w:val="Normal"/>
    <w:pPr>
      <w:keepLines/>
      <w:suppressAutoHyphens/>
      <w:spacing w:before="120" w:after="120"/>
      <w:jc w:val="center"/>
    </w:pPr>
    <w:rPr>
      <w:rFonts w:ascii="Arial" w:eastAsia="Arial" w:hAnsi="Arial"/>
      <w:b/>
      <w:smallCaps/>
      <w:sz w:val="28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Pr>
      <w:rFonts w:ascii="Arial" w:eastAsia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HSHAREDAPP02/Fasttrack/Portal/CD_HA_051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AA_Quality\CD_Field9_Tp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CD_Field9_Tpl</Template>
  <TotalTime>1</TotalTime>
  <Pages>2</Pages>
  <Words>357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CD_Field_Template</vt:lpstr>
    </vt:vector>
  </TitlesOfParts>
  <Company>The Alfred Hospital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CD_Field_Template</dc:title>
  <dc:subject/>
  <dc:creator>Robert Leonard</dc:creator>
  <cp:keywords/>
  <cp:lastModifiedBy>Veljanovski, Teodora</cp:lastModifiedBy>
  <cp:revision>2</cp:revision>
  <cp:lastPrinted>2015-07-02T23:46:00Z</cp:lastPrinted>
  <dcterms:created xsi:type="dcterms:W3CDTF">2020-08-25T04:51:00Z</dcterms:created>
  <dcterms:modified xsi:type="dcterms:W3CDTF">2020-08-25T04:51:00Z</dcterms:modified>
</cp:coreProperties>
</file>