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F6" w:rsidRPr="00D21EC4" w:rsidRDefault="00304CF6" w:rsidP="00304CF6">
      <w:pPr>
        <w:shd w:val="clear" w:color="auto" w:fill="FFFFFF"/>
        <w:spacing w:after="0" w:line="240" w:lineRule="auto"/>
        <w:rPr>
          <w:rFonts w:ascii="Arial" w:eastAsia="Times New Roman" w:hAnsi="Arial" w:cs="Arial"/>
          <w:b/>
          <w:sz w:val="25"/>
          <w:szCs w:val="25"/>
          <w:lang w:eastAsia="en-AU"/>
        </w:rPr>
      </w:pPr>
      <w:r w:rsidRPr="00D63DC9">
        <w:rPr>
          <w:rFonts w:ascii="Arial" w:eastAsia="Times New Roman" w:hAnsi="Arial" w:cs="Arial"/>
          <w:b/>
          <w:sz w:val="25"/>
          <w:szCs w:val="25"/>
          <w:lang w:eastAsia="en-AU"/>
        </w:rPr>
        <w:t>CASE STUDY: HA-MO-2</w:t>
      </w:r>
      <w:r>
        <w:rPr>
          <w:rFonts w:ascii="Arial" w:eastAsia="Times New Roman" w:hAnsi="Arial" w:cs="Arial"/>
          <w:b/>
          <w:sz w:val="25"/>
          <w:szCs w:val="25"/>
          <w:lang w:eastAsia="en-AU"/>
        </w:rPr>
        <w:t>1</w:t>
      </w:r>
      <w:r w:rsidRPr="00D63DC9">
        <w:rPr>
          <w:rFonts w:ascii="Arial" w:eastAsia="Times New Roman" w:hAnsi="Arial" w:cs="Arial"/>
          <w:b/>
          <w:sz w:val="25"/>
          <w:szCs w:val="25"/>
          <w:lang w:eastAsia="en-AU"/>
        </w:rPr>
        <w:t>-</w:t>
      </w:r>
      <w:r>
        <w:rPr>
          <w:rFonts w:ascii="Arial" w:eastAsia="Times New Roman" w:hAnsi="Arial" w:cs="Arial"/>
          <w:b/>
          <w:sz w:val="25"/>
          <w:szCs w:val="25"/>
          <w:lang w:eastAsia="en-AU"/>
        </w:rPr>
        <w:t>01</w:t>
      </w:r>
    </w:p>
    <w:p w:rsidR="00304CF6" w:rsidRDefault="00304CF6">
      <w:pPr>
        <w:rPr>
          <w:noProof/>
        </w:rPr>
      </w:pPr>
    </w:p>
    <w:p w:rsidR="00304CF6" w:rsidRPr="00257452" w:rsidRDefault="00304CF6" w:rsidP="00257452">
      <w:pPr>
        <w:rPr>
          <w:rFonts w:ascii="Arial" w:hAnsi="Arial" w:cs="Arial"/>
          <w:b/>
          <w:sz w:val="26"/>
          <w:szCs w:val="26"/>
        </w:rPr>
      </w:pPr>
      <w:r w:rsidRPr="00304CF6">
        <w:rPr>
          <w:rFonts w:ascii="Arial" w:hAnsi="Arial" w:cs="Arial"/>
          <w:b/>
          <w:sz w:val="26"/>
          <w:szCs w:val="26"/>
        </w:rPr>
        <w:t>T-cell/NK cell Large Granular Lymphocytic Leukemia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4"/>
      </w:tblGrid>
      <w:tr w:rsidR="00304CF6">
        <w:tblPrEx>
          <w:tblCellMar>
            <w:top w:w="0" w:type="dxa"/>
            <w:bottom w:w="0" w:type="dxa"/>
          </w:tblCellMar>
        </w:tblPrEx>
        <w:trPr>
          <w:trHeight w:val="1003"/>
        </w:trPr>
        <w:tc>
          <w:tcPr>
            <w:tcW w:w="2944" w:type="dxa"/>
          </w:tcPr>
          <w:p w:rsidR="00304CF6" w:rsidRDefault="00304CF6">
            <w:pPr>
              <w:pStyle w:val="Default"/>
              <w:rPr>
                <w:sz w:val="21"/>
                <w:szCs w:val="21"/>
              </w:rPr>
            </w:pPr>
            <w:r>
              <w:rPr>
                <w:sz w:val="21"/>
                <w:szCs w:val="21"/>
              </w:rPr>
              <w:t>70</w:t>
            </w:r>
            <w:r>
              <w:rPr>
                <w:sz w:val="21"/>
                <w:szCs w:val="21"/>
              </w:rPr>
              <w:t>yo</w:t>
            </w:r>
            <w:r>
              <w:rPr>
                <w:sz w:val="21"/>
                <w:szCs w:val="21"/>
              </w:rPr>
              <w:t xml:space="preserve"> male with skin</w:t>
            </w:r>
            <w:r>
              <w:rPr>
                <w:sz w:val="21"/>
                <w:szCs w:val="21"/>
              </w:rPr>
              <w:t xml:space="preserve"> rash</w:t>
            </w:r>
          </w:p>
          <w:p w:rsidR="00304CF6" w:rsidRDefault="00304CF6">
            <w:pPr>
              <w:pStyle w:val="Default"/>
              <w:rPr>
                <w:sz w:val="21"/>
                <w:szCs w:val="21"/>
              </w:rPr>
            </w:pPr>
          </w:p>
          <w:p w:rsidR="00304CF6" w:rsidRDefault="00304CF6">
            <w:pPr>
              <w:pStyle w:val="Default"/>
              <w:rPr>
                <w:sz w:val="21"/>
                <w:szCs w:val="21"/>
              </w:rPr>
            </w:pPr>
            <w:r>
              <w:rPr>
                <w:sz w:val="21"/>
                <w:szCs w:val="21"/>
              </w:rPr>
              <w:t>WCC: 7.4 x 10</w:t>
            </w:r>
            <w:r>
              <w:rPr>
                <w:sz w:val="14"/>
                <w:szCs w:val="14"/>
              </w:rPr>
              <w:t>9</w:t>
            </w:r>
            <w:r>
              <w:rPr>
                <w:sz w:val="21"/>
                <w:szCs w:val="21"/>
              </w:rPr>
              <w:t xml:space="preserve">/L </w:t>
            </w:r>
          </w:p>
          <w:p w:rsidR="00304CF6" w:rsidRDefault="00304CF6">
            <w:pPr>
              <w:pStyle w:val="Default"/>
              <w:rPr>
                <w:sz w:val="21"/>
                <w:szCs w:val="21"/>
              </w:rPr>
            </w:pPr>
            <w:r>
              <w:rPr>
                <w:sz w:val="21"/>
                <w:szCs w:val="21"/>
              </w:rPr>
              <w:t>RCC: 5.05 x 10</w:t>
            </w:r>
            <w:r>
              <w:rPr>
                <w:sz w:val="14"/>
                <w:szCs w:val="14"/>
              </w:rPr>
              <w:t>12</w:t>
            </w:r>
            <w:r>
              <w:rPr>
                <w:sz w:val="21"/>
                <w:szCs w:val="21"/>
              </w:rPr>
              <w:t xml:space="preserve">/L </w:t>
            </w:r>
          </w:p>
          <w:p w:rsidR="00304CF6" w:rsidRDefault="00304CF6">
            <w:pPr>
              <w:pStyle w:val="Default"/>
              <w:rPr>
                <w:sz w:val="21"/>
                <w:szCs w:val="21"/>
              </w:rPr>
            </w:pPr>
            <w:r>
              <w:rPr>
                <w:sz w:val="21"/>
                <w:szCs w:val="21"/>
              </w:rPr>
              <w:t xml:space="preserve">Hb: 165 g/L </w:t>
            </w:r>
          </w:p>
          <w:p w:rsidR="00304CF6" w:rsidRDefault="00304CF6">
            <w:pPr>
              <w:pStyle w:val="Default"/>
              <w:rPr>
                <w:sz w:val="21"/>
                <w:szCs w:val="21"/>
              </w:rPr>
            </w:pPr>
            <w:r>
              <w:rPr>
                <w:sz w:val="21"/>
                <w:szCs w:val="21"/>
              </w:rPr>
              <w:t xml:space="preserve">MCV: 92.1 </w:t>
            </w:r>
            <w:proofErr w:type="spellStart"/>
            <w:r>
              <w:rPr>
                <w:sz w:val="21"/>
                <w:szCs w:val="21"/>
              </w:rPr>
              <w:t>fL</w:t>
            </w:r>
            <w:proofErr w:type="spellEnd"/>
            <w:r>
              <w:rPr>
                <w:sz w:val="21"/>
                <w:szCs w:val="21"/>
              </w:rPr>
              <w:t xml:space="preserve"> </w:t>
            </w:r>
          </w:p>
          <w:p w:rsidR="00304CF6" w:rsidRDefault="00304CF6">
            <w:pPr>
              <w:pStyle w:val="Default"/>
              <w:rPr>
                <w:sz w:val="21"/>
                <w:szCs w:val="21"/>
              </w:rPr>
            </w:pPr>
            <w:r>
              <w:rPr>
                <w:sz w:val="21"/>
                <w:szCs w:val="21"/>
              </w:rPr>
              <w:t xml:space="preserve">MCH: 32.7 </w:t>
            </w:r>
            <w:proofErr w:type="spellStart"/>
            <w:r>
              <w:rPr>
                <w:sz w:val="21"/>
                <w:szCs w:val="21"/>
              </w:rPr>
              <w:t>pg</w:t>
            </w:r>
            <w:proofErr w:type="spellEnd"/>
            <w:r>
              <w:rPr>
                <w:sz w:val="21"/>
                <w:szCs w:val="21"/>
              </w:rPr>
              <w:t xml:space="preserve"> </w:t>
            </w:r>
          </w:p>
          <w:p w:rsidR="00304CF6" w:rsidRDefault="00304CF6">
            <w:pPr>
              <w:pStyle w:val="Default"/>
              <w:rPr>
                <w:sz w:val="21"/>
                <w:szCs w:val="21"/>
              </w:rPr>
            </w:pPr>
            <w:r>
              <w:rPr>
                <w:sz w:val="21"/>
                <w:szCs w:val="21"/>
              </w:rPr>
              <w:t xml:space="preserve">MCHC: 355 g/L </w:t>
            </w:r>
          </w:p>
          <w:p w:rsidR="00304CF6" w:rsidRDefault="00304CF6">
            <w:pPr>
              <w:pStyle w:val="Default"/>
              <w:rPr>
                <w:sz w:val="21"/>
                <w:szCs w:val="21"/>
              </w:rPr>
            </w:pPr>
            <w:proofErr w:type="spellStart"/>
            <w:r>
              <w:rPr>
                <w:sz w:val="21"/>
                <w:szCs w:val="21"/>
              </w:rPr>
              <w:t>Plt</w:t>
            </w:r>
            <w:proofErr w:type="spellEnd"/>
            <w:r>
              <w:rPr>
                <w:sz w:val="21"/>
                <w:szCs w:val="21"/>
              </w:rPr>
              <w:t>: 194 x 10</w:t>
            </w:r>
            <w:r>
              <w:rPr>
                <w:sz w:val="14"/>
                <w:szCs w:val="14"/>
              </w:rPr>
              <w:t>9</w:t>
            </w:r>
            <w:r>
              <w:rPr>
                <w:sz w:val="21"/>
                <w:szCs w:val="21"/>
              </w:rPr>
              <w:t xml:space="preserve">/L </w:t>
            </w:r>
          </w:p>
          <w:p w:rsidR="00257452" w:rsidRDefault="00257452">
            <w:pPr>
              <w:pStyle w:val="Default"/>
              <w:rPr>
                <w:sz w:val="21"/>
                <w:szCs w:val="21"/>
              </w:rPr>
            </w:pPr>
          </w:p>
        </w:tc>
      </w:tr>
    </w:tbl>
    <w:p w:rsidR="00304CF6" w:rsidRPr="00E13D2A" w:rsidRDefault="00304CF6">
      <w:pPr>
        <w:rPr>
          <w:rFonts w:ascii="Arial" w:hAnsi="Arial" w:cs="Arial"/>
          <w:sz w:val="24"/>
          <w:szCs w:val="25"/>
        </w:rPr>
      </w:pPr>
      <w:r w:rsidRPr="00E13D2A">
        <w:rPr>
          <w:rFonts w:ascii="Arial" w:hAnsi="Arial" w:cs="Arial"/>
          <w:sz w:val="24"/>
          <w:szCs w:val="25"/>
        </w:rPr>
        <w:t xml:space="preserve">The main feature of this blood film was the presence of abnormal lymphocytes, a large proportion of which had moderate to abundant pale cytoplasm and fine to coarse azurophilic granules. These abnormal lymphocytes are described as "large granular lymphocytes" (LGL). A lymphocytosis was present. </w:t>
      </w:r>
    </w:p>
    <w:p w:rsidR="00304CF6" w:rsidRDefault="00304CF6">
      <w:pPr>
        <w:rPr>
          <w:rFonts w:ascii="Arial" w:hAnsi="Arial" w:cs="Arial"/>
          <w:b/>
          <w:sz w:val="25"/>
          <w:szCs w:val="25"/>
        </w:rPr>
      </w:pPr>
      <w:r>
        <w:rPr>
          <w:rFonts w:ascii="Arial" w:hAnsi="Arial" w:cs="Arial"/>
          <w:noProof/>
          <w:color w:val="000000"/>
          <w:sz w:val="24"/>
          <w:szCs w:val="24"/>
          <w:lang w:eastAsia="en-AU"/>
        </w:rPr>
        <w:drawing>
          <wp:inline distT="0" distB="0" distL="0" distR="0" wp14:anchorId="4A61CD84" wp14:editId="25162762">
            <wp:extent cx="2904866" cy="24193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16148" cy="2428747"/>
                    </a:xfrm>
                    <a:prstGeom prst="rect">
                      <a:avLst/>
                    </a:prstGeom>
                    <a:noFill/>
                    <a:ln>
                      <a:noFill/>
                    </a:ln>
                  </pic:spPr>
                </pic:pic>
              </a:graphicData>
            </a:graphic>
          </wp:inline>
        </w:drawing>
      </w:r>
    </w:p>
    <w:p w:rsidR="00304CF6" w:rsidRPr="00E13D2A" w:rsidRDefault="00304CF6">
      <w:pPr>
        <w:rPr>
          <w:rFonts w:ascii="Arial" w:hAnsi="Arial" w:cs="Arial"/>
          <w:color w:val="000000"/>
          <w:sz w:val="24"/>
          <w:szCs w:val="24"/>
          <w:lang w:val="en-US"/>
        </w:rPr>
      </w:pPr>
      <w:r>
        <w:rPr>
          <w:rFonts w:ascii="Arial" w:hAnsi="Arial" w:cs="Arial"/>
          <w:color w:val="000000"/>
          <w:sz w:val="24"/>
          <w:szCs w:val="24"/>
          <w:lang w:val="en-US"/>
        </w:rPr>
        <w:t xml:space="preserve">LGL are larger cells with abundant cytoplasm and prominent granules; they can be seen in healthy individuals as high as 10-15% of lymphocytes but they are usually less frequent. </w:t>
      </w:r>
    </w:p>
    <w:p w:rsidR="00304CF6" w:rsidRPr="00E13D2A" w:rsidRDefault="00304CF6">
      <w:pPr>
        <w:rPr>
          <w:rFonts w:ascii="Arial" w:hAnsi="Arial" w:cs="Arial"/>
          <w:sz w:val="24"/>
          <w:szCs w:val="25"/>
        </w:rPr>
      </w:pPr>
      <w:r w:rsidRPr="00E13D2A">
        <w:rPr>
          <w:rFonts w:ascii="Arial" w:hAnsi="Arial" w:cs="Arial"/>
          <w:sz w:val="24"/>
          <w:szCs w:val="25"/>
        </w:rPr>
        <w:t>The red cells were generally unremarkable, and a few giant platelets were noted.</w:t>
      </w:r>
    </w:p>
    <w:p w:rsidR="00304CF6" w:rsidRPr="00E13D2A" w:rsidRDefault="00304CF6">
      <w:pPr>
        <w:rPr>
          <w:rFonts w:ascii="Arial" w:hAnsi="Arial" w:cs="Arial"/>
          <w:sz w:val="24"/>
          <w:szCs w:val="25"/>
        </w:rPr>
      </w:pPr>
      <w:r w:rsidRPr="00E13D2A">
        <w:rPr>
          <w:rFonts w:ascii="Arial" w:hAnsi="Arial" w:cs="Arial"/>
          <w:sz w:val="24"/>
          <w:szCs w:val="25"/>
        </w:rPr>
        <w:t xml:space="preserve">Considering the clinical information provided and the morphological features described, the most likely diagnosis was T-cell/NK cell large granular lymphocytic leukemia (T-LGLL). </w:t>
      </w:r>
    </w:p>
    <w:p w:rsidR="00304CF6" w:rsidRDefault="00304CF6">
      <w:pPr>
        <w:rPr>
          <w:rFonts w:ascii="Arial" w:hAnsi="Arial" w:cs="Arial"/>
          <w:sz w:val="25"/>
          <w:szCs w:val="25"/>
        </w:rPr>
      </w:pPr>
      <w:r w:rsidRPr="00E13D2A">
        <w:rPr>
          <w:rFonts w:ascii="Arial" w:hAnsi="Arial" w:cs="Arial"/>
          <w:sz w:val="24"/>
          <w:szCs w:val="25"/>
        </w:rPr>
        <w:t>This case had been presented as a Blood Film Differential exercise in January 2020 (HA-BF-20-01)</w:t>
      </w:r>
      <w:r w:rsidR="00E13D2A" w:rsidRPr="00E13D2A">
        <w:rPr>
          <w:rFonts w:ascii="Arial" w:hAnsi="Arial" w:cs="Arial"/>
          <w:sz w:val="24"/>
          <w:szCs w:val="25"/>
        </w:rPr>
        <w:t xml:space="preserve">. </w:t>
      </w:r>
      <w:r w:rsidRPr="00E13D2A">
        <w:rPr>
          <w:rFonts w:ascii="Arial" w:hAnsi="Arial" w:cs="Arial"/>
          <w:sz w:val="24"/>
          <w:szCs w:val="25"/>
        </w:rPr>
        <w:t>This case was presented again for the February Blood Film Differential and Morphology surveys in order to reinforce its</w:t>
      </w:r>
      <w:r w:rsidRPr="00E13D2A">
        <w:rPr>
          <w:rFonts w:ascii="Arial" w:hAnsi="Arial" w:cs="Arial"/>
          <w:sz w:val="24"/>
          <w:szCs w:val="25"/>
        </w:rPr>
        <w:t xml:space="preserve"> </w:t>
      </w:r>
      <w:r w:rsidRPr="00E13D2A">
        <w:rPr>
          <w:rFonts w:ascii="Arial" w:hAnsi="Arial" w:cs="Arial"/>
          <w:sz w:val="24"/>
          <w:szCs w:val="25"/>
        </w:rPr>
        <w:t>educational value</w:t>
      </w:r>
      <w:r>
        <w:rPr>
          <w:rFonts w:ascii="Arial" w:hAnsi="Arial" w:cs="Arial"/>
          <w:sz w:val="25"/>
          <w:szCs w:val="25"/>
        </w:rPr>
        <w:t xml:space="preserve">. </w:t>
      </w:r>
    </w:p>
    <w:p w:rsidR="00304CF6" w:rsidRPr="00E13D2A" w:rsidRDefault="00304CF6">
      <w:pPr>
        <w:rPr>
          <w:rFonts w:ascii="Arial" w:hAnsi="Arial" w:cs="Arial"/>
          <w:sz w:val="24"/>
          <w:szCs w:val="25"/>
        </w:rPr>
      </w:pPr>
      <w:r w:rsidRPr="00E13D2A">
        <w:rPr>
          <w:rFonts w:ascii="Arial" w:hAnsi="Arial" w:cs="Arial"/>
          <w:sz w:val="24"/>
          <w:szCs w:val="25"/>
        </w:rPr>
        <w:t>The distinction between abnormal and reactive lymphocytes relates to their likely origin and suspicion of clonality based initially on their morphological features. Reactive lymphocytes indicate a benign origin compared to the malignant or clonal aetiology of abnormal lymphocytes. Although the distinction can be difficult, when an overwhelmingly atypical lymphoid population is present, such as in the current case, the features raise the suspicion of clonality and should prompt further clinical and laboratory assessment.</w:t>
      </w:r>
    </w:p>
    <w:p w:rsidR="00304CF6" w:rsidRPr="00E13D2A" w:rsidRDefault="00304CF6">
      <w:pPr>
        <w:rPr>
          <w:rFonts w:ascii="Arial" w:hAnsi="Arial" w:cs="Arial"/>
          <w:sz w:val="14"/>
          <w:szCs w:val="16"/>
        </w:rPr>
      </w:pPr>
      <w:r w:rsidRPr="00E13D2A">
        <w:rPr>
          <w:rFonts w:ascii="Arial" w:hAnsi="Arial" w:cs="Arial"/>
          <w:sz w:val="24"/>
          <w:szCs w:val="25"/>
        </w:rPr>
        <w:t>T-cell large granular lymphocytic leukaemia is a heterogeneous disorder characterised by a persistent (&gt;6 months) increase in the number of peripheral blood large granular lymphocytes (LGLs). Severe neutropenia is frequent,</w:t>
      </w:r>
      <w:r w:rsidRPr="00E13D2A">
        <w:rPr>
          <w:rFonts w:ascii="Arial" w:hAnsi="Arial" w:cs="Arial"/>
          <w:sz w:val="14"/>
          <w:szCs w:val="16"/>
        </w:rPr>
        <w:t>1</w:t>
      </w:r>
      <w:r w:rsidRPr="00E13D2A">
        <w:rPr>
          <w:rFonts w:ascii="Arial" w:hAnsi="Arial" w:cs="Arial"/>
          <w:sz w:val="24"/>
          <w:szCs w:val="25"/>
        </w:rPr>
        <w:t xml:space="preserve"> although neutropenia was not evident in this case. There is some disagreement about the level of lymphocytosis required for the diagnosis of T-LGLL.</w:t>
      </w:r>
    </w:p>
    <w:p w:rsidR="00257452" w:rsidRDefault="00304CF6">
      <w:pPr>
        <w:rPr>
          <w:rFonts w:ascii="Arial" w:hAnsi="Arial" w:cs="Arial"/>
          <w:sz w:val="24"/>
          <w:szCs w:val="25"/>
        </w:rPr>
      </w:pPr>
      <w:r w:rsidRPr="00E13D2A">
        <w:rPr>
          <w:rFonts w:ascii="Arial" w:hAnsi="Arial" w:cs="Arial"/>
          <w:sz w:val="24"/>
          <w:szCs w:val="25"/>
        </w:rPr>
        <w:t>A T-LGL count of &gt;2 x 10</w:t>
      </w:r>
      <w:r w:rsidRPr="00E13D2A">
        <w:rPr>
          <w:rFonts w:ascii="Arial" w:hAnsi="Arial" w:cs="Arial"/>
          <w:sz w:val="14"/>
          <w:szCs w:val="16"/>
        </w:rPr>
        <w:t>9</w:t>
      </w:r>
      <w:r w:rsidRPr="00E13D2A">
        <w:rPr>
          <w:rFonts w:ascii="Arial" w:hAnsi="Arial" w:cs="Arial"/>
          <w:sz w:val="24"/>
          <w:szCs w:val="25"/>
        </w:rPr>
        <w:t>/L is frequently associated with a large clonal proliferation. However, the diagnosis of T-LGLL can be made in patients with LGL counts of &lt;2 x 10</w:t>
      </w:r>
      <w:r w:rsidRPr="00E13D2A">
        <w:rPr>
          <w:rFonts w:ascii="Arial" w:hAnsi="Arial" w:cs="Arial"/>
          <w:sz w:val="14"/>
          <w:szCs w:val="16"/>
        </w:rPr>
        <w:t>9</w:t>
      </w:r>
      <w:r w:rsidRPr="00E13D2A">
        <w:rPr>
          <w:rFonts w:ascii="Arial" w:hAnsi="Arial" w:cs="Arial"/>
          <w:sz w:val="24"/>
          <w:szCs w:val="25"/>
        </w:rPr>
        <w:t>/L when other criteria are met.</w:t>
      </w:r>
      <w:r w:rsidRPr="00E13D2A">
        <w:rPr>
          <w:rFonts w:ascii="Arial" w:hAnsi="Arial" w:cs="Arial"/>
          <w:sz w:val="14"/>
          <w:szCs w:val="16"/>
        </w:rPr>
        <w:t xml:space="preserve"> </w:t>
      </w:r>
      <w:r w:rsidRPr="00E13D2A">
        <w:rPr>
          <w:rFonts w:ascii="Arial" w:hAnsi="Arial" w:cs="Arial"/>
          <w:sz w:val="24"/>
          <w:szCs w:val="25"/>
        </w:rPr>
        <w:t xml:space="preserve"> The lymphoproliferation is typically indolent and non-progressive, and some investigators feel that this condition is better regarded as a clonal disorder of uncertain significance than as a leukaemia</w:t>
      </w:r>
      <w:r w:rsidR="00257452">
        <w:rPr>
          <w:rFonts w:ascii="Arial" w:hAnsi="Arial" w:cs="Arial"/>
          <w:sz w:val="24"/>
          <w:szCs w:val="25"/>
        </w:rPr>
        <w:t>.</w:t>
      </w:r>
    </w:p>
    <w:p w:rsidR="00257452" w:rsidRDefault="00257452">
      <w:pPr>
        <w:rPr>
          <w:noProof/>
        </w:rPr>
      </w:pPr>
      <w:r>
        <w:rPr>
          <w:noProof/>
        </w:rPr>
        <w:drawing>
          <wp:inline distT="0" distB="0" distL="0" distR="0" wp14:anchorId="3502AA8D" wp14:editId="4255AAA1">
            <wp:extent cx="5476875" cy="364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40" cy="3653169"/>
                    </a:xfrm>
                    <a:prstGeom prst="rect">
                      <a:avLst/>
                    </a:prstGeom>
                  </pic:spPr>
                </pic:pic>
              </a:graphicData>
            </a:graphic>
          </wp:inline>
        </w:drawing>
      </w:r>
    </w:p>
    <w:p w:rsidR="00257452" w:rsidRPr="00257452" w:rsidRDefault="00257452">
      <w:pPr>
        <w:rPr>
          <w:noProof/>
        </w:rPr>
      </w:pPr>
    </w:p>
    <w:p w:rsidR="006912D8" w:rsidRPr="006912D8" w:rsidRDefault="00257452">
      <w:pPr>
        <w:rPr>
          <w:rFonts w:ascii="Arial" w:hAnsi="Arial" w:cs="Arial"/>
          <w:sz w:val="24"/>
          <w:szCs w:val="25"/>
        </w:rPr>
      </w:pPr>
      <w:r w:rsidRPr="006912D8">
        <w:rPr>
          <w:rFonts w:ascii="Arial" w:hAnsi="Arial" w:cs="Arial"/>
          <w:sz w:val="24"/>
          <w:szCs w:val="25"/>
        </w:rPr>
        <w:t xml:space="preserve">The peripheral blood flow cytometry analysis of this patient showed a majority of T cells (~92%) with a normal CD4:CD8 T cell ratio. An abnormal T cell population was present which was CD2+, CD5+, CD7+, CD4+(low)/CD8+ (double positive) CD56+ and CD57+ · These results are consistent with a suspected T-cell lymphoproliferative disorder. </w:t>
      </w:r>
    </w:p>
    <w:p w:rsidR="006912D8" w:rsidRPr="006912D8" w:rsidRDefault="006912D8">
      <w:pPr>
        <w:rPr>
          <w:rFonts w:ascii="Arial" w:hAnsi="Arial" w:cs="Arial"/>
          <w:sz w:val="24"/>
          <w:szCs w:val="25"/>
        </w:rPr>
      </w:pPr>
    </w:p>
    <w:p w:rsidR="00257452" w:rsidRPr="006912D8" w:rsidRDefault="00257452">
      <w:pPr>
        <w:rPr>
          <w:rFonts w:ascii="Arial" w:hAnsi="Arial" w:cs="Arial"/>
          <w:szCs w:val="25"/>
        </w:rPr>
        <w:sectPr w:rsidR="00257452" w:rsidRPr="006912D8">
          <w:pgSz w:w="11906" w:h="16838"/>
          <w:pgMar w:top="1440" w:right="1440" w:bottom="1440" w:left="1440" w:header="708" w:footer="708" w:gutter="0"/>
          <w:cols w:space="708"/>
          <w:docGrid w:linePitch="360"/>
        </w:sectPr>
      </w:pPr>
      <w:r w:rsidRPr="006912D8">
        <w:rPr>
          <w:rFonts w:ascii="Arial" w:hAnsi="Arial" w:cs="Arial"/>
          <w:sz w:val="24"/>
          <w:szCs w:val="25"/>
        </w:rPr>
        <w:t xml:space="preserve">1. WHO Classification of Tumours of Haematopoietic and Lymphoid Tissues, </w:t>
      </w:r>
      <w:proofErr w:type="spellStart"/>
      <w:r w:rsidRPr="006912D8">
        <w:rPr>
          <w:rFonts w:ascii="Arial" w:hAnsi="Arial" w:cs="Arial"/>
          <w:sz w:val="24"/>
          <w:szCs w:val="25"/>
        </w:rPr>
        <w:t>Swerdlow</w:t>
      </w:r>
      <w:proofErr w:type="spellEnd"/>
      <w:r w:rsidRPr="006912D8">
        <w:rPr>
          <w:rFonts w:ascii="Arial" w:hAnsi="Arial" w:cs="Arial"/>
          <w:sz w:val="24"/>
          <w:szCs w:val="25"/>
        </w:rPr>
        <w:t>, S et al, revised 4</w:t>
      </w:r>
      <w:r w:rsidRPr="006912D8">
        <w:rPr>
          <w:rFonts w:ascii="Arial" w:hAnsi="Arial" w:cs="Arial"/>
          <w:sz w:val="14"/>
          <w:szCs w:val="16"/>
        </w:rPr>
        <w:t>th</w:t>
      </w:r>
      <w:r w:rsidRPr="006912D8">
        <w:rPr>
          <w:rFonts w:ascii="Arial" w:hAnsi="Arial" w:cs="Arial"/>
          <w:sz w:val="24"/>
          <w:szCs w:val="25"/>
        </w:rPr>
        <w:t xml:space="preserve"> edition, 2017</w:t>
      </w:r>
    </w:p>
    <w:p w:rsidR="00257452" w:rsidRDefault="00257452"/>
    <w:tbl>
      <w:tblPr>
        <w:tblW w:w="15824" w:type="dxa"/>
        <w:tblInd w:w="-436" w:type="dxa"/>
        <w:tblLook w:val="04A0" w:firstRow="1" w:lastRow="0" w:firstColumn="1" w:lastColumn="0" w:noHBand="0" w:noVBand="1"/>
      </w:tblPr>
      <w:tblGrid>
        <w:gridCol w:w="754"/>
        <w:gridCol w:w="1507"/>
        <w:gridCol w:w="1507"/>
        <w:gridCol w:w="1507"/>
        <w:gridCol w:w="1507"/>
        <w:gridCol w:w="1507"/>
        <w:gridCol w:w="1507"/>
        <w:gridCol w:w="1507"/>
        <w:gridCol w:w="1507"/>
        <w:gridCol w:w="1507"/>
        <w:gridCol w:w="1507"/>
      </w:tblGrid>
      <w:tr w:rsidR="00FD4781" w:rsidRPr="00FD4781" w:rsidTr="00FD4781">
        <w:trPr>
          <w:trHeight w:val="952"/>
        </w:trPr>
        <w:tc>
          <w:tcPr>
            <w:tcW w:w="856" w:type="dxa"/>
            <w:vMerge w:val="restart"/>
            <w:tcBorders>
              <w:top w:val="single" w:sz="4" w:space="0" w:color="auto"/>
              <w:left w:val="single" w:sz="4" w:space="0" w:color="auto"/>
              <w:bottom w:val="single" w:sz="8" w:space="0" w:color="000000"/>
              <w:right w:val="single" w:sz="8" w:space="0" w:color="auto"/>
            </w:tcBorders>
            <w:shd w:val="clear" w:color="000000" w:fill="FFCCFF"/>
            <w:textDirection w:val="tbRl"/>
            <w:vAlign w:val="center"/>
            <w:hideMark/>
          </w:tcPr>
          <w:p w:rsidR="00FD4781" w:rsidRPr="00FD4781" w:rsidRDefault="00FD4781" w:rsidP="00FD4781">
            <w:pPr>
              <w:spacing w:after="0" w:line="240" w:lineRule="auto"/>
              <w:jc w:val="center"/>
              <w:rPr>
                <w:rFonts w:ascii="Calibri" w:eastAsia="Times New Roman" w:hAnsi="Calibri" w:cs="Calibri"/>
                <w:color w:val="000000"/>
                <w:sz w:val="16"/>
                <w:lang w:eastAsia="en-AU"/>
              </w:rPr>
            </w:pPr>
            <w:r w:rsidRPr="00FD4781">
              <w:rPr>
                <w:rFonts w:ascii="Calibri" w:eastAsia="Times New Roman" w:hAnsi="Calibri" w:cs="Calibri"/>
                <w:color w:val="000000"/>
                <w:sz w:val="16"/>
                <w:lang w:eastAsia="en-AU"/>
              </w:rPr>
              <w:t>RBC Features</w:t>
            </w:r>
          </w:p>
        </w:tc>
        <w:tc>
          <w:tcPr>
            <w:tcW w:w="1496" w:type="dxa"/>
            <w:tcBorders>
              <w:top w:val="single" w:sz="4"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c>
          <w:tcPr>
            <w:tcW w:w="1496" w:type="dxa"/>
            <w:tcBorders>
              <w:top w:val="single" w:sz="4" w:space="0" w:color="auto"/>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Rouleaux</w:t>
            </w:r>
          </w:p>
        </w:tc>
        <w:tc>
          <w:tcPr>
            <w:tcW w:w="1497" w:type="dxa"/>
            <w:tcBorders>
              <w:top w:val="single" w:sz="4"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c>
          <w:tcPr>
            <w:tcW w:w="1497" w:type="dxa"/>
            <w:tcBorders>
              <w:top w:val="single" w:sz="4" w:space="0" w:color="auto"/>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Rouleaux</w:t>
            </w:r>
          </w:p>
        </w:tc>
        <w:tc>
          <w:tcPr>
            <w:tcW w:w="1497" w:type="dxa"/>
            <w:tcBorders>
              <w:top w:val="single" w:sz="4"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c>
          <w:tcPr>
            <w:tcW w:w="1497" w:type="dxa"/>
            <w:tcBorders>
              <w:top w:val="single" w:sz="4"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c>
          <w:tcPr>
            <w:tcW w:w="1497" w:type="dxa"/>
            <w:tcBorders>
              <w:top w:val="single" w:sz="4" w:space="0" w:color="auto"/>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single" w:sz="4" w:space="0" w:color="auto"/>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Rouleaux</w:t>
            </w:r>
          </w:p>
        </w:tc>
        <w:tc>
          <w:tcPr>
            <w:tcW w:w="1497" w:type="dxa"/>
            <w:tcBorders>
              <w:top w:val="single" w:sz="4" w:space="0" w:color="auto"/>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Spherocytes</w:t>
            </w:r>
          </w:p>
        </w:tc>
        <w:tc>
          <w:tcPr>
            <w:tcW w:w="1497" w:type="dxa"/>
            <w:tcBorders>
              <w:top w:val="single" w:sz="4" w:space="0" w:color="auto"/>
              <w:left w:val="nil"/>
              <w:bottom w:val="nil"/>
              <w:right w:val="single" w:sz="4" w:space="0" w:color="auto"/>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r>
      <w:tr w:rsidR="00FD4781" w:rsidRPr="00FD4781" w:rsidTr="00FD4781">
        <w:trPr>
          <w:trHeight w:val="830"/>
        </w:trPr>
        <w:tc>
          <w:tcPr>
            <w:tcW w:w="856" w:type="dxa"/>
            <w:vMerge/>
            <w:tcBorders>
              <w:top w:val="single" w:sz="8" w:space="0" w:color="auto"/>
              <w:left w:val="single" w:sz="4" w:space="0" w:color="auto"/>
              <w:bottom w:val="single" w:sz="8" w:space="0" w:color="000000"/>
              <w:right w:val="single" w:sz="8" w:space="0" w:color="auto"/>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red blood cell abnormality</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Elliptocytes / ovalocytes</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r w:rsidR="00FD4781" w:rsidRPr="00FD4781" w:rsidTr="00FD4781">
        <w:trPr>
          <w:trHeight w:val="256"/>
        </w:trPr>
        <w:tc>
          <w:tcPr>
            <w:tcW w:w="856" w:type="dxa"/>
            <w:vMerge/>
            <w:tcBorders>
              <w:top w:val="single" w:sz="8" w:space="0" w:color="auto"/>
              <w:left w:val="single" w:sz="4" w:space="0" w:color="auto"/>
              <w:bottom w:val="single" w:sz="8" w:space="0" w:color="000000"/>
              <w:right w:val="single" w:sz="8" w:space="0" w:color="auto"/>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NONE</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r w:rsidR="00FD4781" w:rsidRPr="00FD4781" w:rsidTr="00FD4781">
        <w:trPr>
          <w:trHeight w:val="415"/>
        </w:trPr>
        <w:tc>
          <w:tcPr>
            <w:tcW w:w="856" w:type="dxa"/>
            <w:vMerge w:val="restart"/>
            <w:tcBorders>
              <w:top w:val="nil"/>
              <w:left w:val="single" w:sz="4" w:space="0" w:color="auto"/>
              <w:bottom w:val="single" w:sz="8" w:space="0" w:color="000000"/>
              <w:right w:val="nil"/>
            </w:tcBorders>
            <w:shd w:val="clear" w:color="000000" w:fill="B4C6E7"/>
            <w:textDirection w:val="tbRl"/>
            <w:vAlign w:val="center"/>
            <w:hideMark/>
          </w:tcPr>
          <w:p w:rsidR="00FD4781" w:rsidRPr="00FD4781" w:rsidRDefault="00FD4781" w:rsidP="00FD4781">
            <w:pPr>
              <w:spacing w:after="0" w:line="240" w:lineRule="auto"/>
              <w:jc w:val="center"/>
              <w:rPr>
                <w:rFonts w:ascii="Calibri" w:eastAsia="Times New Roman" w:hAnsi="Calibri" w:cs="Calibri"/>
                <w:color w:val="000000"/>
                <w:sz w:val="16"/>
                <w:lang w:eastAsia="en-AU"/>
              </w:rPr>
            </w:pPr>
            <w:r w:rsidRPr="00FD4781">
              <w:rPr>
                <w:rFonts w:ascii="Calibri" w:eastAsia="Times New Roman" w:hAnsi="Calibri" w:cs="Calibri"/>
                <w:color w:val="000000"/>
                <w:sz w:val="16"/>
                <w:lang w:eastAsia="en-AU"/>
              </w:rPr>
              <w:t>WBC Features</w:t>
            </w:r>
          </w:p>
        </w:tc>
        <w:tc>
          <w:tcPr>
            <w:tcW w:w="1496" w:type="dxa"/>
            <w:tcBorders>
              <w:top w:val="single" w:sz="8" w:space="0" w:color="auto"/>
              <w:left w:val="single" w:sz="8" w:space="0" w:color="auto"/>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6"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single" w:sz="8" w:space="0" w:color="auto"/>
              <w:left w:val="nil"/>
              <w:bottom w:val="nil"/>
              <w:right w:val="nil"/>
            </w:tcBorders>
            <w:shd w:val="clear" w:color="000000" w:fill="FFEB9C"/>
            <w:vAlign w:val="center"/>
            <w:hideMark/>
          </w:tcPr>
          <w:p w:rsidR="00FD4781" w:rsidRPr="00FD4781" w:rsidRDefault="00FD4781" w:rsidP="00FD4781">
            <w:pPr>
              <w:spacing w:after="0" w:line="240" w:lineRule="auto"/>
              <w:jc w:val="center"/>
              <w:rPr>
                <w:rFonts w:ascii="Calibri" w:eastAsia="Times New Roman" w:hAnsi="Calibri" w:cs="Calibri"/>
                <w:color w:val="9C5700"/>
                <w:sz w:val="16"/>
                <w:szCs w:val="20"/>
                <w:lang w:eastAsia="en-AU"/>
              </w:rPr>
            </w:pPr>
            <w:r w:rsidRPr="00FD4781">
              <w:rPr>
                <w:rFonts w:ascii="Calibri" w:eastAsia="Times New Roman" w:hAnsi="Calibri" w:cs="Calibri"/>
                <w:color w:val="9C5700"/>
                <w:sz w:val="16"/>
                <w:szCs w:val="20"/>
                <w:lang w:eastAsia="en-AU"/>
              </w:rPr>
              <w:t>Lymphocytosis</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single" w:sz="8" w:space="0" w:color="auto"/>
              <w:left w:val="nil"/>
              <w:bottom w:val="nil"/>
              <w:right w:val="nil"/>
            </w:tcBorders>
            <w:shd w:val="clear" w:color="000000" w:fill="FFEB9C"/>
            <w:vAlign w:val="center"/>
            <w:hideMark/>
          </w:tcPr>
          <w:p w:rsidR="00FD4781" w:rsidRPr="00FD4781" w:rsidRDefault="00FD4781" w:rsidP="00FD4781">
            <w:pPr>
              <w:spacing w:after="0" w:line="240" w:lineRule="auto"/>
              <w:jc w:val="center"/>
              <w:rPr>
                <w:rFonts w:ascii="Calibri" w:eastAsia="Times New Roman" w:hAnsi="Calibri" w:cs="Calibri"/>
                <w:color w:val="9C5700"/>
                <w:sz w:val="16"/>
                <w:szCs w:val="20"/>
                <w:lang w:eastAsia="en-AU"/>
              </w:rPr>
            </w:pPr>
            <w:r w:rsidRPr="00FD4781">
              <w:rPr>
                <w:rFonts w:ascii="Calibri" w:eastAsia="Times New Roman" w:hAnsi="Calibri" w:cs="Calibri"/>
                <w:color w:val="9C5700"/>
                <w:sz w:val="16"/>
                <w:szCs w:val="20"/>
                <w:lang w:eastAsia="en-AU"/>
              </w:rPr>
              <w:t>Lymphocytes – abnormal</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single" w:sz="8" w:space="0" w:color="auto"/>
              <w:left w:val="nil"/>
              <w:bottom w:val="nil"/>
              <w:right w:val="single" w:sz="4" w:space="0" w:color="auto"/>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r>
      <w:tr w:rsidR="00FD4781" w:rsidRPr="00FD4781" w:rsidTr="00FD4781">
        <w:trPr>
          <w:trHeight w:val="623"/>
        </w:trPr>
        <w:tc>
          <w:tcPr>
            <w:tcW w:w="856" w:type="dxa"/>
            <w:vMerge/>
            <w:tcBorders>
              <w:top w:val="nil"/>
              <w:left w:val="single" w:sz="4" w:space="0" w:color="auto"/>
              <w:bottom w:val="single" w:sz="8" w:space="0" w:color="000000"/>
              <w:right w:val="nil"/>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single" w:sz="8" w:space="0" w:color="auto"/>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000000" w:fill="FFE699"/>
            <w:vAlign w:val="center"/>
            <w:hideMark/>
          </w:tcPr>
          <w:p w:rsidR="00FD4781" w:rsidRPr="00FD4781" w:rsidRDefault="00FD4781" w:rsidP="00FD4781">
            <w:pPr>
              <w:spacing w:after="0" w:line="240" w:lineRule="auto"/>
              <w:jc w:val="center"/>
              <w:rPr>
                <w:rFonts w:ascii="Calibri" w:eastAsia="Times New Roman" w:hAnsi="Calibri" w:cs="Calibri"/>
                <w:color w:val="BF8F00"/>
                <w:sz w:val="16"/>
                <w:szCs w:val="20"/>
                <w:lang w:eastAsia="en-AU"/>
              </w:rPr>
            </w:pPr>
            <w:r w:rsidRPr="00FD4781">
              <w:rPr>
                <w:rFonts w:ascii="Calibri" w:eastAsia="Times New Roman" w:hAnsi="Calibri" w:cs="Calibri"/>
                <w:color w:val="BF8F00"/>
                <w:sz w:val="16"/>
                <w:szCs w:val="20"/>
                <w:lang w:eastAsia="en-AU"/>
              </w:rPr>
              <w:t>Lymphocytes - cytoplasmic inclusions</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nil"/>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Large granular lymphocytosis</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single" w:sz="4" w:space="0" w:color="auto"/>
            </w:tcBorders>
            <w:shd w:val="clear" w:color="000000" w:fill="FFEB9C"/>
            <w:vAlign w:val="center"/>
            <w:hideMark/>
          </w:tcPr>
          <w:p w:rsidR="00FD4781" w:rsidRPr="00FD4781" w:rsidRDefault="00FD4781" w:rsidP="00FD4781">
            <w:pPr>
              <w:spacing w:after="0" w:line="240" w:lineRule="auto"/>
              <w:jc w:val="center"/>
              <w:rPr>
                <w:rFonts w:ascii="Calibri" w:eastAsia="Times New Roman" w:hAnsi="Calibri" w:cs="Calibri"/>
                <w:color w:val="9C5700"/>
                <w:sz w:val="16"/>
                <w:szCs w:val="20"/>
                <w:lang w:eastAsia="en-AU"/>
              </w:rPr>
            </w:pPr>
            <w:r w:rsidRPr="00FD4781">
              <w:rPr>
                <w:rFonts w:ascii="Calibri" w:eastAsia="Times New Roman" w:hAnsi="Calibri" w:cs="Calibri"/>
                <w:color w:val="9C5700"/>
                <w:sz w:val="16"/>
                <w:szCs w:val="20"/>
                <w:lang w:eastAsia="en-AU"/>
              </w:rPr>
              <w:t>Lymphocytosis</w:t>
            </w:r>
          </w:p>
        </w:tc>
      </w:tr>
      <w:tr w:rsidR="00FD4781" w:rsidRPr="00FD4781" w:rsidTr="00FD4781">
        <w:trPr>
          <w:trHeight w:val="415"/>
        </w:trPr>
        <w:tc>
          <w:tcPr>
            <w:tcW w:w="856" w:type="dxa"/>
            <w:vMerge/>
            <w:tcBorders>
              <w:top w:val="nil"/>
              <w:left w:val="single" w:sz="4" w:space="0" w:color="auto"/>
              <w:bottom w:val="single" w:sz="8" w:space="0" w:color="000000"/>
              <w:right w:val="nil"/>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single" w:sz="8" w:space="0" w:color="auto"/>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r w:rsidR="00FD4781" w:rsidRPr="00FD4781" w:rsidTr="00FD4781">
        <w:trPr>
          <w:trHeight w:val="427"/>
        </w:trPr>
        <w:tc>
          <w:tcPr>
            <w:tcW w:w="856" w:type="dxa"/>
            <w:vMerge/>
            <w:tcBorders>
              <w:top w:val="nil"/>
              <w:left w:val="single" w:sz="4" w:space="0" w:color="auto"/>
              <w:bottom w:val="single" w:sz="8" w:space="0" w:color="000000"/>
              <w:right w:val="nil"/>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single" w:sz="8" w:space="0" w:color="auto"/>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r w:rsidR="00FD4781" w:rsidRPr="00FD4781" w:rsidTr="00FD4781">
        <w:trPr>
          <w:trHeight w:val="881"/>
        </w:trPr>
        <w:tc>
          <w:tcPr>
            <w:tcW w:w="856" w:type="dxa"/>
            <w:vMerge w:val="restart"/>
            <w:tcBorders>
              <w:top w:val="nil"/>
              <w:left w:val="single" w:sz="4" w:space="0" w:color="auto"/>
              <w:bottom w:val="single" w:sz="8" w:space="0" w:color="000000"/>
              <w:right w:val="nil"/>
            </w:tcBorders>
            <w:shd w:val="clear" w:color="000000" w:fill="D6DCE4"/>
            <w:textDirection w:val="tbRl"/>
            <w:vAlign w:val="center"/>
            <w:hideMark/>
          </w:tcPr>
          <w:p w:rsidR="00FD4781" w:rsidRPr="00FD4781" w:rsidRDefault="00FD4781" w:rsidP="00FD4781">
            <w:pPr>
              <w:spacing w:after="0" w:line="240" w:lineRule="auto"/>
              <w:jc w:val="center"/>
              <w:rPr>
                <w:rFonts w:ascii="Calibri" w:eastAsia="Times New Roman" w:hAnsi="Calibri" w:cs="Calibri"/>
                <w:color w:val="000000"/>
                <w:sz w:val="16"/>
                <w:lang w:eastAsia="en-AU"/>
              </w:rPr>
            </w:pPr>
            <w:r w:rsidRPr="00FD4781">
              <w:rPr>
                <w:rFonts w:ascii="Calibri" w:eastAsia="Times New Roman" w:hAnsi="Calibri" w:cs="Calibri"/>
                <w:color w:val="000000"/>
                <w:sz w:val="16"/>
                <w:lang w:eastAsia="en-AU"/>
              </w:rPr>
              <w:t>Platelet Features</w:t>
            </w:r>
          </w:p>
        </w:tc>
        <w:tc>
          <w:tcPr>
            <w:tcW w:w="1496" w:type="dxa"/>
            <w:tcBorders>
              <w:top w:val="single" w:sz="8" w:space="0" w:color="auto"/>
              <w:left w:val="single" w:sz="8" w:space="0" w:color="auto"/>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6"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nil"/>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single" w:sz="8" w:space="0" w:color="auto"/>
              <w:left w:val="nil"/>
              <w:bottom w:val="nil"/>
              <w:right w:val="single" w:sz="4" w:space="0" w:color="auto"/>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r>
      <w:tr w:rsidR="00FD4781" w:rsidRPr="00FD4781" w:rsidTr="00FD4781">
        <w:trPr>
          <w:trHeight w:val="842"/>
        </w:trPr>
        <w:tc>
          <w:tcPr>
            <w:tcW w:w="856" w:type="dxa"/>
            <w:vMerge/>
            <w:tcBorders>
              <w:top w:val="nil"/>
              <w:left w:val="single" w:sz="4" w:space="0" w:color="auto"/>
              <w:bottom w:val="single" w:sz="8" w:space="0" w:color="000000"/>
              <w:right w:val="nil"/>
            </w:tcBorders>
            <w:vAlign w:val="center"/>
            <w:hideMark/>
          </w:tcPr>
          <w:p w:rsidR="00FD4781" w:rsidRPr="00FD4781" w:rsidRDefault="00FD4781" w:rsidP="00FD4781">
            <w:pPr>
              <w:spacing w:after="0" w:line="240" w:lineRule="auto"/>
              <w:rPr>
                <w:rFonts w:ascii="Calibri" w:eastAsia="Times New Roman" w:hAnsi="Calibri" w:cs="Calibri"/>
                <w:color w:val="000000"/>
                <w:sz w:val="16"/>
                <w:lang w:eastAsia="en-AU"/>
              </w:rPr>
            </w:pPr>
          </w:p>
        </w:tc>
        <w:tc>
          <w:tcPr>
            <w:tcW w:w="1496" w:type="dxa"/>
            <w:tcBorders>
              <w:top w:val="nil"/>
              <w:left w:val="single" w:sz="8" w:space="0" w:color="auto"/>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No significant morphological platelet abnormality</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8" w:space="0" w:color="auto"/>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r w:rsidR="00FD4781" w:rsidRPr="00FD4781" w:rsidTr="00FD4781">
        <w:trPr>
          <w:trHeight w:val="1363"/>
        </w:trPr>
        <w:tc>
          <w:tcPr>
            <w:tcW w:w="856" w:type="dxa"/>
            <w:vMerge w:val="restart"/>
            <w:tcBorders>
              <w:top w:val="single" w:sz="8" w:space="0" w:color="auto"/>
              <w:left w:val="single" w:sz="4" w:space="0" w:color="auto"/>
              <w:bottom w:val="nil"/>
              <w:right w:val="nil"/>
            </w:tcBorders>
            <w:shd w:val="clear" w:color="000000" w:fill="C6EFCE"/>
            <w:textDirection w:val="tbRl"/>
            <w:vAlign w:val="center"/>
            <w:hideMark/>
          </w:tcPr>
          <w:p w:rsidR="00FD4781" w:rsidRPr="00FD4781" w:rsidRDefault="00FD4781" w:rsidP="00FD4781">
            <w:pPr>
              <w:spacing w:after="0" w:line="240" w:lineRule="auto"/>
              <w:jc w:val="center"/>
              <w:rPr>
                <w:rFonts w:ascii="Calibri" w:eastAsia="Times New Roman" w:hAnsi="Calibri" w:cs="Calibri"/>
                <w:color w:val="006100"/>
                <w:sz w:val="16"/>
                <w:lang w:eastAsia="en-AU"/>
              </w:rPr>
            </w:pPr>
            <w:r w:rsidRPr="00FD4781">
              <w:rPr>
                <w:rFonts w:ascii="Calibri" w:eastAsia="Times New Roman" w:hAnsi="Calibri" w:cs="Calibri"/>
                <w:color w:val="006100"/>
                <w:sz w:val="16"/>
                <w:lang w:eastAsia="en-AU"/>
              </w:rPr>
              <w:t xml:space="preserve">Primary Diagnosis </w:t>
            </w:r>
          </w:p>
        </w:tc>
        <w:tc>
          <w:tcPr>
            <w:tcW w:w="1496" w:type="dxa"/>
            <w:tcBorders>
              <w:top w:val="single" w:sz="8" w:space="0" w:color="auto"/>
              <w:left w:val="single" w:sz="8" w:space="0" w:color="auto"/>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6"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 Chronic lymphoproliferative disorder of NK cells (CLPD-NKs)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 Chronic lymphoproliferative disorder of NK cells (CLPD-NKs)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nil"/>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c>
          <w:tcPr>
            <w:tcW w:w="1497" w:type="dxa"/>
            <w:tcBorders>
              <w:top w:val="single" w:sz="8" w:space="0" w:color="auto"/>
              <w:left w:val="nil"/>
              <w:bottom w:val="nil"/>
              <w:right w:val="single" w:sz="4" w:space="0" w:color="auto"/>
            </w:tcBorders>
            <w:shd w:val="clear" w:color="000000" w:fill="C6EFCE"/>
            <w:vAlign w:val="center"/>
            <w:hideMark/>
          </w:tcPr>
          <w:p w:rsidR="00FD4781" w:rsidRPr="00FD4781" w:rsidRDefault="00FD4781" w:rsidP="00FD4781">
            <w:pPr>
              <w:spacing w:after="0" w:line="240" w:lineRule="auto"/>
              <w:jc w:val="center"/>
              <w:rPr>
                <w:rFonts w:ascii="Calibri" w:eastAsia="Times New Roman" w:hAnsi="Calibri" w:cs="Calibri"/>
                <w:color w:val="006100"/>
                <w:sz w:val="16"/>
                <w:szCs w:val="20"/>
                <w:lang w:eastAsia="en-AU"/>
              </w:rPr>
            </w:pPr>
            <w:r w:rsidRPr="00FD4781">
              <w:rPr>
                <w:rFonts w:ascii="Calibri" w:eastAsia="Times New Roman" w:hAnsi="Calibri" w:cs="Calibri"/>
                <w:color w:val="006100"/>
                <w:sz w:val="16"/>
                <w:szCs w:val="20"/>
                <w:lang w:eastAsia="en-AU"/>
              </w:rPr>
              <w:t>T-LGL leukaemia/T-LGL LPD/Chronic lymphoproliferative disorder of NK cells</w:t>
            </w:r>
            <w:r w:rsidRPr="00FD4781">
              <w:rPr>
                <w:rFonts w:ascii="Calibri" w:eastAsia="Times New Roman" w:hAnsi="Calibri" w:cs="Calibri"/>
                <w:color w:val="006100"/>
                <w:sz w:val="16"/>
                <w:szCs w:val="20"/>
                <w:lang w:eastAsia="en-AU"/>
              </w:rPr>
              <w:br/>
              <w:t>(CLPD-NKs)</w:t>
            </w:r>
          </w:p>
        </w:tc>
      </w:tr>
      <w:tr w:rsidR="00FD4781" w:rsidRPr="00FD4781" w:rsidTr="00FD4781">
        <w:trPr>
          <w:trHeight w:val="842"/>
        </w:trPr>
        <w:tc>
          <w:tcPr>
            <w:tcW w:w="856" w:type="dxa"/>
            <w:vMerge/>
            <w:tcBorders>
              <w:top w:val="single" w:sz="8" w:space="0" w:color="auto"/>
              <w:left w:val="single" w:sz="4" w:space="0" w:color="auto"/>
              <w:bottom w:val="single" w:sz="4" w:space="0" w:color="auto"/>
              <w:right w:val="nil"/>
            </w:tcBorders>
            <w:vAlign w:val="center"/>
            <w:hideMark/>
          </w:tcPr>
          <w:p w:rsidR="00FD4781" w:rsidRPr="00FD4781" w:rsidRDefault="00FD4781" w:rsidP="00FD4781">
            <w:pPr>
              <w:spacing w:after="0" w:line="240" w:lineRule="auto"/>
              <w:rPr>
                <w:rFonts w:ascii="Calibri" w:eastAsia="Times New Roman" w:hAnsi="Calibri" w:cs="Calibri"/>
                <w:color w:val="006100"/>
                <w:sz w:val="16"/>
                <w:lang w:eastAsia="en-AU"/>
              </w:rPr>
            </w:pPr>
          </w:p>
        </w:tc>
        <w:tc>
          <w:tcPr>
            <w:tcW w:w="1496" w:type="dxa"/>
            <w:tcBorders>
              <w:top w:val="nil"/>
              <w:left w:val="single" w:sz="8" w:space="0" w:color="auto"/>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6"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nil"/>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c>
          <w:tcPr>
            <w:tcW w:w="1497" w:type="dxa"/>
            <w:tcBorders>
              <w:top w:val="nil"/>
              <w:left w:val="nil"/>
              <w:bottom w:val="single" w:sz="4" w:space="0" w:color="auto"/>
              <w:right w:val="single" w:sz="4" w:space="0" w:color="auto"/>
            </w:tcBorders>
            <w:shd w:val="clear" w:color="auto" w:fill="auto"/>
            <w:vAlign w:val="center"/>
            <w:hideMark/>
          </w:tcPr>
          <w:p w:rsidR="00FD4781" w:rsidRPr="00FD4781" w:rsidRDefault="00FD4781" w:rsidP="00FD4781">
            <w:pPr>
              <w:spacing w:after="0" w:line="240" w:lineRule="auto"/>
              <w:jc w:val="center"/>
              <w:rPr>
                <w:rFonts w:ascii="Calibri" w:eastAsia="Times New Roman" w:hAnsi="Calibri" w:cs="Calibri"/>
                <w:color w:val="000000"/>
                <w:sz w:val="16"/>
                <w:szCs w:val="20"/>
                <w:lang w:eastAsia="en-AU"/>
              </w:rPr>
            </w:pPr>
            <w:r w:rsidRPr="00FD4781">
              <w:rPr>
                <w:rFonts w:ascii="Calibri" w:eastAsia="Times New Roman" w:hAnsi="Calibri" w:cs="Calibri"/>
                <w:color w:val="000000"/>
                <w:sz w:val="16"/>
                <w:szCs w:val="20"/>
                <w:lang w:eastAsia="en-AU"/>
              </w:rPr>
              <w:t xml:space="preserve"> </w:t>
            </w:r>
          </w:p>
        </w:tc>
      </w:tr>
    </w:tbl>
    <w:p w:rsidR="00E13D2A" w:rsidRDefault="00E13D2A"/>
    <w:tbl>
      <w:tblPr>
        <w:tblW w:w="5760" w:type="dxa"/>
        <w:tblLook w:val="04A0" w:firstRow="1" w:lastRow="0" w:firstColumn="1" w:lastColumn="0" w:noHBand="0" w:noVBand="1"/>
      </w:tblPr>
      <w:tblGrid>
        <w:gridCol w:w="1440"/>
        <w:gridCol w:w="1440"/>
        <w:gridCol w:w="1440"/>
        <w:gridCol w:w="1440"/>
      </w:tblGrid>
      <w:tr w:rsidR="00E0072D" w:rsidRPr="00E0072D" w:rsidTr="00E0072D">
        <w:trPr>
          <w:trHeight w:val="915"/>
        </w:trPr>
        <w:tc>
          <w:tcPr>
            <w:tcW w:w="144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E0072D" w:rsidRPr="00E0072D" w:rsidRDefault="00E0072D" w:rsidP="00E0072D">
            <w:pPr>
              <w:spacing w:after="0" w:line="240" w:lineRule="auto"/>
              <w:jc w:val="center"/>
              <w:rPr>
                <w:rFonts w:ascii="Calibri" w:eastAsia="Times New Roman" w:hAnsi="Calibri" w:cs="Calibri"/>
                <w:color w:val="006100"/>
                <w:lang w:eastAsia="en-AU"/>
              </w:rPr>
            </w:pPr>
            <w:r w:rsidRPr="00E0072D">
              <w:rPr>
                <w:rFonts w:ascii="Calibri" w:eastAsia="Times New Roman" w:hAnsi="Calibri" w:cs="Calibri"/>
                <w:color w:val="006100"/>
                <w:lang w:eastAsia="en-AU"/>
              </w:rPr>
              <w:t>High scoring response</w:t>
            </w:r>
          </w:p>
        </w:tc>
        <w:tc>
          <w:tcPr>
            <w:tcW w:w="1440" w:type="dxa"/>
            <w:tcBorders>
              <w:top w:val="single" w:sz="8" w:space="0" w:color="auto"/>
              <w:left w:val="single" w:sz="8" w:space="0" w:color="auto"/>
              <w:bottom w:val="single" w:sz="8" w:space="0" w:color="auto"/>
              <w:right w:val="single" w:sz="8" w:space="0" w:color="auto"/>
            </w:tcBorders>
            <w:shd w:val="clear" w:color="000000" w:fill="FFEB9C"/>
            <w:vAlign w:val="center"/>
            <w:hideMark/>
          </w:tcPr>
          <w:p w:rsidR="00E0072D" w:rsidRPr="00E0072D" w:rsidRDefault="00E0072D" w:rsidP="00E0072D">
            <w:pPr>
              <w:spacing w:after="0" w:line="240" w:lineRule="auto"/>
              <w:jc w:val="center"/>
              <w:rPr>
                <w:rFonts w:ascii="Calibri" w:eastAsia="Times New Roman" w:hAnsi="Calibri" w:cs="Calibri"/>
                <w:color w:val="9C5700"/>
                <w:lang w:eastAsia="en-AU"/>
              </w:rPr>
            </w:pPr>
            <w:r w:rsidRPr="00E0072D">
              <w:rPr>
                <w:rFonts w:ascii="Calibri" w:eastAsia="Times New Roman" w:hAnsi="Calibri" w:cs="Calibri"/>
                <w:color w:val="9C5700"/>
                <w:lang w:eastAsia="en-AU"/>
              </w:rPr>
              <w:t>Moderate scoring response</w:t>
            </w:r>
          </w:p>
        </w:tc>
        <w:tc>
          <w:tcPr>
            <w:tcW w:w="1440" w:type="dxa"/>
            <w:tcBorders>
              <w:top w:val="single" w:sz="8" w:space="0" w:color="auto"/>
              <w:left w:val="nil"/>
              <w:bottom w:val="single" w:sz="8" w:space="0" w:color="auto"/>
              <w:right w:val="single" w:sz="8" w:space="0" w:color="auto"/>
            </w:tcBorders>
            <w:shd w:val="clear" w:color="000000" w:fill="FFF2CC"/>
            <w:vAlign w:val="center"/>
            <w:hideMark/>
          </w:tcPr>
          <w:p w:rsidR="00E0072D" w:rsidRPr="00E0072D" w:rsidRDefault="00E0072D" w:rsidP="00E0072D">
            <w:pPr>
              <w:spacing w:after="0" w:line="240" w:lineRule="auto"/>
              <w:jc w:val="center"/>
              <w:rPr>
                <w:rFonts w:ascii="Calibri" w:eastAsia="Times New Roman" w:hAnsi="Calibri" w:cs="Calibri"/>
                <w:color w:val="BF8F00"/>
                <w:lang w:eastAsia="en-AU"/>
              </w:rPr>
            </w:pPr>
            <w:r w:rsidRPr="00E0072D">
              <w:rPr>
                <w:rFonts w:ascii="Calibri" w:eastAsia="Times New Roman" w:hAnsi="Calibri" w:cs="Calibri"/>
                <w:color w:val="BF8F00"/>
                <w:lang w:eastAsia="en-AU"/>
              </w:rPr>
              <w:t xml:space="preserve">Low scoring response </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072D" w:rsidRPr="00E0072D" w:rsidRDefault="00E0072D" w:rsidP="00E0072D">
            <w:pPr>
              <w:spacing w:after="0" w:line="240" w:lineRule="auto"/>
              <w:jc w:val="center"/>
              <w:rPr>
                <w:rFonts w:ascii="Calibri" w:eastAsia="Times New Roman" w:hAnsi="Calibri" w:cs="Calibri"/>
                <w:color w:val="000000"/>
                <w:lang w:eastAsia="en-AU"/>
              </w:rPr>
            </w:pPr>
            <w:r w:rsidRPr="00E0072D">
              <w:rPr>
                <w:rFonts w:ascii="Calibri" w:eastAsia="Times New Roman" w:hAnsi="Calibri" w:cs="Calibri"/>
                <w:color w:val="000000"/>
                <w:lang w:eastAsia="en-AU"/>
              </w:rPr>
              <w:t xml:space="preserve">Response given no score </w:t>
            </w:r>
          </w:p>
        </w:tc>
      </w:tr>
    </w:tbl>
    <w:p w:rsidR="009F46B8" w:rsidRDefault="009F46B8"/>
    <w:tbl>
      <w:tblPr>
        <w:tblW w:w="15929" w:type="dxa"/>
        <w:tblInd w:w="-436" w:type="dxa"/>
        <w:tblLook w:val="04A0" w:firstRow="1" w:lastRow="0" w:firstColumn="1" w:lastColumn="0" w:noHBand="0" w:noVBand="1"/>
      </w:tblPr>
      <w:tblGrid>
        <w:gridCol w:w="670"/>
        <w:gridCol w:w="1508"/>
        <w:gridCol w:w="1602"/>
        <w:gridCol w:w="1273"/>
        <w:gridCol w:w="1601"/>
        <w:gridCol w:w="1270"/>
        <w:gridCol w:w="1601"/>
        <w:gridCol w:w="1601"/>
        <w:gridCol w:w="1601"/>
        <w:gridCol w:w="1601"/>
        <w:gridCol w:w="1601"/>
      </w:tblGrid>
      <w:tr w:rsidR="00FA1642" w:rsidRPr="00FA1642" w:rsidTr="00FA1642">
        <w:trPr>
          <w:trHeight w:val="1115"/>
        </w:trPr>
        <w:tc>
          <w:tcPr>
            <w:tcW w:w="710" w:type="dxa"/>
            <w:vMerge w:val="restart"/>
            <w:tcBorders>
              <w:top w:val="single" w:sz="4" w:space="0" w:color="auto"/>
              <w:left w:val="single" w:sz="4" w:space="0" w:color="auto"/>
              <w:bottom w:val="single" w:sz="8" w:space="0" w:color="000000"/>
              <w:right w:val="single" w:sz="8" w:space="0" w:color="auto"/>
            </w:tcBorders>
            <w:shd w:val="clear" w:color="000000" w:fill="FFCCFF"/>
            <w:textDirection w:val="tbRl"/>
            <w:vAlign w:val="center"/>
            <w:hideMark/>
          </w:tcPr>
          <w:p w:rsidR="00FA1642" w:rsidRPr="00FA1642" w:rsidRDefault="00FA1642" w:rsidP="00FA1642">
            <w:pPr>
              <w:spacing w:after="0" w:line="240" w:lineRule="auto"/>
              <w:jc w:val="center"/>
              <w:rPr>
                <w:rFonts w:ascii="Calibri" w:eastAsia="Times New Roman" w:hAnsi="Calibri" w:cs="Calibri"/>
                <w:color w:val="000000"/>
                <w:sz w:val="16"/>
                <w:lang w:eastAsia="en-AU"/>
              </w:rPr>
            </w:pPr>
            <w:r w:rsidRPr="00FA1642">
              <w:rPr>
                <w:rFonts w:ascii="Calibri" w:eastAsia="Times New Roman" w:hAnsi="Calibri" w:cs="Calibri"/>
                <w:color w:val="000000"/>
                <w:sz w:val="16"/>
                <w:lang w:eastAsia="en-AU"/>
              </w:rPr>
              <w:t>RBC Features</w:t>
            </w:r>
          </w:p>
        </w:tc>
        <w:tc>
          <w:tcPr>
            <w:tcW w:w="1332"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red blood cell abnormality</w:t>
            </w:r>
          </w:p>
        </w:tc>
        <w:tc>
          <w:tcPr>
            <w:tcW w:w="1618"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red blood cell abnormality</w:t>
            </w:r>
          </w:p>
        </w:tc>
        <w:tc>
          <w:tcPr>
            <w:tcW w:w="1285"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Spherocytes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red blood cell abnormality</w:t>
            </w:r>
          </w:p>
        </w:tc>
        <w:tc>
          <w:tcPr>
            <w:tcW w:w="1282"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Rouleaux</w:t>
            </w:r>
          </w:p>
        </w:tc>
        <w:tc>
          <w:tcPr>
            <w:tcW w:w="1617"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Rouleaux</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red blood cell abnormality</w:t>
            </w:r>
          </w:p>
        </w:tc>
        <w:tc>
          <w:tcPr>
            <w:tcW w:w="1617"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Rouleaux</w:t>
            </w:r>
          </w:p>
        </w:tc>
        <w:tc>
          <w:tcPr>
            <w:tcW w:w="1617"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Rouleaux</w:t>
            </w:r>
          </w:p>
        </w:tc>
        <w:tc>
          <w:tcPr>
            <w:tcW w:w="1617" w:type="dxa"/>
            <w:tcBorders>
              <w:top w:val="single" w:sz="4" w:space="0" w:color="auto"/>
              <w:left w:val="nil"/>
              <w:bottom w:val="nil"/>
              <w:right w:val="single" w:sz="4" w:space="0" w:color="auto"/>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red blood cell abnormality</w:t>
            </w:r>
          </w:p>
        </w:tc>
      </w:tr>
      <w:tr w:rsidR="00FA1642" w:rsidRPr="00FA1642" w:rsidTr="00FA1642">
        <w:trPr>
          <w:trHeight w:val="116"/>
        </w:trPr>
        <w:tc>
          <w:tcPr>
            <w:tcW w:w="710" w:type="dxa"/>
            <w:vMerge/>
            <w:tcBorders>
              <w:top w:val="single" w:sz="8" w:space="0" w:color="auto"/>
              <w:left w:val="single" w:sz="4" w:space="0" w:color="auto"/>
              <w:bottom w:val="single" w:sz="8" w:space="0" w:color="000000"/>
              <w:right w:val="single" w:sz="8"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5"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r w:rsidR="00FA1642" w:rsidRPr="00FA1642" w:rsidTr="00FA1642">
        <w:trPr>
          <w:trHeight w:val="505"/>
        </w:trPr>
        <w:tc>
          <w:tcPr>
            <w:tcW w:w="710" w:type="dxa"/>
            <w:vMerge/>
            <w:tcBorders>
              <w:top w:val="single" w:sz="8" w:space="0" w:color="auto"/>
              <w:left w:val="single" w:sz="4" w:space="0" w:color="auto"/>
              <w:bottom w:val="single" w:sz="8" w:space="0" w:color="000000"/>
              <w:right w:val="single" w:sz="8"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5"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Cryoglobulins</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r w:rsidR="00FA1642" w:rsidRPr="00FA1642" w:rsidTr="00FA1642">
        <w:trPr>
          <w:trHeight w:val="734"/>
        </w:trPr>
        <w:tc>
          <w:tcPr>
            <w:tcW w:w="710" w:type="dxa"/>
            <w:vMerge w:val="restart"/>
            <w:tcBorders>
              <w:top w:val="nil"/>
              <w:left w:val="single" w:sz="4" w:space="0" w:color="auto"/>
              <w:bottom w:val="single" w:sz="8" w:space="0" w:color="000000"/>
              <w:right w:val="single" w:sz="4" w:space="0" w:color="auto"/>
            </w:tcBorders>
            <w:shd w:val="clear" w:color="000000" w:fill="B4C6E7"/>
            <w:textDirection w:val="tbRl"/>
            <w:vAlign w:val="center"/>
            <w:hideMark/>
          </w:tcPr>
          <w:p w:rsidR="00FA1642" w:rsidRPr="00FA1642" w:rsidRDefault="00FA1642" w:rsidP="00FA1642">
            <w:pPr>
              <w:spacing w:after="0" w:line="240" w:lineRule="auto"/>
              <w:jc w:val="center"/>
              <w:rPr>
                <w:rFonts w:ascii="Calibri" w:eastAsia="Times New Roman" w:hAnsi="Calibri" w:cs="Calibri"/>
                <w:color w:val="000000"/>
                <w:sz w:val="16"/>
                <w:lang w:eastAsia="en-AU"/>
              </w:rPr>
            </w:pPr>
            <w:r w:rsidRPr="00FA1642">
              <w:rPr>
                <w:rFonts w:ascii="Calibri" w:eastAsia="Times New Roman" w:hAnsi="Calibri" w:cs="Calibri"/>
                <w:color w:val="000000"/>
                <w:sz w:val="16"/>
                <w:lang w:eastAsia="en-AU"/>
              </w:rPr>
              <w:t>WBC Features</w:t>
            </w:r>
          </w:p>
        </w:tc>
        <w:tc>
          <w:tcPr>
            <w:tcW w:w="1332" w:type="dxa"/>
            <w:tcBorders>
              <w:top w:val="single" w:sz="4" w:space="0" w:color="auto"/>
              <w:left w:val="single" w:sz="4" w:space="0" w:color="auto"/>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8" w:type="dxa"/>
            <w:tcBorders>
              <w:top w:val="single" w:sz="4" w:space="0" w:color="auto"/>
              <w:left w:val="nil"/>
              <w:bottom w:val="nil"/>
              <w:right w:val="nil"/>
            </w:tcBorders>
            <w:shd w:val="clear" w:color="000000" w:fill="FFE699"/>
            <w:vAlign w:val="center"/>
            <w:hideMark/>
          </w:tcPr>
          <w:p w:rsidR="00FA1642" w:rsidRPr="00FA1642" w:rsidRDefault="00FA1642" w:rsidP="00FA1642">
            <w:pPr>
              <w:spacing w:after="0" w:line="240" w:lineRule="auto"/>
              <w:jc w:val="center"/>
              <w:rPr>
                <w:rFonts w:ascii="Calibri" w:eastAsia="Times New Roman" w:hAnsi="Calibri" w:cs="Calibri"/>
                <w:color w:val="BF8F00"/>
                <w:sz w:val="16"/>
                <w:szCs w:val="20"/>
                <w:lang w:eastAsia="en-AU"/>
              </w:rPr>
            </w:pPr>
            <w:r w:rsidRPr="00FA1642">
              <w:rPr>
                <w:rFonts w:ascii="Calibri" w:eastAsia="Times New Roman" w:hAnsi="Calibri" w:cs="Calibri"/>
                <w:color w:val="BF8F00"/>
                <w:sz w:val="16"/>
                <w:szCs w:val="20"/>
                <w:lang w:eastAsia="en-AU"/>
              </w:rPr>
              <w:t>Lymphocytes - reactive</w:t>
            </w:r>
          </w:p>
        </w:tc>
        <w:tc>
          <w:tcPr>
            <w:tcW w:w="1285" w:type="dxa"/>
            <w:tcBorders>
              <w:top w:val="single" w:sz="4" w:space="0" w:color="auto"/>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Lymphocytes – abnormal</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282"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7" w:type="dxa"/>
            <w:tcBorders>
              <w:top w:val="single" w:sz="4" w:space="0" w:color="auto"/>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Lymphocytes – abnormal</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7" w:type="dxa"/>
            <w:tcBorders>
              <w:top w:val="single" w:sz="4" w:space="0" w:color="auto"/>
              <w:left w:val="nil"/>
              <w:bottom w:val="nil"/>
              <w:right w:val="single" w:sz="4" w:space="0" w:color="auto"/>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Lymphocytosis</w:t>
            </w:r>
          </w:p>
        </w:tc>
      </w:tr>
      <w:tr w:rsidR="00FA1642" w:rsidRPr="00FA1642" w:rsidTr="00FA1642">
        <w:trPr>
          <w:trHeight w:val="981"/>
        </w:trPr>
        <w:tc>
          <w:tcPr>
            <w:tcW w:w="710" w:type="dxa"/>
            <w:vMerge/>
            <w:tcBorders>
              <w:top w:val="nil"/>
              <w:left w:val="single" w:sz="4" w:space="0" w:color="auto"/>
              <w:bottom w:val="single" w:sz="8" w:space="0" w:color="000000"/>
              <w:right w:val="single" w:sz="4"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single" w:sz="4" w:space="0" w:color="auto"/>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Lymphocytes – abnormal</w:t>
            </w:r>
          </w:p>
        </w:tc>
        <w:tc>
          <w:tcPr>
            <w:tcW w:w="1285"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Lymphocytes – abnormal</w:t>
            </w:r>
          </w:p>
        </w:tc>
        <w:tc>
          <w:tcPr>
            <w:tcW w:w="1282" w:type="dxa"/>
            <w:tcBorders>
              <w:top w:val="nil"/>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Lymphocytosis</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single" w:sz="4" w:space="0" w:color="auto"/>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Large granular lymphocytosis</w:t>
            </w:r>
          </w:p>
        </w:tc>
      </w:tr>
      <w:tr w:rsidR="00FA1642" w:rsidRPr="00FA1642" w:rsidTr="00FA1642">
        <w:trPr>
          <w:trHeight w:val="490"/>
        </w:trPr>
        <w:tc>
          <w:tcPr>
            <w:tcW w:w="710" w:type="dxa"/>
            <w:vMerge/>
            <w:tcBorders>
              <w:top w:val="nil"/>
              <w:left w:val="single" w:sz="4" w:space="0" w:color="auto"/>
              <w:bottom w:val="single" w:sz="8" w:space="0" w:color="000000"/>
              <w:right w:val="single" w:sz="4"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single" w:sz="4" w:space="0" w:color="auto"/>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Lymphocytosis</w:t>
            </w:r>
          </w:p>
        </w:tc>
        <w:tc>
          <w:tcPr>
            <w:tcW w:w="1285"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nil"/>
              <w:right w:val="nil"/>
            </w:tcBorders>
            <w:shd w:val="clear" w:color="000000" w:fill="FFEB9C"/>
            <w:vAlign w:val="center"/>
            <w:hideMark/>
          </w:tcPr>
          <w:p w:rsidR="00FA1642" w:rsidRPr="00FA1642" w:rsidRDefault="00FA1642" w:rsidP="00FA1642">
            <w:pPr>
              <w:spacing w:after="0" w:line="240" w:lineRule="auto"/>
              <w:jc w:val="center"/>
              <w:rPr>
                <w:rFonts w:ascii="Calibri" w:eastAsia="Times New Roman" w:hAnsi="Calibri" w:cs="Calibri"/>
                <w:color w:val="9C5700"/>
                <w:sz w:val="16"/>
                <w:szCs w:val="20"/>
                <w:lang w:eastAsia="en-AU"/>
              </w:rPr>
            </w:pPr>
            <w:r w:rsidRPr="00FA1642">
              <w:rPr>
                <w:rFonts w:ascii="Calibri" w:eastAsia="Times New Roman" w:hAnsi="Calibri" w:cs="Calibri"/>
                <w:color w:val="9C5700"/>
                <w:sz w:val="16"/>
                <w:szCs w:val="20"/>
                <w:lang w:eastAsia="en-AU"/>
              </w:rPr>
              <w:t>Lymphocytes – abnormal</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nil"/>
            </w:tcBorders>
            <w:shd w:val="clear" w:color="000000" w:fill="FFE699"/>
            <w:vAlign w:val="center"/>
            <w:hideMark/>
          </w:tcPr>
          <w:p w:rsidR="00FA1642" w:rsidRPr="00FA1642" w:rsidRDefault="00FA1642" w:rsidP="00FA1642">
            <w:pPr>
              <w:spacing w:after="0" w:line="240" w:lineRule="auto"/>
              <w:jc w:val="center"/>
              <w:rPr>
                <w:rFonts w:ascii="Calibri" w:eastAsia="Times New Roman" w:hAnsi="Calibri" w:cs="Calibri"/>
                <w:color w:val="BF8F00"/>
                <w:sz w:val="16"/>
                <w:szCs w:val="20"/>
                <w:lang w:eastAsia="en-AU"/>
              </w:rPr>
            </w:pPr>
            <w:r w:rsidRPr="00FA1642">
              <w:rPr>
                <w:rFonts w:ascii="Calibri" w:eastAsia="Times New Roman" w:hAnsi="Calibri" w:cs="Calibri"/>
                <w:color w:val="BF8F00"/>
                <w:sz w:val="16"/>
                <w:szCs w:val="20"/>
                <w:lang w:eastAsia="en-AU"/>
              </w:rPr>
              <w:t>Smear / smudge cells</w:t>
            </w:r>
          </w:p>
        </w:tc>
        <w:tc>
          <w:tcPr>
            <w:tcW w:w="1617" w:type="dxa"/>
            <w:tcBorders>
              <w:top w:val="nil"/>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nil"/>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r w:rsidR="00FA1642" w:rsidRPr="00FA1642" w:rsidTr="00FA1642">
        <w:trPr>
          <w:trHeight w:val="505"/>
        </w:trPr>
        <w:tc>
          <w:tcPr>
            <w:tcW w:w="710" w:type="dxa"/>
            <w:vMerge/>
            <w:tcBorders>
              <w:top w:val="nil"/>
              <w:left w:val="single" w:sz="4" w:space="0" w:color="auto"/>
              <w:bottom w:val="single" w:sz="8" w:space="0" w:color="000000"/>
              <w:right w:val="single" w:sz="4"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single" w:sz="4" w:space="0" w:color="auto"/>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5"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000000" w:fill="FFE699"/>
            <w:vAlign w:val="center"/>
            <w:hideMark/>
          </w:tcPr>
          <w:p w:rsidR="00FA1642" w:rsidRPr="00FA1642" w:rsidRDefault="00FA1642" w:rsidP="00FA1642">
            <w:pPr>
              <w:spacing w:after="0" w:line="240" w:lineRule="auto"/>
              <w:jc w:val="center"/>
              <w:rPr>
                <w:rFonts w:ascii="Calibri" w:eastAsia="Times New Roman" w:hAnsi="Calibri" w:cs="Calibri"/>
                <w:color w:val="BF8F00"/>
                <w:sz w:val="16"/>
                <w:szCs w:val="20"/>
                <w:lang w:eastAsia="en-AU"/>
              </w:rPr>
            </w:pPr>
            <w:r w:rsidRPr="00FA1642">
              <w:rPr>
                <w:rFonts w:ascii="Calibri" w:eastAsia="Times New Roman" w:hAnsi="Calibri" w:cs="Calibri"/>
                <w:color w:val="BF8F00"/>
                <w:sz w:val="16"/>
                <w:szCs w:val="20"/>
                <w:lang w:eastAsia="en-AU"/>
              </w:rPr>
              <w:t>Lymphocytes - reactive</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r w:rsidR="00FA1642" w:rsidRPr="00FA1642" w:rsidTr="00FA1642">
        <w:trPr>
          <w:trHeight w:val="1057"/>
        </w:trPr>
        <w:tc>
          <w:tcPr>
            <w:tcW w:w="710" w:type="dxa"/>
            <w:vMerge w:val="restart"/>
            <w:tcBorders>
              <w:top w:val="nil"/>
              <w:left w:val="single" w:sz="4" w:space="0" w:color="auto"/>
              <w:bottom w:val="single" w:sz="8" w:space="0" w:color="000000"/>
              <w:right w:val="single" w:sz="4" w:space="0" w:color="auto"/>
            </w:tcBorders>
            <w:shd w:val="clear" w:color="000000" w:fill="D6DCE4"/>
            <w:textDirection w:val="tbRl"/>
            <w:vAlign w:val="center"/>
            <w:hideMark/>
          </w:tcPr>
          <w:p w:rsidR="00FA1642" w:rsidRPr="00FA1642" w:rsidRDefault="00FA1642" w:rsidP="00FA1642">
            <w:pPr>
              <w:spacing w:after="0" w:line="240" w:lineRule="auto"/>
              <w:jc w:val="center"/>
              <w:rPr>
                <w:rFonts w:ascii="Calibri" w:eastAsia="Times New Roman" w:hAnsi="Calibri" w:cs="Calibri"/>
                <w:color w:val="000000"/>
                <w:sz w:val="16"/>
                <w:lang w:eastAsia="en-AU"/>
              </w:rPr>
            </w:pPr>
            <w:r w:rsidRPr="00FA1642">
              <w:rPr>
                <w:rFonts w:ascii="Calibri" w:eastAsia="Times New Roman" w:hAnsi="Calibri" w:cs="Calibri"/>
                <w:color w:val="000000"/>
                <w:sz w:val="16"/>
                <w:lang w:eastAsia="en-AU"/>
              </w:rPr>
              <w:t>Platelet Features</w:t>
            </w:r>
          </w:p>
        </w:tc>
        <w:tc>
          <w:tcPr>
            <w:tcW w:w="1332" w:type="dxa"/>
            <w:tcBorders>
              <w:top w:val="single" w:sz="4" w:space="0" w:color="auto"/>
              <w:left w:val="single" w:sz="4" w:space="0" w:color="auto"/>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8"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285"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Giant platelets / significant numbers of large platelets. *ICSH definition</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282"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c>
          <w:tcPr>
            <w:tcW w:w="1617" w:type="dxa"/>
            <w:tcBorders>
              <w:top w:val="single" w:sz="4" w:space="0" w:color="auto"/>
              <w:left w:val="nil"/>
              <w:bottom w:val="nil"/>
              <w:right w:val="single" w:sz="4" w:space="0" w:color="auto"/>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No significant morphological platelet abnormality</w:t>
            </w:r>
          </w:p>
        </w:tc>
      </w:tr>
      <w:tr w:rsidR="00FA1642" w:rsidRPr="00FA1642" w:rsidTr="00FA1642">
        <w:trPr>
          <w:trHeight w:val="123"/>
        </w:trPr>
        <w:tc>
          <w:tcPr>
            <w:tcW w:w="710" w:type="dxa"/>
            <w:vMerge/>
            <w:tcBorders>
              <w:top w:val="nil"/>
              <w:left w:val="single" w:sz="4" w:space="0" w:color="auto"/>
              <w:bottom w:val="single" w:sz="8" w:space="0" w:color="000000"/>
              <w:right w:val="single" w:sz="4" w:space="0" w:color="auto"/>
            </w:tcBorders>
            <w:vAlign w:val="center"/>
            <w:hideMark/>
          </w:tcPr>
          <w:p w:rsidR="00FA1642" w:rsidRPr="00FA1642" w:rsidRDefault="00FA1642" w:rsidP="00FA1642">
            <w:pPr>
              <w:spacing w:after="0" w:line="240" w:lineRule="auto"/>
              <w:rPr>
                <w:rFonts w:ascii="Calibri" w:eastAsia="Times New Roman" w:hAnsi="Calibri" w:cs="Calibri"/>
                <w:color w:val="000000"/>
                <w:sz w:val="16"/>
                <w:lang w:eastAsia="en-AU"/>
              </w:rPr>
            </w:pPr>
          </w:p>
        </w:tc>
        <w:tc>
          <w:tcPr>
            <w:tcW w:w="1332" w:type="dxa"/>
            <w:tcBorders>
              <w:top w:val="nil"/>
              <w:left w:val="single" w:sz="4" w:space="0" w:color="auto"/>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5"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r w:rsidR="00FA1642" w:rsidRPr="00FA1642" w:rsidTr="00FA1642">
        <w:trPr>
          <w:trHeight w:val="1532"/>
        </w:trPr>
        <w:tc>
          <w:tcPr>
            <w:tcW w:w="710" w:type="dxa"/>
            <w:vMerge w:val="restart"/>
            <w:tcBorders>
              <w:top w:val="single" w:sz="8" w:space="0" w:color="auto"/>
              <w:left w:val="single" w:sz="4" w:space="0" w:color="auto"/>
              <w:bottom w:val="nil"/>
              <w:right w:val="single" w:sz="4" w:space="0" w:color="auto"/>
            </w:tcBorders>
            <w:shd w:val="clear" w:color="000000" w:fill="C6EFCE"/>
            <w:textDirection w:val="tbRl"/>
            <w:vAlign w:val="center"/>
            <w:hideMark/>
          </w:tcPr>
          <w:p w:rsidR="00FA1642" w:rsidRPr="00FA1642" w:rsidRDefault="00FA1642" w:rsidP="00FA1642">
            <w:pPr>
              <w:spacing w:after="0" w:line="240" w:lineRule="auto"/>
              <w:jc w:val="center"/>
              <w:rPr>
                <w:rFonts w:ascii="Calibri" w:eastAsia="Times New Roman" w:hAnsi="Calibri" w:cs="Calibri"/>
                <w:color w:val="006100"/>
                <w:sz w:val="16"/>
                <w:lang w:eastAsia="en-AU"/>
              </w:rPr>
            </w:pPr>
            <w:r w:rsidRPr="00FA1642">
              <w:rPr>
                <w:rFonts w:ascii="Calibri" w:eastAsia="Times New Roman" w:hAnsi="Calibri" w:cs="Calibri"/>
                <w:color w:val="006100"/>
                <w:sz w:val="16"/>
                <w:lang w:eastAsia="en-AU"/>
              </w:rPr>
              <w:t xml:space="preserve">Primary Diagnosis </w:t>
            </w:r>
          </w:p>
        </w:tc>
        <w:tc>
          <w:tcPr>
            <w:tcW w:w="1332" w:type="dxa"/>
            <w:tcBorders>
              <w:top w:val="single" w:sz="4" w:space="0" w:color="auto"/>
              <w:left w:val="single" w:sz="4" w:space="0" w:color="auto"/>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618"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285"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 Chronic lymphoproliferative disorder of NK cells (CLPD-NKs)</w:t>
            </w:r>
          </w:p>
        </w:tc>
        <w:tc>
          <w:tcPr>
            <w:tcW w:w="1282" w:type="dxa"/>
            <w:tcBorders>
              <w:top w:val="single" w:sz="4" w:space="0" w:color="auto"/>
              <w:left w:val="nil"/>
              <w:bottom w:val="nil"/>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Chronic lymphocytic leukaemia - large cell transformation</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617" w:type="dxa"/>
            <w:tcBorders>
              <w:top w:val="single" w:sz="4" w:space="0" w:color="auto"/>
              <w:left w:val="nil"/>
              <w:bottom w:val="nil"/>
              <w:right w:val="nil"/>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c>
          <w:tcPr>
            <w:tcW w:w="1617" w:type="dxa"/>
            <w:tcBorders>
              <w:top w:val="single" w:sz="4" w:space="0" w:color="auto"/>
              <w:left w:val="nil"/>
              <w:bottom w:val="nil"/>
              <w:right w:val="single" w:sz="4" w:space="0" w:color="auto"/>
            </w:tcBorders>
            <w:shd w:val="clear" w:color="000000" w:fill="C6EFCE"/>
            <w:vAlign w:val="center"/>
            <w:hideMark/>
          </w:tcPr>
          <w:p w:rsidR="00FA1642" w:rsidRPr="00FA1642" w:rsidRDefault="00FA1642" w:rsidP="00FA1642">
            <w:pPr>
              <w:spacing w:after="0" w:line="240" w:lineRule="auto"/>
              <w:jc w:val="center"/>
              <w:rPr>
                <w:rFonts w:ascii="Calibri" w:eastAsia="Times New Roman" w:hAnsi="Calibri" w:cs="Calibri"/>
                <w:color w:val="006100"/>
                <w:sz w:val="16"/>
                <w:szCs w:val="20"/>
                <w:lang w:eastAsia="en-AU"/>
              </w:rPr>
            </w:pPr>
            <w:r w:rsidRPr="00FA1642">
              <w:rPr>
                <w:rFonts w:ascii="Calibri" w:eastAsia="Times New Roman" w:hAnsi="Calibri" w:cs="Calibri"/>
                <w:color w:val="006100"/>
                <w:sz w:val="16"/>
                <w:szCs w:val="20"/>
                <w:lang w:eastAsia="en-AU"/>
              </w:rPr>
              <w:t>T-LGL leukaemia/T-LGL LPD/Chronic lymphoproliferative disorder of NK cells</w:t>
            </w:r>
            <w:r w:rsidRPr="00FA1642">
              <w:rPr>
                <w:rFonts w:ascii="Calibri" w:eastAsia="Times New Roman" w:hAnsi="Calibri" w:cs="Calibri"/>
                <w:color w:val="006100"/>
                <w:sz w:val="16"/>
                <w:szCs w:val="20"/>
                <w:lang w:eastAsia="en-AU"/>
              </w:rPr>
              <w:br/>
              <w:t>(CLPD-NKs)</w:t>
            </w:r>
          </w:p>
        </w:tc>
      </w:tr>
      <w:tr w:rsidR="00FA1642" w:rsidRPr="00FA1642" w:rsidTr="00FA1642">
        <w:trPr>
          <w:trHeight w:val="689"/>
        </w:trPr>
        <w:tc>
          <w:tcPr>
            <w:tcW w:w="710" w:type="dxa"/>
            <w:vMerge/>
            <w:tcBorders>
              <w:top w:val="single" w:sz="8" w:space="0" w:color="auto"/>
              <w:left w:val="single" w:sz="4" w:space="0" w:color="auto"/>
              <w:bottom w:val="single" w:sz="4" w:space="0" w:color="auto"/>
              <w:right w:val="single" w:sz="4" w:space="0" w:color="auto"/>
            </w:tcBorders>
            <w:vAlign w:val="center"/>
            <w:hideMark/>
          </w:tcPr>
          <w:p w:rsidR="00FA1642" w:rsidRPr="00FA1642" w:rsidRDefault="00FA1642" w:rsidP="00FA1642">
            <w:pPr>
              <w:spacing w:after="0" w:line="240" w:lineRule="auto"/>
              <w:rPr>
                <w:rFonts w:ascii="Calibri" w:eastAsia="Times New Roman" w:hAnsi="Calibri" w:cs="Calibri"/>
                <w:color w:val="006100"/>
                <w:sz w:val="16"/>
                <w:lang w:eastAsia="en-AU"/>
              </w:rPr>
            </w:pPr>
          </w:p>
        </w:tc>
        <w:tc>
          <w:tcPr>
            <w:tcW w:w="1332" w:type="dxa"/>
            <w:tcBorders>
              <w:top w:val="nil"/>
              <w:left w:val="single" w:sz="4" w:space="0" w:color="auto"/>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8"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5"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Mononucleosis syndrome / infectious mononucleosis</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282"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nil"/>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c>
          <w:tcPr>
            <w:tcW w:w="1617" w:type="dxa"/>
            <w:tcBorders>
              <w:top w:val="nil"/>
              <w:left w:val="nil"/>
              <w:bottom w:val="single" w:sz="4" w:space="0" w:color="auto"/>
              <w:right w:val="single" w:sz="4" w:space="0" w:color="auto"/>
            </w:tcBorders>
            <w:shd w:val="clear" w:color="auto" w:fill="auto"/>
            <w:vAlign w:val="center"/>
            <w:hideMark/>
          </w:tcPr>
          <w:p w:rsidR="00FA1642" w:rsidRPr="00FA1642" w:rsidRDefault="00FA1642" w:rsidP="00FA1642">
            <w:pPr>
              <w:spacing w:after="0" w:line="240" w:lineRule="auto"/>
              <w:jc w:val="center"/>
              <w:rPr>
                <w:rFonts w:ascii="Calibri" w:eastAsia="Times New Roman" w:hAnsi="Calibri" w:cs="Calibri"/>
                <w:color w:val="000000"/>
                <w:sz w:val="16"/>
                <w:szCs w:val="20"/>
                <w:lang w:eastAsia="en-AU"/>
              </w:rPr>
            </w:pPr>
            <w:r w:rsidRPr="00FA1642">
              <w:rPr>
                <w:rFonts w:ascii="Calibri" w:eastAsia="Times New Roman" w:hAnsi="Calibri" w:cs="Calibri"/>
                <w:color w:val="000000"/>
                <w:sz w:val="16"/>
                <w:szCs w:val="20"/>
                <w:lang w:eastAsia="en-AU"/>
              </w:rPr>
              <w:t xml:space="preserve"> </w:t>
            </w:r>
          </w:p>
        </w:tc>
      </w:tr>
    </w:tbl>
    <w:p w:rsidR="00FD4781" w:rsidRDefault="00FD4781"/>
    <w:tbl>
      <w:tblPr>
        <w:tblW w:w="5760" w:type="dxa"/>
        <w:tblLook w:val="04A0" w:firstRow="1" w:lastRow="0" w:firstColumn="1" w:lastColumn="0" w:noHBand="0" w:noVBand="1"/>
      </w:tblPr>
      <w:tblGrid>
        <w:gridCol w:w="1440"/>
        <w:gridCol w:w="1440"/>
        <w:gridCol w:w="1440"/>
        <w:gridCol w:w="1440"/>
      </w:tblGrid>
      <w:tr w:rsidR="00E0072D" w:rsidRPr="00E0072D" w:rsidTr="00E0072D">
        <w:trPr>
          <w:trHeight w:val="915"/>
        </w:trPr>
        <w:tc>
          <w:tcPr>
            <w:tcW w:w="144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E0072D" w:rsidRPr="00E0072D" w:rsidRDefault="00E0072D" w:rsidP="00E0072D">
            <w:pPr>
              <w:spacing w:after="0" w:line="240" w:lineRule="auto"/>
              <w:jc w:val="center"/>
              <w:rPr>
                <w:rFonts w:ascii="Calibri" w:eastAsia="Times New Roman" w:hAnsi="Calibri" w:cs="Calibri"/>
                <w:color w:val="006100"/>
                <w:lang w:eastAsia="en-AU"/>
              </w:rPr>
            </w:pPr>
            <w:r w:rsidRPr="00E0072D">
              <w:rPr>
                <w:rFonts w:ascii="Calibri" w:eastAsia="Times New Roman" w:hAnsi="Calibri" w:cs="Calibri"/>
                <w:color w:val="006100"/>
                <w:lang w:eastAsia="en-AU"/>
              </w:rPr>
              <w:t>High scoring response</w:t>
            </w:r>
          </w:p>
        </w:tc>
        <w:tc>
          <w:tcPr>
            <w:tcW w:w="1440" w:type="dxa"/>
            <w:tcBorders>
              <w:top w:val="single" w:sz="8" w:space="0" w:color="auto"/>
              <w:left w:val="single" w:sz="8" w:space="0" w:color="auto"/>
              <w:bottom w:val="single" w:sz="8" w:space="0" w:color="auto"/>
              <w:right w:val="single" w:sz="8" w:space="0" w:color="auto"/>
            </w:tcBorders>
            <w:shd w:val="clear" w:color="000000" w:fill="FFEB9C"/>
            <w:vAlign w:val="center"/>
            <w:hideMark/>
          </w:tcPr>
          <w:p w:rsidR="00E0072D" w:rsidRPr="00E0072D" w:rsidRDefault="00E0072D" w:rsidP="00E0072D">
            <w:pPr>
              <w:spacing w:after="0" w:line="240" w:lineRule="auto"/>
              <w:jc w:val="center"/>
              <w:rPr>
                <w:rFonts w:ascii="Calibri" w:eastAsia="Times New Roman" w:hAnsi="Calibri" w:cs="Calibri"/>
                <w:color w:val="9C5700"/>
                <w:lang w:eastAsia="en-AU"/>
              </w:rPr>
            </w:pPr>
            <w:r w:rsidRPr="00E0072D">
              <w:rPr>
                <w:rFonts w:ascii="Calibri" w:eastAsia="Times New Roman" w:hAnsi="Calibri" w:cs="Calibri"/>
                <w:color w:val="9C5700"/>
                <w:lang w:eastAsia="en-AU"/>
              </w:rPr>
              <w:t>Moderate scoring response</w:t>
            </w:r>
          </w:p>
        </w:tc>
        <w:tc>
          <w:tcPr>
            <w:tcW w:w="1440" w:type="dxa"/>
            <w:tcBorders>
              <w:top w:val="single" w:sz="8" w:space="0" w:color="auto"/>
              <w:left w:val="nil"/>
              <w:bottom w:val="single" w:sz="8" w:space="0" w:color="auto"/>
              <w:right w:val="single" w:sz="8" w:space="0" w:color="auto"/>
            </w:tcBorders>
            <w:shd w:val="clear" w:color="000000" w:fill="FFF2CC"/>
            <w:vAlign w:val="center"/>
            <w:hideMark/>
          </w:tcPr>
          <w:p w:rsidR="00E0072D" w:rsidRPr="00E0072D" w:rsidRDefault="00E0072D" w:rsidP="00E0072D">
            <w:pPr>
              <w:spacing w:after="0" w:line="240" w:lineRule="auto"/>
              <w:jc w:val="center"/>
              <w:rPr>
                <w:rFonts w:ascii="Calibri" w:eastAsia="Times New Roman" w:hAnsi="Calibri" w:cs="Calibri"/>
                <w:color w:val="BF8F00"/>
                <w:lang w:eastAsia="en-AU"/>
              </w:rPr>
            </w:pPr>
            <w:r w:rsidRPr="00E0072D">
              <w:rPr>
                <w:rFonts w:ascii="Calibri" w:eastAsia="Times New Roman" w:hAnsi="Calibri" w:cs="Calibri"/>
                <w:color w:val="BF8F00"/>
                <w:lang w:eastAsia="en-AU"/>
              </w:rPr>
              <w:t xml:space="preserve">Low scoring response </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072D" w:rsidRPr="00E0072D" w:rsidRDefault="00E0072D" w:rsidP="00E0072D">
            <w:pPr>
              <w:spacing w:after="0" w:line="240" w:lineRule="auto"/>
              <w:jc w:val="center"/>
              <w:rPr>
                <w:rFonts w:ascii="Calibri" w:eastAsia="Times New Roman" w:hAnsi="Calibri" w:cs="Calibri"/>
                <w:color w:val="000000"/>
                <w:lang w:eastAsia="en-AU"/>
              </w:rPr>
            </w:pPr>
            <w:r w:rsidRPr="00E0072D">
              <w:rPr>
                <w:rFonts w:ascii="Calibri" w:eastAsia="Times New Roman" w:hAnsi="Calibri" w:cs="Calibri"/>
                <w:color w:val="000000"/>
                <w:lang w:eastAsia="en-AU"/>
              </w:rPr>
              <w:t xml:space="preserve">Response given no score </w:t>
            </w:r>
          </w:p>
        </w:tc>
        <w:bookmarkStart w:id="0" w:name="_GoBack"/>
        <w:bookmarkEnd w:id="0"/>
      </w:tr>
    </w:tbl>
    <w:p w:rsidR="00171E9A" w:rsidRDefault="00171E9A" w:rsidP="00171E9A">
      <w:pPr>
        <w:spacing w:after="0" w:line="240" w:lineRule="auto"/>
        <w:rPr>
          <w:rFonts w:ascii="Calibri" w:eastAsia="Times New Roman" w:hAnsi="Calibri" w:cs="Calibri"/>
          <w:b/>
          <w:bCs/>
          <w:color w:val="000000"/>
          <w:sz w:val="16"/>
          <w:szCs w:val="16"/>
          <w:lang w:eastAsia="en-AU"/>
        </w:rPr>
        <w:sectPr w:rsidR="00171E9A" w:rsidSect="00E13D2A">
          <w:pgSz w:w="16838" w:h="11906" w:orient="landscape"/>
          <w:pgMar w:top="720" w:right="720" w:bottom="720" w:left="720" w:header="708" w:footer="708" w:gutter="0"/>
          <w:cols w:space="708"/>
          <w:docGrid w:linePitch="360"/>
        </w:sectPr>
      </w:pPr>
    </w:p>
    <w:tbl>
      <w:tblPr>
        <w:tblpPr w:leftFromText="180" w:rightFromText="180" w:vertAnchor="text" w:tblpY="1"/>
        <w:tblOverlap w:val="never"/>
        <w:tblW w:w="4320" w:type="dxa"/>
        <w:tblLook w:val="04A0" w:firstRow="1" w:lastRow="0" w:firstColumn="1" w:lastColumn="0" w:noHBand="0" w:noVBand="1"/>
      </w:tblPr>
      <w:tblGrid>
        <w:gridCol w:w="1440"/>
        <w:gridCol w:w="1440"/>
        <w:gridCol w:w="1440"/>
      </w:tblGrid>
      <w:tr w:rsidR="00FA1642" w:rsidRPr="00FA1642" w:rsidTr="00171E9A">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6"/>
                <w:szCs w:val="16"/>
                <w:lang w:eastAsia="en-AU"/>
              </w:rPr>
            </w:pPr>
            <w:r w:rsidRPr="00FA1642">
              <w:rPr>
                <w:rFonts w:ascii="Calibri" w:eastAsia="Times New Roman" w:hAnsi="Calibri" w:cs="Calibri"/>
                <w:b/>
                <w:bCs/>
                <w:color w:val="000000"/>
                <w:sz w:val="16"/>
                <w:szCs w:val="16"/>
                <w:lang w:eastAsia="en-AU"/>
              </w:rPr>
              <w:t>CLOSED 06/04/2021</w:t>
            </w:r>
          </w:p>
        </w:tc>
        <w:tc>
          <w:tcPr>
            <w:tcW w:w="1440" w:type="dxa"/>
            <w:tcBorders>
              <w:top w:val="single" w:sz="8" w:space="0" w:color="auto"/>
              <w:left w:val="nil"/>
              <w:bottom w:val="single" w:sz="8" w:space="0" w:color="auto"/>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 xml:space="preserve">Submissions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Total</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171E9A" w:rsidP="00171E9A">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    </w:t>
            </w:r>
            <w:r w:rsidR="00FA1642" w:rsidRPr="00FA1642">
              <w:rPr>
                <w:rFonts w:ascii="Calibri" w:eastAsia="Times New Roman" w:hAnsi="Calibri" w:cs="Calibri"/>
                <w:b/>
                <w:bCs/>
                <w:color w:val="000000"/>
                <w:sz w:val="18"/>
                <w:szCs w:val="18"/>
                <w:lang w:eastAsia="en-AU"/>
              </w:rPr>
              <w:t>All Staff</w:t>
            </w:r>
          </w:p>
        </w:tc>
        <w:tc>
          <w:tcPr>
            <w:tcW w:w="1440" w:type="dxa"/>
            <w:tcBorders>
              <w:top w:val="nil"/>
              <w:left w:val="nil"/>
              <w:bottom w:val="nil"/>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21</w:t>
            </w:r>
          </w:p>
        </w:tc>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171E9A" w:rsidP="00171E9A">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48</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c>
          <w:tcPr>
            <w:tcW w:w="1440" w:type="dxa"/>
            <w:tcBorders>
              <w:top w:val="nil"/>
              <w:left w:val="nil"/>
              <w:bottom w:val="nil"/>
              <w:right w:val="nil"/>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c>
          <w:tcPr>
            <w:tcW w:w="1440" w:type="dxa"/>
            <w:tcBorders>
              <w:top w:val="nil"/>
              <w:left w:val="nil"/>
              <w:bottom w:val="nil"/>
              <w:right w:val="nil"/>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c>
          <w:tcPr>
            <w:tcW w:w="1440" w:type="dxa"/>
            <w:tcBorders>
              <w:top w:val="nil"/>
              <w:left w:val="nil"/>
              <w:bottom w:val="nil"/>
              <w:right w:val="nil"/>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 xml:space="preserve">Morph Trained </w:t>
            </w:r>
          </w:p>
        </w:tc>
        <w:tc>
          <w:tcPr>
            <w:tcW w:w="1440" w:type="dxa"/>
            <w:tcBorders>
              <w:top w:val="nil"/>
              <w:left w:val="nil"/>
              <w:bottom w:val="nil"/>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13</w:t>
            </w: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2</w:t>
            </w:r>
            <w:r>
              <w:rPr>
                <w:rFonts w:ascii="Calibri" w:eastAsia="Times New Roman" w:hAnsi="Calibri" w:cs="Calibri"/>
                <w:color w:val="000000"/>
                <w:lang w:eastAsia="en-AU"/>
              </w:rPr>
              <w:t>2</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 xml:space="preserve">Incomplete </w:t>
            </w:r>
          </w:p>
        </w:tc>
        <w:tc>
          <w:tcPr>
            <w:tcW w:w="1440" w:type="dxa"/>
            <w:tcBorders>
              <w:top w:val="nil"/>
              <w:left w:val="nil"/>
              <w:bottom w:val="nil"/>
              <w:right w:val="nil"/>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1</w:t>
            </w: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 </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Routine</w:t>
            </w:r>
          </w:p>
        </w:tc>
        <w:tc>
          <w:tcPr>
            <w:tcW w:w="1440" w:type="dxa"/>
            <w:tcBorders>
              <w:top w:val="nil"/>
              <w:left w:val="nil"/>
              <w:bottom w:val="nil"/>
              <w:right w:val="nil"/>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3</w:t>
            </w:r>
          </w:p>
        </w:tc>
        <w:tc>
          <w:tcPr>
            <w:tcW w:w="1440" w:type="dxa"/>
            <w:tcBorders>
              <w:top w:val="nil"/>
              <w:left w:val="single" w:sz="8" w:space="0" w:color="auto"/>
              <w:bottom w:val="nil"/>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color w:val="000000"/>
                <w:lang w:eastAsia="en-AU"/>
              </w:rPr>
            </w:pPr>
            <w:r w:rsidRPr="00FA1642">
              <w:rPr>
                <w:rFonts w:ascii="Calibri" w:eastAsia="Times New Roman" w:hAnsi="Calibri" w:cs="Calibri"/>
                <w:color w:val="000000"/>
                <w:lang w:eastAsia="en-AU"/>
              </w:rPr>
              <w:t>12</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 xml:space="preserve">SANDY </w:t>
            </w:r>
          </w:p>
        </w:tc>
        <w:tc>
          <w:tcPr>
            <w:tcW w:w="1440" w:type="dxa"/>
            <w:tcBorders>
              <w:top w:val="nil"/>
              <w:left w:val="nil"/>
              <w:bottom w:val="nil"/>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2</w:t>
            </w:r>
          </w:p>
        </w:tc>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3</w:t>
            </w:r>
          </w:p>
        </w:tc>
      </w:tr>
      <w:tr w:rsidR="00FA1642" w:rsidRPr="00FA1642" w:rsidTr="00171E9A">
        <w:trPr>
          <w:trHeight w:val="300"/>
        </w:trPr>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CORE</w:t>
            </w:r>
          </w:p>
        </w:tc>
        <w:tc>
          <w:tcPr>
            <w:tcW w:w="1440" w:type="dxa"/>
            <w:tcBorders>
              <w:top w:val="nil"/>
              <w:left w:val="nil"/>
              <w:bottom w:val="nil"/>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2</w:t>
            </w:r>
          </w:p>
        </w:tc>
        <w:tc>
          <w:tcPr>
            <w:tcW w:w="1440" w:type="dxa"/>
            <w:tcBorders>
              <w:top w:val="nil"/>
              <w:left w:val="single" w:sz="8" w:space="0" w:color="auto"/>
              <w:bottom w:val="nil"/>
              <w:right w:val="single" w:sz="8" w:space="0" w:color="auto"/>
            </w:tcBorders>
            <w:shd w:val="clear" w:color="auto" w:fill="auto"/>
            <w:noWrap/>
            <w:vAlign w:val="bottom"/>
            <w:hideMark/>
          </w:tcPr>
          <w:p w:rsidR="00FA1642" w:rsidRPr="00FA1642" w:rsidRDefault="00171E9A" w:rsidP="00171E9A">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8</w:t>
            </w:r>
          </w:p>
        </w:tc>
      </w:tr>
      <w:tr w:rsidR="00FA1642" w:rsidRPr="00FA1642" w:rsidTr="00171E9A">
        <w:trPr>
          <w:trHeight w:val="315"/>
        </w:trPr>
        <w:tc>
          <w:tcPr>
            <w:tcW w:w="1440" w:type="dxa"/>
            <w:tcBorders>
              <w:top w:val="nil"/>
              <w:left w:val="single" w:sz="8" w:space="0" w:color="auto"/>
              <w:bottom w:val="single" w:sz="8" w:space="0" w:color="auto"/>
              <w:right w:val="single" w:sz="8" w:space="0" w:color="auto"/>
            </w:tcBorders>
            <w:shd w:val="clear" w:color="auto" w:fill="auto"/>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Flow</w:t>
            </w:r>
          </w:p>
        </w:tc>
        <w:tc>
          <w:tcPr>
            <w:tcW w:w="1440" w:type="dxa"/>
            <w:tcBorders>
              <w:top w:val="nil"/>
              <w:left w:val="nil"/>
              <w:bottom w:val="single" w:sz="8" w:space="0" w:color="auto"/>
              <w:right w:val="nil"/>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0</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rsidR="00FA1642" w:rsidRPr="00FA1642" w:rsidRDefault="00FA1642" w:rsidP="00171E9A">
            <w:pPr>
              <w:spacing w:after="0" w:line="240" w:lineRule="auto"/>
              <w:jc w:val="center"/>
              <w:rPr>
                <w:rFonts w:ascii="Calibri" w:eastAsia="Times New Roman" w:hAnsi="Calibri" w:cs="Calibri"/>
                <w:b/>
                <w:bCs/>
                <w:color w:val="000000"/>
                <w:sz w:val="18"/>
                <w:szCs w:val="18"/>
                <w:lang w:eastAsia="en-AU"/>
              </w:rPr>
            </w:pPr>
            <w:r w:rsidRPr="00FA1642">
              <w:rPr>
                <w:rFonts w:ascii="Calibri" w:eastAsia="Times New Roman" w:hAnsi="Calibri" w:cs="Calibri"/>
                <w:b/>
                <w:bCs/>
                <w:color w:val="000000"/>
                <w:sz w:val="18"/>
                <w:szCs w:val="18"/>
                <w:lang w:eastAsia="en-AU"/>
              </w:rPr>
              <w:t>6</w:t>
            </w:r>
          </w:p>
        </w:tc>
      </w:tr>
    </w:tbl>
    <w:p w:rsidR="00171E9A" w:rsidRDefault="00171E9A" w:rsidP="00171E9A">
      <w:pPr>
        <w:ind w:left="1440"/>
        <w:rPr>
          <w:noProof/>
        </w:rPr>
      </w:pPr>
      <w:r>
        <w:rPr>
          <w:noProof/>
        </w:rPr>
        <w:drawing>
          <wp:inline distT="0" distB="0" distL="0" distR="0" wp14:anchorId="5E507476">
            <wp:extent cx="5060315" cy="22498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315" cy="2249805"/>
                    </a:xfrm>
                    <a:prstGeom prst="rect">
                      <a:avLst/>
                    </a:prstGeom>
                    <a:noFill/>
                  </pic:spPr>
                </pic:pic>
              </a:graphicData>
            </a:graphic>
          </wp:inline>
        </w:drawing>
      </w:r>
      <w:r>
        <w:rPr>
          <w:noProof/>
        </w:rPr>
        <w:br w:type="textWrapping" w:clear="all"/>
      </w:r>
    </w:p>
    <w:p w:rsidR="00171E9A" w:rsidRDefault="00171E9A"/>
    <w:p w:rsidR="00171E9A" w:rsidRDefault="00171E9A">
      <w:r>
        <w:rPr>
          <w:noProof/>
        </w:rPr>
        <w:drawing>
          <wp:inline distT="0" distB="0" distL="0" distR="0" wp14:anchorId="1767A254" wp14:editId="7DCB2317">
            <wp:extent cx="9557978" cy="37052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85987" cy="3716083"/>
                    </a:xfrm>
                    <a:prstGeom prst="rect">
                      <a:avLst/>
                    </a:prstGeom>
                  </pic:spPr>
                </pic:pic>
              </a:graphicData>
            </a:graphic>
          </wp:inline>
        </w:drawing>
      </w:r>
    </w:p>
    <w:sectPr w:rsidR="00171E9A" w:rsidSect="00171E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81" w:rsidRDefault="00FD4781" w:rsidP="00FD4781">
      <w:pPr>
        <w:spacing w:after="0" w:line="240" w:lineRule="auto"/>
      </w:pPr>
      <w:r>
        <w:separator/>
      </w:r>
    </w:p>
  </w:endnote>
  <w:endnote w:type="continuationSeparator" w:id="0">
    <w:p w:rsidR="00FD4781" w:rsidRDefault="00FD4781" w:rsidP="00FD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81" w:rsidRDefault="00FD4781" w:rsidP="00FD4781">
      <w:pPr>
        <w:spacing w:after="0" w:line="240" w:lineRule="auto"/>
      </w:pPr>
      <w:r>
        <w:separator/>
      </w:r>
    </w:p>
  </w:footnote>
  <w:footnote w:type="continuationSeparator" w:id="0">
    <w:p w:rsidR="00FD4781" w:rsidRDefault="00FD4781" w:rsidP="00FD4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A6"/>
    <w:rsid w:val="00171E9A"/>
    <w:rsid w:val="00257452"/>
    <w:rsid w:val="00304CF6"/>
    <w:rsid w:val="006912D8"/>
    <w:rsid w:val="007057A6"/>
    <w:rsid w:val="009F46B8"/>
    <w:rsid w:val="00A70739"/>
    <w:rsid w:val="00C12EF8"/>
    <w:rsid w:val="00D74FEB"/>
    <w:rsid w:val="00D820E0"/>
    <w:rsid w:val="00E0072D"/>
    <w:rsid w:val="00E13D2A"/>
    <w:rsid w:val="00FA1642"/>
    <w:rsid w:val="00FD4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1D4880"/>
  <w15:chartTrackingRefBased/>
  <w15:docId w15:val="{FF11B9A3-7E41-462F-A999-80772C15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C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D4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781"/>
  </w:style>
  <w:style w:type="paragraph" w:styleId="Footer">
    <w:name w:val="footer"/>
    <w:basedOn w:val="Normal"/>
    <w:link w:val="FooterChar"/>
    <w:uiPriority w:val="99"/>
    <w:unhideWhenUsed/>
    <w:rsid w:val="00FD4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2099">
      <w:bodyDiv w:val="1"/>
      <w:marLeft w:val="0"/>
      <w:marRight w:val="0"/>
      <w:marTop w:val="0"/>
      <w:marBottom w:val="0"/>
      <w:divBdr>
        <w:top w:val="none" w:sz="0" w:space="0" w:color="auto"/>
        <w:left w:val="none" w:sz="0" w:space="0" w:color="auto"/>
        <w:bottom w:val="none" w:sz="0" w:space="0" w:color="auto"/>
        <w:right w:val="none" w:sz="0" w:space="0" w:color="auto"/>
      </w:divBdr>
    </w:div>
    <w:div w:id="166482354">
      <w:bodyDiv w:val="1"/>
      <w:marLeft w:val="0"/>
      <w:marRight w:val="0"/>
      <w:marTop w:val="0"/>
      <w:marBottom w:val="0"/>
      <w:divBdr>
        <w:top w:val="none" w:sz="0" w:space="0" w:color="auto"/>
        <w:left w:val="none" w:sz="0" w:space="0" w:color="auto"/>
        <w:bottom w:val="none" w:sz="0" w:space="0" w:color="auto"/>
        <w:right w:val="none" w:sz="0" w:space="0" w:color="auto"/>
      </w:divBdr>
    </w:div>
    <w:div w:id="196041286">
      <w:bodyDiv w:val="1"/>
      <w:marLeft w:val="0"/>
      <w:marRight w:val="0"/>
      <w:marTop w:val="0"/>
      <w:marBottom w:val="0"/>
      <w:divBdr>
        <w:top w:val="none" w:sz="0" w:space="0" w:color="auto"/>
        <w:left w:val="none" w:sz="0" w:space="0" w:color="auto"/>
        <w:bottom w:val="none" w:sz="0" w:space="0" w:color="auto"/>
        <w:right w:val="none" w:sz="0" w:space="0" w:color="auto"/>
      </w:divBdr>
    </w:div>
    <w:div w:id="279259922">
      <w:bodyDiv w:val="1"/>
      <w:marLeft w:val="0"/>
      <w:marRight w:val="0"/>
      <w:marTop w:val="0"/>
      <w:marBottom w:val="0"/>
      <w:divBdr>
        <w:top w:val="none" w:sz="0" w:space="0" w:color="auto"/>
        <w:left w:val="none" w:sz="0" w:space="0" w:color="auto"/>
        <w:bottom w:val="none" w:sz="0" w:space="0" w:color="auto"/>
        <w:right w:val="none" w:sz="0" w:space="0" w:color="auto"/>
      </w:divBdr>
    </w:div>
    <w:div w:id="473572480">
      <w:bodyDiv w:val="1"/>
      <w:marLeft w:val="0"/>
      <w:marRight w:val="0"/>
      <w:marTop w:val="0"/>
      <w:marBottom w:val="0"/>
      <w:divBdr>
        <w:top w:val="none" w:sz="0" w:space="0" w:color="auto"/>
        <w:left w:val="none" w:sz="0" w:space="0" w:color="auto"/>
        <w:bottom w:val="none" w:sz="0" w:space="0" w:color="auto"/>
        <w:right w:val="none" w:sz="0" w:space="0" w:color="auto"/>
      </w:divBdr>
    </w:div>
    <w:div w:id="566770141">
      <w:bodyDiv w:val="1"/>
      <w:marLeft w:val="0"/>
      <w:marRight w:val="0"/>
      <w:marTop w:val="0"/>
      <w:marBottom w:val="0"/>
      <w:divBdr>
        <w:top w:val="none" w:sz="0" w:space="0" w:color="auto"/>
        <w:left w:val="none" w:sz="0" w:space="0" w:color="auto"/>
        <w:bottom w:val="none" w:sz="0" w:space="0" w:color="auto"/>
        <w:right w:val="none" w:sz="0" w:space="0" w:color="auto"/>
      </w:divBdr>
    </w:div>
    <w:div w:id="883448183">
      <w:bodyDiv w:val="1"/>
      <w:marLeft w:val="0"/>
      <w:marRight w:val="0"/>
      <w:marTop w:val="0"/>
      <w:marBottom w:val="0"/>
      <w:divBdr>
        <w:top w:val="none" w:sz="0" w:space="0" w:color="auto"/>
        <w:left w:val="none" w:sz="0" w:space="0" w:color="auto"/>
        <w:bottom w:val="none" w:sz="0" w:space="0" w:color="auto"/>
        <w:right w:val="none" w:sz="0" w:space="0" w:color="auto"/>
      </w:divBdr>
    </w:div>
    <w:div w:id="891430938">
      <w:bodyDiv w:val="1"/>
      <w:marLeft w:val="0"/>
      <w:marRight w:val="0"/>
      <w:marTop w:val="0"/>
      <w:marBottom w:val="0"/>
      <w:divBdr>
        <w:top w:val="none" w:sz="0" w:space="0" w:color="auto"/>
        <w:left w:val="none" w:sz="0" w:space="0" w:color="auto"/>
        <w:bottom w:val="none" w:sz="0" w:space="0" w:color="auto"/>
        <w:right w:val="none" w:sz="0" w:space="0" w:color="auto"/>
      </w:divBdr>
    </w:div>
    <w:div w:id="1179923803">
      <w:bodyDiv w:val="1"/>
      <w:marLeft w:val="0"/>
      <w:marRight w:val="0"/>
      <w:marTop w:val="0"/>
      <w:marBottom w:val="0"/>
      <w:divBdr>
        <w:top w:val="none" w:sz="0" w:space="0" w:color="auto"/>
        <w:left w:val="none" w:sz="0" w:space="0" w:color="auto"/>
        <w:bottom w:val="none" w:sz="0" w:space="0" w:color="auto"/>
        <w:right w:val="none" w:sz="0" w:space="0" w:color="auto"/>
      </w:divBdr>
    </w:div>
    <w:div w:id="1346902078">
      <w:bodyDiv w:val="1"/>
      <w:marLeft w:val="0"/>
      <w:marRight w:val="0"/>
      <w:marTop w:val="0"/>
      <w:marBottom w:val="0"/>
      <w:divBdr>
        <w:top w:val="none" w:sz="0" w:space="0" w:color="auto"/>
        <w:left w:val="none" w:sz="0" w:space="0" w:color="auto"/>
        <w:bottom w:val="none" w:sz="0" w:space="0" w:color="auto"/>
        <w:right w:val="none" w:sz="0" w:space="0" w:color="auto"/>
      </w:divBdr>
    </w:div>
    <w:div w:id="1582249497">
      <w:bodyDiv w:val="1"/>
      <w:marLeft w:val="0"/>
      <w:marRight w:val="0"/>
      <w:marTop w:val="0"/>
      <w:marBottom w:val="0"/>
      <w:divBdr>
        <w:top w:val="none" w:sz="0" w:space="0" w:color="auto"/>
        <w:left w:val="none" w:sz="0" w:space="0" w:color="auto"/>
        <w:bottom w:val="none" w:sz="0" w:space="0" w:color="auto"/>
        <w:right w:val="none" w:sz="0" w:space="0" w:color="auto"/>
      </w:divBdr>
    </w:div>
    <w:div w:id="1655714560">
      <w:bodyDiv w:val="1"/>
      <w:marLeft w:val="0"/>
      <w:marRight w:val="0"/>
      <w:marTop w:val="0"/>
      <w:marBottom w:val="0"/>
      <w:divBdr>
        <w:top w:val="none" w:sz="0" w:space="0" w:color="auto"/>
        <w:left w:val="none" w:sz="0" w:space="0" w:color="auto"/>
        <w:bottom w:val="none" w:sz="0" w:space="0" w:color="auto"/>
        <w:right w:val="none" w:sz="0" w:space="0" w:color="auto"/>
      </w:divBdr>
    </w:div>
    <w:div w:id="1769932998">
      <w:bodyDiv w:val="1"/>
      <w:marLeft w:val="0"/>
      <w:marRight w:val="0"/>
      <w:marTop w:val="0"/>
      <w:marBottom w:val="0"/>
      <w:divBdr>
        <w:top w:val="none" w:sz="0" w:space="0" w:color="auto"/>
        <w:left w:val="none" w:sz="0" w:space="0" w:color="auto"/>
        <w:bottom w:val="none" w:sz="0" w:space="0" w:color="auto"/>
        <w:right w:val="none" w:sz="0" w:space="0" w:color="auto"/>
      </w:divBdr>
    </w:div>
    <w:div w:id="1903908748">
      <w:bodyDiv w:val="1"/>
      <w:marLeft w:val="0"/>
      <w:marRight w:val="0"/>
      <w:marTop w:val="0"/>
      <w:marBottom w:val="0"/>
      <w:divBdr>
        <w:top w:val="none" w:sz="0" w:space="0" w:color="auto"/>
        <w:left w:val="none" w:sz="0" w:space="0" w:color="auto"/>
        <w:bottom w:val="none" w:sz="0" w:space="0" w:color="auto"/>
        <w:right w:val="none" w:sz="0" w:space="0" w:color="auto"/>
      </w:divBdr>
    </w:div>
    <w:div w:id="1931545100">
      <w:bodyDiv w:val="1"/>
      <w:marLeft w:val="0"/>
      <w:marRight w:val="0"/>
      <w:marTop w:val="0"/>
      <w:marBottom w:val="0"/>
      <w:divBdr>
        <w:top w:val="none" w:sz="0" w:space="0" w:color="auto"/>
        <w:left w:val="none" w:sz="0" w:space="0" w:color="auto"/>
        <w:bottom w:val="none" w:sz="0" w:space="0" w:color="auto"/>
        <w:right w:val="none" w:sz="0" w:space="0" w:color="auto"/>
      </w:divBdr>
    </w:div>
    <w:div w:id="1932279131">
      <w:bodyDiv w:val="1"/>
      <w:marLeft w:val="0"/>
      <w:marRight w:val="0"/>
      <w:marTop w:val="0"/>
      <w:marBottom w:val="0"/>
      <w:divBdr>
        <w:top w:val="none" w:sz="0" w:space="0" w:color="auto"/>
        <w:left w:val="none" w:sz="0" w:space="0" w:color="auto"/>
        <w:bottom w:val="none" w:sz="0" w:space="0" w:color="auto"/>
        <w:right w:val="none" w:sz="0" w:space="0" w:color="auto"/>
      </w:divBdr>
    </w:div>
    <w:div w:id="21193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60818.1F408E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0187-679A-4366-A1C2-4862E02D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Shackles, Jocelyn</dc:creator>
  <cp:keywords/>
  <dc:description/>
  <cp:lastModifiedBy>Shackles, Jocelyn</cp:lastModifiedBy>
  <cp:revision>3</cp:revision>
  <dcterms:created xsi:type="dcterms:W3CDTF">2021-04-22T00:16:00Z</dcterms:created>
  <dcterms:modified xsi:type="dcterms:W3CDTF">2021-04-22T07:35:00Z</dcterms:modified>
</cp:coreProperties>
</file>