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FEB" w:rsidRPr="00DD2B25" w:rsidRDefault="00DD2B25" w:rsidP="00DD2B25">
      <w:pPr>
        <w:shd w:val="clear" w:color="auto" w:fill="FFFFFF"/>
        <w:spacing w:after="0" w:line="240" w:lineRule="auto"/>
        <w:rPr>
          <w:rFonts w:ascii="Arial" w:eastAsia="Times New Roman" w:hAnsi="Arial" w:cs="Arial"/>
          <w:b/>
          <w:sz w:val="25"/>
          <w:szCs w:val="25"/>
          <w:lang w:eastAsia="en-AU"/>
        </w:rPr>
      </w:pPr>
      <w:r w:rsidRPr="00DD2B25">
        <w:rPr>
          <w:rFonts w:ascii="Arial" w:eastAsia="Times New Roman" w:hAnsi="Arial" w:cs="Arial"/>
          <w:b/>
          <w:sz w:val="25"/>
          <w:szCs w:val="25"/>
          <w:lang w:eastAsia="en-AU"/>
        </w:rPr>
        <w:t>CASE STUDY: HA-MO-21-02</w:t>
      </w:r>
    </w:p>
    <w:p w:rsidR="00DD2B25" w:rsidRPr="00DD2B25" w:rsidRDefault="00DD2B25" w:rsidP="00DD2B25">
      <w:pPr>
        <w:shd w:val="clear" w:color="auto" w:fill="FFFFFF"/>
        <w:spacing w:after="0" w:line="240" w:lineRule="auto"/>
        <w:rPr>
          <w:rFonts w:ascii="Arial" w:eastAsia="Times New Roman" w:hAnsi="Arial" w:cs="Arial"/>
          <w:b/>
          <w:sz w:val="25"/>
          <w:szCs w:val="25"/>
          <w:lang w:eastAsia="en-AU"/>
        </w:rPr>
      </w:pPr>
    </w:p>
    <w:p w:rsidR="00DD2B25" w:rsidRDefault="00DD2B25" w:rsidP="00DD2B25">
      <w:pPr>
        <w:shd w:val="clear" w:color="auto" w:fill="FFFFFF"/>
        <w:spacing w:after="0" w:line="240" w:lineRule="auto"/>
        <w:rPr>
          <w:rFonts w:ascii="Arial" w:eastAsia="Times New Roman" w:hAnsi="Arial" w:cs="Arial"/>
          <w:b/>
          <w:sz w:val="25"/>
          <w:szCs w:val="25"/>
          <w:lang w:eastAsia="en-AU"/>
        </w:rPr>
      </w:pPr>
      <w:r w:rsidRPr="00DD2B25">
        <w:rPr>
          <w:rFonts w:ascii="Arial" w:eastAsia="Times New Roman" w:hAnsi="Arial" w:cs="Arial"/>
          <w:b/>
          <w:sz w:val="25"/>
          <w:szCs w:val="25"/>
          <w:lang w:eastAsia="en-AU"/>
        </w:rPr>
        <w:t>Megaloblastic Anaemia</w:t>
      </w:r>
    </w:p>
    <w:p w:rsidR="00DD2B25" w:rsidRPr="00DD2B25" w:rsidRDefault="00DD2B25" w:rsidP="00DD2B25">
      <w:pPr>
        <w:shd w:val="clear" w:color="auto" w:fill="FFFFFF"/>
        <w:spacing w:after="0" w:line="240" w:lineRule="auto"/>
        <w:rPr>
          <w:rFonts w:ascii="Arial" w:eastAsia="Times New Roman" w:hAnsi="Arial" w:cs="Arial"/>
          <w:b/>
          <w:sz w:val="25"/>
          <w:szCs w:val="25"/>
          <w:lang w:eastAsia="en-AU"/>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462"/>
      </w:tblGrid>
      <w:tr w:rsidR="00DD2B25">
        <w:tblPrEx>
          <w:tblCellMar>
            <w:top w:w="0" w:type="dxa"/>
            <w:bottom w:w="0" w:type="dxa"/>
          </w:tblCellMar>
        </w:tblPrEx>
        <w:trPr>
          <w:trHeight w:val="1125"/>
        </w:trPr>
        <w:tc>
          <w:tcPr>
            <w:tcW w:w="4462" w:type="dxa"/>
          </w:tcPr>
          <w:p w:rsidR="00DD2B25" w:rsidRDefault="00DD2B25">
            <w:pPr>
              <w:pStyle w:val="Default"/>
              <w:rPr>
                <w:sz w:val="21"/>
                <w:szCs w:val="21"/>
              </w:rPr>
            </w:pPr>
            <w:r>
              <w:rPr>
                <w:sz w:val="21"/>
                <w:szCs w:val="21"/>
              </w:rPr>
              <w:t>89</w:t>
            </w:r>
            <w:r>
              <w:rPr>
                <w:sz w:val="21"/>
                <w:szCs w:val="21"/>
              </w:rPr>
              <w:t xml:space="preserve">yo </w:t>
            </w:r>
            <w:r>
              <w:rPr>
                <w:sz w:val="21"/>
                <w:szCs w:val="21"/>
              </w:rPr>
              <w:t>m with palpitations</w:t>
            </w:r>
            <w:r>
              <w:rPr>
                <w:sz w:val="21"/>
                <w:szCs w:val="21"/>
              </w:rPr>
              <w:t xml:space="preserve">, </w:t>
            </w:r>
            <w:r>
              <w:rPr>
                <w:sz w:val="21"/>
                <w:szCs w:val="21"/>
              </w:rPr>
              <w:t xml:space="preserve">shortness of breath. </w:t>
            </w:r>
          </w:p>
          <w:p w:rsidR="00DD2B25" w:rsidRDefault="00DD2B25">
            <w:pPr>
              <w:pStyle w:val="Default"/>
              <w:rPr>
                <w:sz w:val="21"/>
                <w:szCs w:val="21"/>
              </w:rPr>
            </w:pPr>
            <w:r>
              <w:rPr>
                <w:sz w:val="21"/>
                <w:szCs w:val="21"/>
              </w:rPr>
              <w:t>WCC: 6.3 x 10</w:t>
            </w:r>
            <w:r>
              <w:rPr>
                <w:sz w:val="14"/>
                <w:szCs w:val="14"/>
              </w:rPr>
              <w:t>9</w:t>
            </w:r>
            <w:r>
              <w:rPr>
                <w:sz w:val="21"/>
                <w:szCs w:val="21"/>
              </w:rPr>
              <w:t xml:space="preserve">/L </w:t>
            </w:r>
          </w:p>
          <w:p w:rsidR="00DD2B25" w:rsidRDefault="00DD2B25">
            <w:pPr>
              <w:pStyle w:val="Default"/>
              <w:rPr>
                <w:sz w:val="21"/>
                <w:szCs w:val="21"/>
              </w:rPr>
            </w:pPr>
            <w:r>
              <w:rPr>
                <w:sz w:val="21"/>
                <w:szCs w:val="21"/>
              </w:rPr>
              <w:t>RCC: 1.34 x 10</w:t>
            </w:r>
            <w:r>
              <w:rPr>
                <w:sz w:val="14"/>
                <w:szCs w:val="14"/>
              </w:rPr>
              <w:t>12</w:t>
            </w:r>
            <w:r>
              <w:rPr>
                <w:sz w:val="21"/>
                <w:szCs w:val="21"/>
              </w:rPr>
              <w:t xml:space="preserve">/L </w:t>
            </w:r>
          </w:p>
          <w:p w:rsidR="00DD2B25" w:rsidRDefault="00DD2B25">
            <w:pPr>
              <w:pStyle w:val="Default"/>
              <w:rPr>
                <w:sz w:val="21"/>
                <w:szCs w:val="21"/>
              </w:rPr>
            </w:pPr>
            <w:r>
              <w:rPr>
                <w:sz w:val="21"/>
                <w:szCs w:val="21"/>
              </w:rPr>
              <w:t xml:space="preserve">Hb: 51 g/L </w:t>
            </w:r>
          </w:p>
          <w:p w:rsidR="00DD2B25" w:rsidRDefault="00DD2B25">
            <w:pPr>
              <w:pStyle w:val="Default"/>
              <w:rPr>
                <w:sz w:val="21"/>
                <w:szCs w:val="21"/>
              </w:rPr>
            </w:pPr>
            <w:r>
              <w:rPr>
                <w:sz w:val="21"/>
                <w:szCs w:val="21"/>
              </w:rPr>
              <w:t xml:space="preserve">MCV: 116 </w:t>
            </w:r>
            <w:proofErr w:type="spellStart"/>
            <w:r>
              <w:rPr>
                <w:sz w:val="21"/>
                <w:szCs w:val="21"/>
              </w:rPr>
              <w:t>fL</w:t>
            </w:r>
            <w:proofErr w:type="spellEnd"/>
            <w:r>
              <w:rPr>
                <w:sz w:val="21"/>
                <w:szCs w:val="21"/>
              </w:rPr>
              <w:t xml:space="preserve"> </w:t>
            </w:r>
          </w:p>
          <w:p w:rsidR="00DD2B25" w:rsidRDefault="00DD2B25">
            <w:pPr>
              <w:pStyle w:val="Default"/>
              <w:rPr>
                <w:sz w:val="21"/>
                <w:szCs w:val="21"/>
              </w:rPr>
            </w:pPr>
            <w:r>
              <w:rPr>
                <w:sz w:val="21"/>
                <w:szCs w:val="21"/>
              </w:rPr>
              <w:t xml:space="preserve">MCH: 38.1 </w:t>
            </w:r>
            <w:proofErr w:type="spellStart"/>
            <w:r>
              <w:rPr>
                <w:sz w:val="21"/>
                <w:szCs w:val="21"/>
              </w:rPr>
              <w:t>pg</w:t>
            </w:r>
            <w:proofErr w:type="spellEnd"/>
            <w:r>
              <w:rPr>
                <w:sz w:val="21"/>
                <w:szCs w:val="21"/>
              </w:rPr>
              <w:t xml:space="preserve"> </w:t>
            </w:r>
          </w:p>
          <w:p w:rsidR="00DD2B25" w:rsidRDefault="00DD2B25">
            <w:pPr>
              <w:pStyle w:val="Default"/>
              <w:rPr>
                <w:sz w:val="21"/>
                <w:szCs w:val="21"/>
              </w:rPr>
            </w:pPr>
            <w:r>
              <w:rPr>
                <w:sz w:val="21"/>
                <w:szCs w:val="21"/>
              </w:rPr>
              <w:t xml:space="preserve">MCHC: 329 g/L </w:t>
            </w:r>
          </w:p>
          <w:p w:rsidR="00DD2B25" w:rsidRDefault="00DD2B25">
            <w:pPr>
              <w:pStyle w:val="Default"/>
              <w:rPr>
                <w:sz w:val="21"/>
                <w:szCs w:val="21"/>
              </w:rPr>
            </w:pPr>
            <w:proofErr w:type="spellStart"/>
            <w:r>
              <w:rPr>
                <w:sz w:val="21"/>
                <w:szCs w:val="21"/>
              </w:rPr>
              <w:t>Plt</w:t>
            </w:r>
            <w:proofErr w:type="spellEnd"/>
            <w:r>
              <w:rPr>
                <w:sz w:val="21"/>
                <w:szCs w:val="21"/>
              </w:rPr>
              <w:t>: 118 x 10</w:t>
            </w:r>
            <w:r>
              <w:rPr>
                <w:sz w:val="14"/>
                <w:szCs w:val="14"/>
              </w:rPr>
              <w:t>9</w:t>
            </w:r>
            <w:r>
              <w:rPr>
                <w:sz w:val="21"/>
                <w:szCs w:val="21"/>
              </w:rPr>
              <w:t xml:space="preserve">/L </w:t>
            </w:r>
          </w:p>
          <w:p w:rsidR="00094351" w:rsidRDefault="00094351">
            <w:pPr>
              <w:pStyle w:val="Default"/>
              <w:rPr>
                <w:sz w:val="21"/>
                <w:szCs w:val="21"/>
              </w:rPr>
            </w:pPr>
          </w:p>
        </w:tc>
      </w:tr>
    </w:tbl>
    <w:p w:rsidR="00DD2B25" w:rsidRDefault="00DD2B25">
      <w:pPr>
        <w:rPr>
          <w:rFonts w:ascii="Arial" w:hAnsi="Arial" w:cs="Arial"/>
          <w:sz w:val="27"/>
          <w:szCs w:val="27"/>
        </w:rPr>
      </w:pPr>
      <w:r>
        <w:rPr>
          <w:noProof/>
        </w:rPr>
        <w:drawing>
          <wp:inline distT="0" distB="0" distL="0" distR="0" wp14:anchorId="7A5EFA79" wp14:editId="45DB600B">
            <wp:extent cx="5610225" cy="3028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0225" cy="3028950"/>
                    </a:xfrm>
                    <a:prstGeom prst="rect">
                      <a:avLst/>
                    </a:prstGeom>
                  </pic:spPr>
                </pic:pic>
              </a:graphicData>
            </a:graphic>
          </wp:inline>
        </w:drawing>
      </w:r>
    </w:p>
    <w:p w:rsidR="00DD2B25" w:rsidRPr="00094351" w:rsidRDefault="00DD2B25" w:rsidP="00DD2B25">
      <w:pPr>
        <w:shd w:val="clear" w:color="auto" w:fill="FFFFFF"/>
        <w:spacing w:after="0" w:line="240" w:lineRule="auto"/>
        <w:rPr>
          <w:rFonts w:ascii="Arial" w:eastAsia="Times New Roman" w:hAnsi="Arial" w:cs="Arial"/>
          <w:sz w:val="24"/>
          <w:szCs w:val="26"/>
          <w:lang w:eastAsia="en-AU"/>
        </w:rPr>
      </w:pPr>
      <w:r w:rsidRPr="00DD2B25">
        <w:rPr>
          <w:rFonts w:ascii="Arial" w:eastAsia="Times New Roman" w:hAnsi="Arial" w:cs="Arial"/>
          <w:sz w:val="24"/>
          <w:szCs w:val="26"/>
          <w:lang w:eastAsia="en-AU"/>
        </w:rPr>
        <w:t xml:space="preserve">The blood film of this patient showed a variety of red cell changes, the most significant being oval macrocytes and tear-drop cells. Other evident features included nucleated RBC, basophilic stippling, schistocytes and increased polychromasia. </w:t>
      </w:r>
    </w:p>
    <w:p w:rsidR="00DD2B25" w:rsidRPr="00094351" w:rsidRDefault="00DD2B25" w:rsidP="00DD2B25">
      <w:pPr>
        <w:shd w:val="clear" w:color="auto" w:fill="FFFFFF"/>
        <w:spacing w:after="0" w:line="240" w:lineRule="auto"/>
        <w:rPr>
          <w:rFonts w:ascii="Arial" w:eastAsia="Times New Roman" w:hAnsi="Arial" w:cs="Arial"/>
          <w:b/>
          <w:sz w:val="24"/>
          <w:szCs w:val="26"/>
          <w:lang w:eastAsia="en-AU"/>
        </w:rPr>
      </w:pPr>
      <w:r w:rsidRPr="00094351">
        <w:rPr>
          <w:noProof/>
          <w:sz w:val="20"/>
        </w:rPr>
        <w:drawing>
          <wp:inline distT="0" distB="0" distL="0" distR="0" wp14:anchorId="32AF0231" wp14:editId="4D49D921">
            <wp:extent cx="379095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5368" r="490"/>
                    <a:stretch/>
                  </pic:blipFill>
                  <pic:spPr bwMode="auto">
                    <a:xfrm>
                      <a:off x="0" y="0"/>
                      <a:ext cx="3799915" cy="2673307"/>
                    </a:xfrm>
                    <a:prstGeom prst="rect">
                      <a:avLst/>
                    </a:prstGeom>
                    <a:ln>
                      <a:noFill/>
                    </a:ln>
                    <a:extLst>
                      <a:ext uri="{53640926-AAD7-44D8-BBD7-CCE9431645EC}">
                        <a14:shadowObscured xmlns:a14="http://schemas.microsoft.com/office/drawing/2010/main"/>
                      </a:ext>
                    </a:extLst>
                  </pic:spPr>
                </pic:pic>
              </a:graphicData>
            </a:graphic>
          </wp:inline>
        </w:drawing>
      </w:r>
    </w:p>
    <w:p w:rsidR="00DD2B25" w:rsidRPr="00094351" w:rsidRDefault="00DD2B25" w:rsidP="00DD2B25">
      <w:pPr>
        <w:shd w:val="clear" w:color="auto" w:fill="FFFFFF"/>
        <w:spacing w:after="0" w:line="240" w:lineRule="auto"/>
        <w:rPr>
          <w:rFonts w:ascii="Arial" w:eastAsia="Times New Roman" w:hAnsi="Arial" w:cs="Arial"/>
          <w:sz w:val="24"/>
          <w:szCs w:val="26"/>
          <w:lang w:eastAsia="en-AU"/>
        </w:rPr>
      </w:pPr>
      <w:r w:rsidRPr="00DD2B25">
        <w:rPr>
          <w:rFonts w:ascii="Arial" w:eastAsia="Times New Roman" w:hAnsi="Arial" w:cs="Arial"/>
          <w:sz w:val="24"/>
          <w:szCs w:val="26"/>
          <w:lang w:eastAsia="en-AU"/>
        </w:rPr>
        <w:lastRenderedPageBreak/>
        <w:t xml:space="preserve">The white cells showed moderate numbers of </w:t>
      </w:r>
      <w:proofErr w:type="spellStart"/>
      <w:r w:rsidRPr="00DD2B25">
        <w:rPr>
          <w:rFonts w:ascii="Arial" w:eastAsia="Times New Roman" w:hAnsi="Arial" w:cs="Arial"/>
          <w:sz w:val="24"/>
          <w:szCs w:val="26"/>
          <w:lang w:eastAsia="en-AU"/>
        </w:rPr>
        <w:t>hypersegmented</w:t>
      </w:r>
      <w:proofErr w:type="spellEnd"/>
      <w:r w:rsidRPr="00DD2B25">
        <w:rPr>
          <w:rFonts w:ascii="Arial" w:eastAsia="Times New Roman" w:hAnsi="Arial" w:cs="Arial"/>
          <w:sz w:val="24"/>
          <w:szCs w:val="26"/>
          <w:lang w:eastAsia="en-AU"/>
        </w:rPr>
        <w:t xml:space="preserve"> neutrophils, with some neutrophils showing mild </w:t>
      </w:r>
      <w:proofErr w:type="spellStart"/>
      <w:r w:rsidRPr="00DD2B25">
        <w:rPr>
          <w:rFonts w:ascii="Arial" w:eastAsia="Times New Roman" w:hAnsi="Arial" w:cs="Arial"/>
          <w:sz w:val="24"/>
          <w:szCs w:val="26"/>
          <w:lang w:eastAsia="en-AU"/>
        </w:rPr>
        <w:t>hypergranulation</w:t>
      </w:r>
      <w:proofErr w:type="spellEnd"/>
      <w:r w:rsidRPr="00DD2B25">
        <w:rPr>
          <w:rFonts w:ascii="Arial" w:eastAsia="Times New Roman" w:hAnsi="Arial" w:cs="Arial"/>
          <w:sz w:val="24"/>
          <w:szCs w:val="26"/>
          <w:lang w:eastAsia="en-AU"/>
        </w:rPr>
        <w:t>.</w:t>
      </w:r>
    </w:p>
    <w:p w:rsidR="00DD2B25" w:rsidRPr="00094351" w:rsidRDefault="00DD2B25" w:rsidP="00DD2B25">
      <w:pPr>
        <w:shd w:val="clear" w:color="auto" w:fill="FFFFFF"/>
        <w:spacing w:after="0" w:line="240" w:lineRule="auto"/>
        <w:rPr>
          <w:rFonts w:ascii="Arial" w:eastAsia="Times New Roman" w:hAnsi="Arial" w:cs="Arial"/>
          <w:sz w:val="24"/>
          <w:szCs w:val="26"/>
          <w:lang w:eastAsia="en-AU"/>
        </w:rPr>
      </w:pPr>
      <w:r w:rsidRPr="00094351">
        <w:rPr>
          <w:noProof/>
          <w:sz w:val="20"/>
        </w:rPr>
        <w:drawing>
          <wp:inline distT="0" distB="0" distL="0" distR="0" wp14:anchorId="579D932B" wp14:editId="6D4F735F">
            <wp:extent cx="27717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1775" cy="1714500"/>
                    </a:xfrm>
                    <a:prstGeom prst="rect">
                      <a:avLst/>
                    </a:prstGeom>
                  </pic:spPr>
                </pic:pic>
              </a:graphicData>
            </a:graphic>
          </wp:inline>
        </w:drawing>
      </w:r>
    </w:p>
    <w:p w:rsidR="00094351" w:rsidRPr="00094351" w:rsidRDefault="00DD2B25" w:rsidP="00DD2B25">
      <w:pPr>
        <w:shd w:val="clear" w:color="auto" w:fill="FFFFFF"/>
        <w:spacing w:after="0" w:line="240" w:lineRule="auto"/>
        <w:rPr>
          <w:rFonts w:ascii="Arial" w:eastAsia="Times New Roman" w:hAnsi="Arial" w:cs="Arial"/>
          <w:sz w:val="24"/>
          <w:szCs w:val="24"/>
          <w:lang w:eastAsia="en-AU"/>
        </w:rPr>
      </w:pPr>
      <w:r w:rsidRPr="00DD2B25">
        <w:rPr>
          <w:rFonts w:ascii="Arial" w:eastAsia="Times New Roman" w:hAnsi="Arial" w:cs="Arial"/>
          <w:sz w:val="24"/>
          <w:szCs w:val="24"/>
          <w:lang w:eastAsia="en-AU"/>
        </w:rPr>
        <w:t xml:space="preserve">The platelet morphology was unremarkable. </w:t>
      </w:r>
      <w:r w:rsidR="00094351" w:rsidRPr="00DD2B25">
        <w:rPr>
          <w:rFonts w:ascii="Arial" w:eastAsia="Times New Roman" w:hAnsi="Arial" w:cs="Arial"/>
          <w:sz w:val="24"/>
          <w:szCs w:val="24"/>
          <w:lang w:eastAsia="en-AU"/>
        </w:rPr>
        <w:t>The platelets were essentially normal, and presence of a small number of large platelets was noted. The presence of the smaller red cells (schistocytes and microcytes) possibly resulting in an inaccurate platelet count was also considered with the scoring</w:t>
      </w:r>
    </w:p>
    <w:p w:rsidR="00094351" w:rsidRPr="00094351" w:rsidRDefault="00DD2B25" w:rsidP="00DD2B25">
      <w:pPr>
        <w:shd w:val="clear" w:color="auto" w:fill="FFFFFF"/>
        <w:spacing w:after="0" w:line="240" w:lineRule="auto"/>
        <w:rPr>
          <w:rFonts w:ascii="Arial" w:eastAsia="Times New Roman" w:hAnsi="Arial" w:cs="Arial"/>
          <w:sz w:val="24"/>
          <w:szCs w:val="24"/>
          <w:lang w:eastAsia="en-AU"/>
        </w:rPr>
      </w:pPr>
      <w:r w:rsidRPr="00DD2B25">
        <w:rPr>
          <w:rFonts w:ascii="Arial" w:eastAsia="Times New Roman" w:hAnsi="Arial" w:cs="Arial"/>
          <w:sz w:val="24"/>
          <w:szCs w:val="24"/>
          <w:lang w:eastAsia="en-AU"/>
        </w:rPr>
        <w:t>Considering the morphological features described, the clinical notes and full blood count indices, the most likely diagnosis was megaloblastic anaemia.</w:t>
      </w:r>
    </w:p>
    <w:p w:rsidR="00094351" w:rsidRDefault="00DD2B25" w:rsidP="00DD2B25">
      <w:pPr>
        <w:shd w:val="clear" w:color="auto" w:fill="FFFFFF"/>
        <w:spacing w:after="0" w:line="240" w:lineRule="auto"/>
        <w:rPr>
          <w:rFonts w:ascii="Arial" w:eastAsia="Times New Roman" w:hAnsi="Arial" w:cs="Arial"/>
          <w:sz w:val="24"/>
          <w:szCs w:val="24"/>
          <w:lang w:eastAsia="en-AU"/>
        </w:rPr>
      </w:pPr>
      <w:r w:rsidRPr="00DD2B25">
        <w:rPr>
          <w:rFonts w:ascii="Arial" w:eastAsia="Times New Roman" w:hAnsi="Arial" w:cs="Arial"/>
          <w:sz w:val="24"/>
          <w:szCs w:val="24"/>
          <w:lang w:eastAsia="en-AU"/>
        </w:rPr>
        <w:t xml:space="preserve">Hypochromic microcytes are a </w:t>
      </w:r>
      <w:proofErr w:type="spellStart"/>
      <w:r w:rsidRPr="00DD2B25">
        <w:rPr>
          <w:rFonts w:ascii="Arial" w:eastAsia="Times New Roman" w:hAnsi="Arial" w:cs="Arial"/>
          <w:sz w:val="24"/>
          <w:szCs w:val="24"/>
          <w:lang w:eastAsia="en-AU"/>
        </w:rPr>
        <w:t>well recognised</w:t>
      </w:r>
      <w:proofErr w:type="spellEnd"/>
      <w:r w:rsidRPr="00DD2B25">
        <w:rPr>
          <w:rFonts w:ascii="Arial" w:eastAsia="Times New Roman" w:hAnsi="Arial" w:cs="Arial"/>
          <w:sz w:val="24"/>
          <w:szCs w:val="24"/>
          <w:lang w:eastAsia="en-AU"/>
        </w:rPr>
        <w:t xml:space="preserve"> finding in megaloblastic anaemia and generally should not be considered a sign of iron deficiency, however, a response of</w:t>
      </w:r>
      <w:r w:rsidR="00094351" w:rsidRPr="00094351">
        <w:rPr>
          <w:rFonts w:ascii="Arial" w:eastAsia="Times New Roman" w:hAnsi="Arial" w:cs="Arial"/>
          <w:sz w:val="24"/>
          <w:szCs w:val="24"/>
          <w:lang w:eastAsia="en-AU"/>
        </w:rPr>
        <w:t xml:space="preserve"> </w:t>
      </w:r>
      <w:r w:rsidRPr="00DD2B25">
        <w:rPr>
          <w:rFonts w:ascii="Arial" w:eastAsia="Times New Roman" w:hAnsi="Arial" w:cs="Arial"/>
          <w:sz w:val="24"/>
          <w:szCs w:val="24"/>
          <w:lang w:eastAsia="en-AU"/>
        </w:rPr>
        <w:t>a combined iron and B12/folate deficiency was considered acceptable on a morphological basi</w:t>
      </w:r>
      <w:r w:rsidR="00094351" w:rsidRPr="00094351">
        <w:rPr>
          <w:rFonts w:ascii="Arial" w:eastAsia="Times New Roman" w:hAnsi="Arial" w:cs="Arial"/>
          <w:sz w:val="24"/>
          <w:szCs w:val="24"/>
          <w:lang w:eastAsia="en-AU"/>
        </w:rPr>
        <w:t>s</w:t>
      </w:r>
      <w:r w:rsidRPr="00DD2B25">
        <w:rPr>
          <w:rFonts w:ascii="Arial" w:eastAsia="Times New Roman" w:hAnsi="Arial" w:cs="Arial"/>
          <w:sz w:val="24"/>
          <w:szCs w:val="24"/>
          <w:lang w:eastAsia="en-AU"/>
        </w:rPr>
        <w:t>.</w:t>
      </w:r>
    </w:p>
    <w:p w:rsidR="00073995" w:rsidRPr="00094351" w:rsidRDefault="00073995" w:rsidP="00DD2B25">
      <w:pPr>
        <w:shd w:val="clear" w:color="auto" w:fill="FFFFFF"/>
        <w:spacing w:after="0" w:line="240" w:lineRule="auto"/>
        <w:rPr>
          <w:rFonts w:ascii="Arial" w:eastAsia="Times New Roman" w:hAnsi="Arial" w:cs="Arial"/>
          <w:sz w:val="24"/>
          <w:szCs w:val="24"/>
          <w:lang w:eastAsia="en-AU"/>
        </w:rPr>
      </w:pPr>
    </w:p>
    <w:p w:rsidR="00094351" w:rsidRPr="00094351" w:rsidRDefault="00DD2B25" w:rsidP="00DD2B25">
      <w:pPr>
        <w:shd w:val="clear" w:color="auto" w:fill="FFFFFF"/>
        <w:spacing w:after="0" w:line="240" w:lineRule="auto"/>
        <w:rPr>
          <w:rFonts w:ascii="Arial" w:eastAsia="Times New Roman" w:hAnsi="Arial" w:cs="Arial"/>
          <w:sz w:val="24"/>
          <w:szCs w:val="24"/>
          <w:lang w:eastAsia="en-AU"/>
        </w:rPr>
      </w:pPr>
      <w:r w:rsidRPr="00DD2B25">
        <w:rPr>
          <w:rFonts w:ascii="Arial" w:eastAsia="Times New Roman" w:hAnsi="Arial" w:cs="Arial"/>
          <w:sz w:val="24"/>
          <w:szCs w:val="24"/>
          <w:lang w:eastAsia="en-AU"/>
        </w:rPr>
        <w:t xml:space="preserve">Megaloblastic anaemia (MA) encompasses a heterogeneous group of anaemias characterised by the presence of megaloblasts in the bone marrow. This condition is due to impaired DNA synthesis, which inhibits nuclear division. Cytoplasmic maturation, mainly dependent on RNA and protein synthesis, is less impaired, causing asynchronous maturation between the nucleus and cytoplasm of the erythroblasts and leading to the large size of the megaloblasts. Both vitamin B12 and folate deficiencies may cause defective DNA synthesis 1,2. </w:t>
      </w:r>
    </w:p>
    <w:p w:rsidR="00073995" w:rsidRDefault="00073995" w:rsidP="00094351">
      <w:pPr>
        <w:shd w:val="clear" w:color="auto" w:fill="FFFFFF"/>
        <w:spacing w:after="0" w:line="240" w:lineRule="auto"/>
        <w:rPr>
          <w:rFonts w:ascii="Arial" w:eastAsia="Times New Roman" w:hAnsi="Arial" w:cs="Arial"/>
          <w:sz w:val="24"/>
          <w:szCs w:val="24"/>
          <w:lang w:eastAsia="en-AU"/>
        </w:rPr>
      </w:pPr>
    </w:p>
    <w:p w:rsidR="00094351" w:rsidRPr="00094351" w:rsidRDefault="00DD2B25" w:rsidP="00094351">
      <w:pPr>
        <w:shd w:val="clear" w:color="auto" w:fill="FFFFFF"/>
        <w:spacing w:after="0" w:line="240" w:lineRule="auto"/>
        <w:rPr>
          <w:rFonts w:ascii="Arial" w:eastAsia="Times New Roman" w:hAnsi="Arial" w:cs="Arial"/>
          <w:sz w:val="24"/>
          <w:szCs w:val="24"/>
          <w:lang w:eastAsia="en-AU"/>
        </w:rPr>
      </w:pPr>
      <w:r w:rsidRPr="00DD2B25">
        <w:rPr>
          <w:rFonts w:ascii="Arial" w:eastAsia="Times New Roman" w:hAnsi="Arial" w:cs="Arial"/>
          <w:sz w:val="24"/>
          <w:szCs w:val="24"/>
          <w:lang w:eastAsia="en-AU"/>
        </w:rPr>
        <w:t xml:space="preserve">The characteristic morphological findings of MA in the peripheral blood include oval macrocytes and </w:t>
      </w:r>
      <w:proofErr w:type="spellStart"/>
      <w:r w:rsidRPr="00DD2B25">
        <w:rPr>
          <w:rFonts w:ascii="Arial" w:eastAsia="Times New Roman" w:hAnsi="Arial" w:cs="Arial"/>
          <w:sz w:val="24"/>
          <w:szCs w:val="24"/>
          <w:lang w:eastAsia="en-AU"/>
        </w:rPr>
        <w:t>hypersegmented</w:t>
      </w:r>
      <w:proofErr w:type="spellEnd"/>
      <w:r w:rsidRPr="00DD2B25">
        <w:rPr>
          <w:rFonts w:ascii="Arial" w:eastAsia="Times New Roman" w:hAnsi="Arial" w:cs="Arial"/>
          <w:sz w:val="24"/>
          <w:szCs w:val="24"/>
          <w:lang w:eastAsia="en-AU"/>
        </w:rPr>
        <w:t xml:space="preserve"> neutrophils (&gt; 1% of neutrophils with 6 or more lobes), the latter being essentially pathognomonic of MA. Impaired RBC production results in a low absolute reticulocyte count especially in the light of severe anaemia. Other changes may include the presence of teardrop cells, schistocytes and </w:t>
      </w:r>
      <w:proofErr w:type="spellStart"/>
      <w:r w:rsidRPr="00DD2B25">
        <w:rPr>
          <w:rFonts w:ascii="Arial" w:eastAsia="Times New Roman" w:hAnsi="Arial" w:cs="Arial"/>
          <w:sz w:val="24"/>
          <w:szCs w:val="24"/>
          <w:lang w:eastAsia="en-AU"/>
        </w:rPr>
        <w:t>microspherocytes</w:t>
      </w:r>
      <w:proofErr w:type="spellEnd"/>
      <w:r w:rsidRPr="00DD2B25">
        <w:rPr>
          <w:rFonts w:ascii="Arial" w:eastAsia="Times New Roman" w:hAnsi="Arial" w:cs="Arial"/>
          <w:sz w:val="24"/>
          <w:szCs w:val="24"/>
          <w:lang w:eastAsia="en-AU"/>
        </w:rPr>
        <w:t xml:space="preserve">. These erythrocyte changes reflect the severity of the </w:t>
      </w:r>
      <w:proofErr w:type="spellStart"/>
      <w:r w:rsidRPr="00DD2B25">
        <w:rPr>
          <w:rFonts w:ascii="Arial" w:eastAsia="Times New Roman" w:hAnsi="Arial" w:cs="Arial"/>
          <w:sz w:val="24"/>
          <w:szCs w:val="24"/>
          <w:lang w:eastAsia="en-AU"/>
        </w:rPr>
        <w:t>dyserythropoiesis</w:t>
      </w:r>
      <w:proofErr w:type="spellEnd"/>
      <w:r w:rsidRPr="00DD2B25">
        <w:rPr>
          <w:rFonts w:ascii="Arial" w:eastAsia="Times New Roman" w:hAnsi="Arial" w:cs="Arial"/>
          <w:sz w:val="24"/>
          <w:szCs w:val="24"/>
          <w:lang w:eastAsia="en-AU"/>
        </w:rPr>
        <w:t xml:space="preserve"> and should not be taken as evidence of microangiopathic haemolytic anaemia (MAHA)2,3. Lack of Vitamin B12 can present with features of haemolysis due to ineffective erythropoiesis and unconjugated hyperbilirubinaemia, where MAHA or fragmentation haemolysis is the result of intravascular haemolysis of RBC from mechanical trauma or sheer stress3. Nucleated RBCs, Howell-Jolly Bodies, basophilic stippling and Cabot rings may also be observed.</w:t>
      </w:r>
    </w:p>
    <w:p w:rsidR="00094351" w:rsidRPr="00094351" w:rsidRDefault="00DD2B25" w:rsidP="00094351">
      <w:pPr>
        <w:shd w:val="clear" w:color="auto" w:fill="FFFFFF"/>
        <w:spacing w:after="0" w:line="240" w:lineRule="auto"/>
        <w:rPr>
          <w:rFonts w:ascii="Arial" w:eastAsia="Times New Roman" w:hAnsi="Arial" w:cs="Arial"/>
          <w:sz w:val="24"/>
          <w:szCs w:val="24"/>
          <w:lang w:eastAsia="en-AU"/>
        </w:rPr>
      </w:pPr>
      <w:r w:rsidRPr="00DD2B25">
        <w:rPr>
          <w:rFonts w:ascii="Arial" w:eastAsia="Times New Roman" w:hAnsi="Arial" w:cs="Arial"/>
          <w:sz w:val="24"/>
          <w:szCs w:val="24"/>
          <w:lang w:eastAsia="en-AU"/>
        </w:rPr>
        <w:t xml:space="preserve">Vitamin B12 deficiency may result in various complications including neurological problems such as memory impairment, </w:t>
      </w:r>
      <w:proofErr w:type="spellStart"/>
      <w:r w:rsidRPr="00DD2B25">
        <w:rPr>
          <w:rFonts w:ascii="Arial" w:eastAsia="Times New Roman" w:hAnsi="Arial" w:cs="Arial"/>
          <w:sz w:val="24"/>
          <w:szCs w:val="24"/>
          <w:lang w:eastAsia="en-AU"/>
        </w:rPr>
        <w:t>paraethesias</w:t>
      </w:r>
      <w:proofErr w:type="spellEnd"/>
      <w:r w:rsidRPr="00DD2B25">
        <w:rPr>
          <w:rFonts w:ascii="Arial" w:eastAsia="Times New Roman" w:hAnsi="Arial" w:cs="Arial"/>
          <w:sz w:val="24"/>
          <w:szCs w:val="24"/>
          <w:lang w:eastAsia="en-AU"/>
        </w:rPr>
        <w:t xml:space="preserve">, compromised vision ataxia and peripheral neuropathy. Other conditions include infertility, gastric cancer and neural tube defects in the developing foetus, leading to spina bifida or anencephaly1. </w:t>
      </w: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r w:rsidRPr="00094351">
        <w:rPr>
          <w:rFonts w:ascii="Arial" w:eastAsia="Times New Roman" w:hAnsi="Arial" w:cs="Arial"/>
          <w:sz w:val="24"/>
          <w:szCs w:val="26"/>
          <w:lang w:eastAsia="en-AU"/>
        </w:rPr>
        <w:t xml:space="preserve"> The prevalence of vitamin B12 deficiency varies from 1 to 2 percent in general populations and up to approximately 10-15 percent in older adults and hospitalised </w:t>
      </w:r>
      <w:r w:rsidRPr="00094351">
        <w:rPr>
          <w:rFonts w:ascii="Arial" w:eastAsia="Times New Roman" w:hAnsi="Arial" w:cs="Arial"/>
          <w:sz w:val="24"/>
          <w:szCs w:val="26"/>
          <w:lang w:eastAsia="en-AU"/>
        </w:rPr>
        <w:lastRenderedPageBreak/>
        <w:t>patients. Folate deficiency in healthy people with a normal diet has declined progressively due to countries implementing routine supplementation of foods with folic acid.</w:t>
      </w: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r w:rsidRPr="00094351">
        <w:rPr>
          <w:rFonts w:ascii="Arial" w:eastAsia="Times New Roman" w:hAnsi="Arial" w:cs="Arial"/>
          <w:sz w:val="24"/>
          <w:szCs w:val="26"/>
          <w:lang w:eastAsia="en-AU"/>
        </w:rPr>
        <w:t xml:space="preserve"> Vitamin B12 deficiency typically develops over the course of years as total body stores are large (approximately 3-5mg) which is sufficient to provide adequate levels of vitamin B12 for 5 to 10 years. However, in infants born to vitamin B12 deficient mothers, there may not be any stores established, and the infant may be born deficient. Exposure to nitrous oxide can also cause rapid depletion of vitamin B12. Folate deficiency can develop rapidly as body stores are limited (approximately 5-10mg) and become rapidly depleted during cell division. Patients present with the usual symptoms of anaemia but in addition there may be glossitis, mild splenomegaly and jaundice.</w:t>
      </w: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r w:rsidRPr="00094351">
        <w:rPr>
          <w:rFonts w:ascii="Arial" w:eastAsia="Times New Roman" w:hAnsi="Arial" w:cs="Arial"/>
          <w:sz w:val="24"/>
          <w:szCs w:val="26"/>
          <w:lang w:eastAsia="en-AU"/>
        </w:rPr>
        <w:t xml:space="preserve"> Laboratory evaluation includes a CBC, vitamin B12 and folate levels. Further testing with methylmalonic acid (MMA), homocysteine, and/or autoantibodies to </w:t>
      </w:r>
      <w:proofErr w:type="spellStart"/>
      <w:r w:rsidRPr="00094351">
        <w:rPr>
          <w:rFonts w:ascii="Arial" w:eastAsia="Times New Roman" w:hAnsi="Arial" w:cs="Arial"/>
          <w:sz w:val="24"/>
          <w:szCs w:val="26"/>
          <w:lang w:eastAsia="en-AU"/>
        </w:rPr>
        <w:t>intrinstic</w:t>
      </w:r>
      <w:proofErr w:type="spellEnd"/>
      <w:r w:rsidRPr="00094351">
        <w:rPr>
          <w:rFonts w:ascii="Arial" w:eastAsia="Times New Roman" w:hAnsi="Arial" w:cs="Arial"/>
          <w:sz w:val="24"/>
          <w:szCs w:val="26"/>
          <w:lang w:eastAsia="en-AU"/>
        </w:rPr>
        <w:t xml:space="preserve"> factor (IF) or gastric parietal cell antigens may be appropriate. The diagnosis is then confirmed if the individual has a low serum level of vitamin B12 or folate; MMA and homocysteine testing consistent with deficiency and/or response to vitamin B12 and/or folate repletion.</w:t>
      </w:r>
    </w:p>
    <w:p w:rsidR="00094351" w:rsidRDefault="00094351" w:rsidP="00094351">
      <w:pPr>
        <w:shd w:val="clear" w:color="auto" w:fill="FFFFFF"/>
        <w:spacing w:after="0" w:line="240" w:lineRule="auto"/>
        <w:rPr>
          <w:rFonts w:ascii="Arial" w:eastAsia="Times New Roman" w:hAnsi="Arial" w:cs="Arial"/>
          <w:sz w:val="26"/>
          <w:szCs w:val="26"/>
          <w:lang w:eastAsia="en-AU"/>
        </w:rPr>
      </w:pPr>
    </w:p>
    <w:p w:rsidR="00094351" w:rsidRPr="00094351" w:rsidRDefault="00DD2B25" w:rsidP="00094351">
      <w:pPr>
        <w:shd w:val="clear" w:color="auto" w:fill="FFFFFF"/>
        <w:spacing w:after="0" w:line="240" w:lineRule="auto"/>
        <w:rPr>
          <w:rFonts w:ascii="Arial" w:eastAsia="Times New Roman" w:hAnsi="Arial" w:cs="Arial"/>
          <w:sz w:val="24"/>
          <w:szCs w:val="26"/>
          <w:lang w:eastAsia="en-AU"/>
        </w:rPr>
      </w:pPr>
      <w:r w:rsidRPr="00DD2B25">
        <w:rPr>
          <w:rFonts w:ascii="Arial" w:eastAsia="Times New Roman" w:hAnsi="Arial" w:cs="Arial"/>
          <w:sz w:val="24"/>
          <w:szCs w:val="26"/>
          <w:lang w:eastAsia="en-AU"/>
        </w:rPr>
        <w:t>This patient's vitamin B12 level was markedly reduced, and the red cell folate was normal. His serum iron, ferritin and transferrin were normal, and the transferrin saturation decreased.</w:t>
      </w:r>
    </w:p>
    <w:p w:rsidR="00094351" w:rsidRPr="00094351" w:rsidRDefault="00094351" w:rsidP="00094351">
      <w:pPr>
        <w:shd w:val="clear" w:color="auto" w:fill="FFFFFF"/>
        <w:spacing w:after="0" w:line="240" w:lineRule="auto"/>
        <w:rPr>
          <w:rFonts w:ascii="Arial" w:eastAsia="Times New Roman" w:hAnsi="Arial" w:cs="Arial"/>
          <w:sz w:val="24"/>
          <w:szCs w:val="26"/>
          <w:lang w:eastAsia="en-AU"/>
        </w:rPr>
      </w:pPr>
    </w:p>
    <w:p w:rsidR="00094351" w:rsidRPr="00094351" w:rsidRDefault="00DD2B25" w:rsidP="00094351">
      <w:pPr>
        <w:shd w:val="clear" w:color="auto" w:fill="FFFFFF"/>
        <w:spacing w:after="0" w:line="240" w:lineRule="auto"/>
        <w:rPr>
          <w:rFonts w:ascii="Arial" w:eastAsia="Times New Roman" w:hAnsi="Arial" w:cs="Arial"/>
          <w:sz w:val="24"/>
          <w:szCs w:val="26"/>
          <w:lang w:eastAsia="en-AU"/>
        </w:rPr>
      </w:pPr>
      <w:r w:rsidRPr="00DD2B25">
        <w:rPr>
          <w:rFonts w:ascii="Arial" w:eastAsia="Times New Roman" w:hAnsi="Arial" w:cs="Arial"/>
          <w:sz w:val="24"/>
          <w:szCs w:val="26"/>
          <w:lang w:eastAsia="en-AU"/>
        </w:rPr>
        <w:t xml:space="preserve">1. Megaloblastic Anaemia, </w:t>
      </w:r>
      <w:proofErr w:type="spellStart"/>
      <w:r w:rsidRPr="00DD2B25">
        <w:rPr>
          <w:rFonts w:ascii="Arial" w:eastAsia="Times New Roman" w:hAnsi="Arial" w:cs="Arial"/>
          <w:sz w:val="24"/>
          <w:szCs w:val="26"/>
          <w:lang w:eastAsia="en-AU"/>
        </w:rPr>
        <w:t>Hariz</w:t>
      </w:r>
      <w:proofErr w:type="spellEnd"/>
      <w:r w:rsidRPr="00DD2B25">
        <w:rPr>
          <w:rFonts w:ascii="Arial" w:eastAsia="Times New Roman" w:hAnsi="Arial" w:cs="Arial"/>
          <w:sz w:val="24"/>
          <w:szCs w:val="26"/>
          <w:lang w:eastAsia="en-AU"/>
        </w:rPr>
        <w:t>, A et al, NCBI Bookshelf, updated 23</w:t>
      </w:r>
      <w:r w:rsidRPr="00DD2B25">
        <w:rPr>
          <w:rFonts w:ascii="Arial" w:eastAsia="Times New Roman" w:hAnsi="Arial" w:cs="Arial"/>
          <w:sz w:val="16"/>
          <w:szCs w:val="17"/>
          <w:lang w:eastAsia="en-AU"/>
        </w:rPr>
        <w:t>rd</w:t>
      </w:r>
      <w:r w:rsidRPr="00DD2B25">
        <w:rPr>
          <w:rFonts w:ascii="Arial" w:eastAsia="Times New Roman" w:hAnsi="Arial" w:cs="Arial"/>
          <w:sz w:val="24"/>
          <w:szCs w:val="26"/>
          <w:lang w:eastAsia="en-AU"/>
        </w:rPr>
        <w:t xml:space="preserve"> October 2020.</w:t>
      </w:r>
    </w:p>
    <w:p w:rsidR="00094351" w:rsidRPr="00094351" w:rsidRDefault="00DD2B25" w:rsidP="00094351">
      <w:pPr>
        <w:shd w:val="clear" w:color="auto" w:fill="FFFFFF"/>
        <w:spacing w:after="0" w:line="240" w:lineRule="auto"/>
        <w:rPr>
          <w:rFonts w:ascii="Arial" w:eastAsia="Times New Roman" w:hAnsi="Arial" w:cs="Arial"/>
          <w:sz w:val="24"/>
          <w:szCs w:val="27"/>
          <w:lang w:eastAsia="en-AU"/>
        </w:rPr>
      </w:pPr>
      <w:r w:rsidRPr="00DD2B25">
        <w:rPr>
          <w:rFonts w:ascii="Arial" w:eastAsia="Times New Roman" w:hAnsi="Arial" w:cs="Arial"/>
          <w:sz w:val="24"/>
          <w:szCs w:val="27"/>
          <w:lang w:eastAsia="en-AU"/>
        </w:rPr>
        <w:t xml:space="preserve">2. </w:t>
      </w:r>
      <w:proofErr w:type="spellStart"/>
      <w:r w:rsidRPr="00DD2B25">
        <w:rPr>
          <w:rFonts w:ascii="Arial" w:eastAsia="Times New Roman" w:hAnsi="Arial" w:cs="Arial"/>
          <w:sz w:val="24"/>
          <w:szCs w:val="27"/>
          <w:lang w:eastAsia="en-AU"/>
        </w:rPr>
        <w:t>Rodak's</w:t>
      </w:r>
      <w:proofErr w:type="spellEnd"/>
      <w:r w:rsidRPr="00DD2B25">
        <w:rPr>
          <w:rFonts w:ascii="Arial" w:eastAsia="Times New Roman" w:hAnsi="Arial" w:cs="Arial"/>
          <w:sz w:val="24"/>
          <w:szCs w:val="27"/>
          <w:lang w:eastAsia="en-AU"/>
        </w:rPr>
        <w:t xml:space="preserve"> Haematology: Clinical Principles and Applications, 5</w:t>
      </w:r>
      <w:r w:rsidRPr="00DD2B25">
        <w:rPr>
          <w:rFonts w:ascii="Arial" w:eastAsia="Times New Roman" w:hAnsi="Arial" w:cs="Arial"/>
          <w:sz w:val="16"/>
          <w:szCs w:val="18"/>
          <w:lang w:eastAsia="en-AU"/>
        </w:rPr>
        <w:t>th</w:t>
      </w:r>
      <w:r w:rsidRPr="00DD2B25">
        <w:rPr>
          <w:rFonts w:ascii="Arial" w:eastAsia="Times New Roman" w:hAnsi="Arial" w:cs="Arial"/>
          <w:sz w:val="24"/>
          <w:szCs w:val="27"/>
          <w:lang w:eastAsia="en-AU"/>
        </w:rPr>
        <w:t xml:space="preserve"> edition, Keohane et al, 2016, Elsevier Inc.</w:t>
      </w:r>
    </w:p>
    <w:p w:rsidR="00DD2B25" w:rsidRPr="00DD2B25" w:rsidRDefault="00DD2B25" w:rsidP="00094351">
      <w:pPr>
        <w:shd w:val="clear" w:color="auto" w:fill="FFFFFF"/>
        <w:spacing w:after="0" w:line="240" w:lineRule="auto"/>
        <w:rPr>
          <w:rFonts w:ascii="Times New Roman" w:eastAsia="Times New Roman" w:hAnsi="Times New Roman" w:cs="Times New Roman"/>
          <w:sz w:val="13"/>
          <w:szCs w:val="15"/>
          <w:lang w:eastAsia="en-AU"/>
        </w:rPr>
      </w:pPr>
      <w:r w:rsidRPr="00DD2B25">
        <w:rPr>
          <w:rFonts w:ascii="Arial" w:eastAsia="Times New Roman" w:hAnsi="Arial" w:cs="Arial"/>
          <w:sz w:val="24"/>
          <w:szCs w:val="27"/>
          <w:lang w:eastAsia="en-AU"/>
        </w:rPr>
        <w:t xml:space="preserve">3. When the picture is fragmented: Vitamin B12 deficiency masquerading as thrombotic thrombocytopenic purpura, Tanmay, S et al, Int. J. Crit. </w:t>
      </w:r>
      <w:proofErr w:type="spellStart"/>
      <w:r w:rsidRPr="00DD2B25">
        <w:rPr>
          <w:rFonts w:ascii="Arial" w:eastAsia="Times New Roman" w:hAnsi="Arial" w:cs="Arial"/>
          <w:sz w:val="24"/>
          <w:szCs w:val="27"/>
          <w:lang w:eastAsia="en-AU"/>
        </w:rPr>
        <w:t>Inj</w:t>
      </w:r>
      <w:proofErr w:type="spellEnd"/>
      <w:r w:rsidRPr="00DD2B25">
        <w:rPr>
          <w:rFonts w:ascii="Arial" w:eastAsia="Times New Roman" w:hAnsi="Arial" w:cs="Arial"/>
          <w:sz w:val="24"/>
          <w:szCs w:val="27"/>
          <w:lang w:eastAsia="en-AU"/>
        </w:rPr>
        <w:t xml:space="preserve"> Sci, 2016 Apr-Jun; 6(2): 89-92</w:t>
      </w:r>
    </w:p>
    <w:p w:rsidR="00094351" w:rsidRDefault="00094351">
      <w:pPr>
        <w:rPr>
          <w:rFonts w:ascii="Arial" w:hAnsi="Arial" w:cs="Arial"/>
          <w:sz w:val="27"/>
          <w:szCs w:val="27"/>
        </w:rPr>
        <w:sectPr w:rsidR="00094351">
          <w:pgSz w:w="11906" w:h="16838"/>
          <w:pgMar w:top="1440" w:right="1440" w:bottom="1440" w:left="1440" w:header="708" w:footer="708" w:gutter="0"/>
          <w:cols w:space="708"/>
          <w:docGrid w:linePitch="360"/>
        </w:sectPr>
      </w:pPr>
    </w:p>
    <w:tbl>
      <w:tblPr>
        <w:tblW w:w="15760" w:type="dxa"/>
        <w:tblLook w:val="04A0" w:firstRow="1" w:lastRow="0" w:firstColumn="1" w:lastColumn="0" w:noHBand="0" w:noVBand="1"/>
      </w:tblPr>
      <w:tblGrid>
        <w:gridCol w:w="1196"/>
        <w:gridCol w:w="1456"/>
        <w:gridCol w:w="1430"/>
        <w:gridCol w:w="1456"/>
        <w:gridCol w:w="1456"/>
        <w:gridCol w:w="1456"/>
        <w:gridCol w:w="1487"/>
        <w:gridCol w:w="1481"/>
        <w:gridCol w:w="1456"/>
        <w:gridCol w:w="1456"/>
        <w:gridCol w:w="1430"/>
      </w:tblGrid>
      <w:tr w:rsidR="00073995" w:rsidRPr="00073995" w:rsidTr="00073995">
        <w:trPr>
          <w:trHeight w:val="720"/>
        </w:trPr>
        <w:tc>
          <w:tcPr>
            <w:tcW w:w="1440" w:type="dxa"/>
            <w:vMerge w:val="restart"/>
            <w:tcBorders>
              <w:top w:val="single" w:sz="4" w:space="0" w:color="auto"/>
              <w:left w:val="single" w:sz="4" w:space="0" w:color="auto"/>
              <w:bottom w:val="nil"/>
              <w:right w:val="nil"/>
            </w:tcBorders>
            <w:shd w:val="clear" w:color="000000" w:fill="FFCCFF"/>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lastRenderedPageBreak/>
              <w:t>RBC Features</w:t>
            </w:r>
          </w:p>
        </w:tc>
        <w:tc>
          <w:tcPr>
            <w:tcW w:w="1360" w:type="dxa"/>
            <w:tcBorders>
              <w:top w:val="single" w:sz="4" w:space="0" w:color="auto"/>
              <w:left w:val="single" w:sz="8" w:space="0" w:color="auto"/>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Dimorphism / Dimorphic red blood cells</w:t>
            </w:r>
          </w:p>
        </w:tc>
        <w:tc>
          <w:tcPr>
            <w:tcW w:w="1440" w:type="dxa"/>
            <w:tcBorders>
              <w:top w:val="single" w:sz="4" w:space="0" w:color="auto"/>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Macrocytes round</w:t>
            </w:r>
          </w:p>
        </w:tc>
        <w:tc>
          <w:tcPr>
            <w:tcW w:w="1440" w:type="dxa"/>
            <w:tcBorders>
              <w:top w:val="single" w:sz="4"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single" w:sz="4"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single" w:sz="4"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single" w:sz="4"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single" w:sz="4" w:space="0" w:color="auto"/>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40" w:type="dxa"/>
            <w:tcBorders>
              <w:top w:val="single" w:sz="4"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single" w:sz="4"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single" w:sz="4" w:space="0" w:color="auto"/>
              <w:left w:val="nil"/>
              <w:bottom w:val="nil"/>
              <w:right w:val="single" w:sz="4"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Macrocytes round</w:t>
            </w:r>
          </w:p>
        </w:tc>
      </w:tr>
      <w:tr w:rsidR="00073995" w:rsidRPr="00073995" w:rsidTr="00073995">
        <w:trPr>
          <w:trHeight w:val="720"/>
        </w:trPr>
        <w:tc>
          <w:tcPr>
            <w:tcW w:w="1440" w:type="dxa"/>
            <w:vMerge/>
            <w:tcBorders>
              <w:top w:val="single" w:sz="8" w:space="0" w:color="auto"/>
              <w:left w:val="single" w:sz="4" w:space="0" w:color="auto"/>
              <w:bottom w:val="nil"/>
              <w:right w:val="nil"/>
            </w:tcBorders>
            <w:vAlign w:val="center"/>
            <w:hideMark/>
          </w:tcPr>
          <w:p w:rsidR="00073995" w:rsidRPr="00073995" w:rsidRDefault="00073995" w:rsidP="00073995">
            <w:pPr>
              <w:spacing w:after="0" w:line="240" w:lineRule="auto"/>
              <w:rPr>
                <w:rFonts w:ascii="Calibri" w:eastAsia="Times New Roman" w:hAnsi="Calibri" w:cs="Calibri"/>
                <w:color w:val="000000"/>
                <w:sz w:val="18"/>
                <w:szCs w:val="18"/>
                <w:lang w:eastAsia="en-AU"/>
              </w:rPr>
            </w:pPr>
          </w:p>
        </w:tc>
        <w:tc>
          <w:tcPr>
            <w:tcW w:w="1360" w:type="dxa"/>
            <w:tcBorders>
              <w:top w:val="nil"/>
              <w:left w:val="single" w:sz="8" w:space="0" w:color="auto"/>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Dimorphism / Dimorphic red blood cells</w:t>
            </w:r>
          </w:p>
        </w:tc>
        <w:tc>
          <w:tcPr>
            <w:tcW w:w="1440"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40"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Spherocytes</w:t>
            </w:r>
          </w:p>
        </w:tc>
        <w:tc>
          <w:tcPr>
            <w:tcW w:w="1440"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40" w:type="dxa"/>
            <w:tcBorders>
              <w:top w:val="nil"/>
              <w:left w:val="nil"/>
              <w:bottom w:val="nil"/>
              <w:right w:val="single" w:sz="4"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r>
      <w:tr w:rsidR="00073995" w:rsidRPr="00073995" w:rsidTr="00073995">
        <w:trPr>
          <w:trHeight w:val="480"/>
        </w:trPr>
        <w:tc>
          <w:tcPr>
            <w:tcW w:w="1440" w:type="dxa"/>
            <w:vMerge/>
            <w:tcBorders>
              <w:top w:val="single" w:sz="8" w:space="0" w:color="auto"/>
              <w:left w:val="single" w:sz="4" w:space="0" w:color="auto"/>
              <w:bottom w:val="nil"/>
              <w:right w:val="nil"/>
            </w:tcBorders>
            <w:vAlign w:val="center"/>
            <w:hideMark/>
          </w:tcPr>
          <w:p w:rsidR="00073995" w:rsidRPr="00073995" w:rsidRDefault="00073995" w:rsidP="00073995">
            <w:pPr>
              <w:spacing w:after="0" w:line="240" w:lineRule="auto"/>
              <w:rPr>
                <w:rFonts w:ascii="Calibri" w:eastAsia="Times New Roman" w:hAnsi="Calibri" w:cs="Calibri"/>
                <w:color w:val="000000"/>
                <w:sz w:val="18"/>
                <w:szCs w:val="18"/>
                <w:lang w:eastAsia="en-AU"/>
              </w:rPr>
            </w:pPr>
          </w:p>
        </w:tc>
        <w:tc>
          <w:tcPr>
            <w:tcW w:w="1360" w:type="dxa"/>
            <w:tcBorders>
              <w:top w:val="nil"/>
              <w:left w:val="single" w:sz="8" w:space="0" w:color="auto"/>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4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40"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nil"/>
              <w:right w:val="single" w:sz="4"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Nucleated red blood cells</w:t>
            </w:r>
          </w:p>
        </w:tc>
      </w:tr>
      <w:tr w:rsidR="00073995" w:rsidRPr="00073995" w:rsidTr="00073995">
        <w:trPr>
          <w:trHeight w:val="735"/>
        </w:trPr>
        <w:tc>
          <w:tcPr>
            <w:tcW w:w="1440" w:type="dxa"/>
            <w:vMerge/>
            <w:tcBorders>
              <w:top w:val="single" w:sz="8" w:space="0" w:color="auto"/>
              <w:left w:val="single" w:sz="4" w:space="0" w:color="auto"/>
              <w:bottom w:val="nil"/>
              <w:right w:val="nil"/>
            </w:tcBorders>
            <w:vAlign w:val="center"/>
            <w:hideMark/>
          </w:tcPr>
          <w:p w:rsidR="00073995" w:rsidRPr="00073995" w:rsidRDefault="00073995" w:rsidP="00073995">
            <w:pPr>
              <w:spacing w:after="0" w:line="240" w:lineRule="auto"/>
              <w:rPr>
                <w:rFonts w:ascii="Calibri" w:eastAsia="Times New Roman" w:hAnsi="Calibri" w:cs="Calibri"/>
                <w:color w:val="000000"/>
                <w:sz w:val="18"/>
                <w:szCs w:val="18"/>
                <w:lang w:eastAsia="en-AU"/>
              </w:rPr>
            </w:pPr>
          </w:p>
        </w:tc>
        <w:tc>
          <w:tcPr>
            <w:tcW w:w="1360" w:type="dxa"/>
            <w:tcBorders>
              <w:top w:val="nil"/>
              <w:left w:val="single" w:sz="8" w:space="0" w:color="auto"/>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Polychromasia increased</w:t>
            </w:r>
          </w:p>
        </w:tc>
        <w:tc>
          <w:tcPr>
            <w:tcW w:w="1440"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Dimorphism / Dimorphic red blood cells</w:t>
            </w:r>
          </w:p>
        </w:tc>
        <w:tc>
          <w:tcPr>
            <w:tcW w:w="1440" w:type="dxa"/>
            <w:tcBorders>
              <w:top w:val="nil"/>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40" w:type="dxa"/>
            <w:tcBorders>
              <w:top w:val="nil"/>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Polychromasia increased</w:t>
            </w:r>
          </w:p>
        </w:tc>
        <w:tc>
          <w:tcPr>
            <w:tcW w:w="1440" w:type="dxa"/>
            <w:tcBorders>
              <w:top w:val="nil"/>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40"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40"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Spherocytes</w:t>
            </w:r>
          </w:p>
        </w:tc>
        <w:tc>
          <w:tcPr>
            <w:tcW w:w="1440" w:type="dxa"/>
            <w:tcBorders>
              <w:top w:val="nil"/>
              <w:left w:val="nil"/>
              <w:bottom w:val="single" w:sz="8" w:space="0" w:color="auto"/>
              <w:right w:val="single" w:sz="4" w:space="0" w:color="auto"/>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r>
      <w:tr w:rsidR="00073995" w:rsidRPr="00073995" w:rsidTr="00073995">
        <w:trPr>
          <w:trHeight w:val="720"/>
        </w:trPr>
        <w:tc>
          <w:tcPr>
            <w:tcW w:w="1440" w:type="dxa"/>
            <w:vMerge w:val="restart"/>
            <w:tcBorders>
              <w:top w:val="single" w:sz="8" w:space="0" w:color="auto"/>
              <w:left w:val="single" w:sz="4" w:space="0" w:color="auto"/>
              <w:bottom w:val="single" w:sz="8" w:space="0" w:color="000000"/>
              <w:right w:val="single" w:sz="8" w:space="0" w:color="auto"/>
            </w:tcBorders>
            <w:shd w:val="clear" w:color="000000" w:fill="B4C6E7"/>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WBC Features</w:t>
            </w:r>
          </w:p>
        </w:tc>
        <w:tc>
          <w:tcPr>
            <w:tcW w:w="1360" w:type="dxa"/>
            <w:tcBorders>
              <w:top w:val="single" w:sz="8" w:space="0" w:color="auto"/>
              <w:left w:val="single" w:sz="8" w:space="0" w:color="auto"/>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nil"/>
              <w:left w:val="nil"/>
              <w:bottom w:val="nil"/>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 xml:space="preserve">Neutrophils - </w:t>
            </w:r>
            <w:proofErr w:type="spellStart"/>
            <w:r w:rsidRPr="00073995">
              <w:rPr>
                <w:rFonts w:ascii="Calibri" w:eastAsia="Times New Roman" w:hAnsi="Calibri" w:cs="Calibri"/>
                <w:color w:val="000000"/>
                <w:sz w:val="18"/>
                <w:szCs w:val="18"/>
                <w:lang w:eastAsia="en-AU"/>
              </w:rPr>
              <w:t>hyposegmented</w:t>
            </w:r>
            <w:proofErr w:type="spellEnd"/>
          </w:p>
        </w:tc>
        <w:tc>
          <w:tcPr>
            <w:tcW w:w="1440"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single" w:sz="8" w:space="0" w:color="auto"/>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 xml:space="preserve">Neutrophils - </w:t>
            </w:r>
            <w:proofErr w:type="spellStart"/>
            <w:r w:rsidRPr="00073995">
              <w:rPr>
                <w:rFonts w:ascii="Calibri" w:eastAsia="Times New Roman" w:hAnsi="Calibri" w:cs="Calibri"/>
                <w:color w:val="9C5700"/>
                <w:sz w:val="18"/>
                <w:szCs w:val="18"/>
                <w:lang w:eastAsia="en-AU"/>
              </w:rPr>
              <w:t>hypergranulation</w:t>
            </w:r>
            <w:proofErr w:type="spellEnd"/>
          </w:p>
        </w:tc>
        <w:tc>
          <w:tcPr>
            <w:tcW w:w="1440"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40" w:type="dxa"/>
            <w:tcBorders>
              <w:top w:val="nil"/>
              <w:left w:val="nil"/>
              <w:bottom w:val="nil"/>
              <w:right w:val="single" w:sz="4" w:space="0" w:color="auto"/>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 xml:space="preserve">Neutrophils - </w:t>
            </w:r>
            <w:proofErr w:type="spellStart"/>
            <w:r w:rsidRPr="00073995">
              <w:rPr>
                <w:rFonts w:ascii="Calibri" w:eastAsia="Times New Roman" w:hAnsi="Calibri" w:cs="Calibri"/>
                <w:color w:val="000000"/>
                <w:sz w:val="18"/>
                <w:szCs w:val="18"/>
                <w:lang w:eastAsia="en-AU"/>
              </w:rPr>
              <w:t>hyposegmented</w:t>
            </w:r>
            <w:proofErr w:type="spellEnd"/>
          </w:p>
        </w:tc>
      </w:tr>
      <w:tr w:rsidR="00073995" w:rsidRPr="00073995" w:rsidTr="00073995">
        <w:trPr>
          <w:trHeight w:val="735"/>
        </w:trPr>
        <w:tc>
          <w:tcPr>
            <w:tcW w:w="1440" w:type="dxa"/>
            <w:vMerge/>
            <w:tcBorders>
              <w:top w:val="single" w:sz="8" w:space="0" w:color="auto"/>
              <w:left w:val="single" w:sz="4" w:space="0" w:color="auto"/>
              <w:bottom w:val="single" w:sz="8" w:space="0" w:color="000000"/>
              <w:right w:val="single" w:sz="8" w:space="0" w:color="auto"/>
            </w:tcBorders>
            <w:vAlign w:val="center"/>
            <w:hideMark/>
          </w:tcPr>
          <w:p w:rsidR="00073995" w:rsidRPr="00073995" w:rsidRDefault="00073995" w:rsidP="00073995">
            <w:pPr>
              <w:spacing w:after="0" w:line="240" w:lineRule="auto"/>
              <w:rPr>
                <w:rFonts w:ascii="Calibri" w:eastAsia="Times New Roman" w:hAnsi="Calibri" w:cs="Calibri"/>
                <w:color w:val="000000"/>
                <w:sz w:val="18"/>
                <w:szCs w:val="18"/>
                <w:lang w:eastAsia="en-AU"/>
              </w:rPr>
            </w:pPr>
          </w:p>
        </w:tc>
        <w:tc>
          <w:tcPr>
            <w:tcW w:w="136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 xml:space="preserve">Neutrophil – </w:t>
            </w:r>
            <w:proofErr w:type="spellStart"/>
            <w:r w:rsidRPr="00073995">
              <w:rPr>
                <w:rFonts w:ascii="Calibri" w:eastAsia="Times New Roman" w:hAnsi="Calibri" w:cs="Calibri"/>
                <w:color w:val="000000"/>
                <w:sz w:val="18"/>
                <w:szCs w:val="18"/>
                <w:lang w:eastAsia="en-AU"/>
              </w:rPr>
              <w:t>Hypogranulation</w:t>
            </w:r>
            <w:proofErr w:type="spellEnd"/>
            <w:r w:rsidRPr="00073995">
              <w:rPr>
                <w:rFonts w:ascii="Calibri" w:eastAsia="Times New Roman" w:hAnsi="Calibri" w:cs="Calibri"/>
                <w:color w:val="000000"/>
                <w:sz w:val="18"/>
                <w:szCs w:val="18"/>
                <w:lang w:eastAsia="en-AU"/>
              </w:rPr>
              <w:t>.</w:t>
            </w: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nil"/>
              <w:left w:val="nil"/>
              <w:bottom w:val="single" w:sz="8" w:space="0" w:color="auto"/>
              <w:right w:val="single" w:sz="4" w:space="0" w:color="auto"/>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r>
      <w:tr w:rsidR="00073995" w:rsidRPr="00073995" w:rsidTr="00073995">
        <w:trPr>
          <w:trHeight w:val="975"/>
        </w:trPr>
        <w:tc>
          <w:tcPr>
            <w:tcW w:w="1440" w:type="dxa"/>
            <w:tcBorders>
              <w:top w:val="nil"/>
              <w:left w:val="single" w:sz="4" w:space="0" w:color="auto"/>
              <w:bottom w:val="nil"/>
              <w:right w:val="nil"/>
            </w:tcBorders>
            <w:shd w:val="clear" w:color="000000" w:fill="D6DCE4"/>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Platelet Features</w:t>
            </w:r>
          </w:p>
        </w:tc>
        <w:tc>
          <w:tcPr>
            <w:tcW w:w="1360" w:type="dxa"/>
            <w:tcBorders>
              <w:top w:val="single" w:sz="8" w:space="0" w:color="auto"/>
              <w:left w:val="single" w:sz="8" w:space="0" w:color="auto"/>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Inaccurate platelet count</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4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Inaccurate platelet count</w:t>
            </w:r>
          </w:p>
        </w:tc>
        <w:tc>
          <w:tcPr>
            <w:tcW w:w="144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40" w:type="dxa"/>
            <w:tcBorders>
              <w:top w:val="single" w:sz="8" w:space="0" w:color="auto"/>
              <w:left w:val="nil"/>
              <w:bottom w:val="single" w:sz="8" w:space="0" w:color="auto"/>
              <w:right w:val="single" w:sz="4" w:space="0" w:color="auto"/>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r>
      <w:tr w:rsidR="00073995" w:rsidRPr="00073995" w:rsidTr="00073995">
        <w:trPr>
          <w:trHeight w:val="975"/>
        </w:trPr>
        <w:tc>
          <w:tcPr>
            <w:tcW w:w="1440" w:type="dxa"/>
            <w:tcBorders>
              <w:top w:val="single" w:sz="8" w:space="0" w:color="auto"/>
              <w:left w:val="single" w:sz="4" w:space="0" w:color="auto"/>
              <w:bottom w:val="single" w:sz="4" w:space="0" w:color="auto"/>
              <w:right w:val="single" w:sz="8" w:space="0" w:color="auto"/>
            </w:tcBorders>
            <w:shd w:val="clear" w:color="000000" w:fill="C6EFCE"/>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Primary Diagnosis </w:t>
            </w:r>
          </w:p>
        </w:tc>
        <w:tc>
          <w:tcPr>
            <w:tcW w:w="1360" w:type="dxa"/>
            <w:tcBorders>
              <w:top w:val="single" w:sz="8" w:space="0" w:color="auto"/>
              <w:left w:val="single" w:sz="8" w:space="0" w:color="auto"/>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nil"/>
              <w:left w:val="nil"/>
              <w:bottom w:val="single" w:sz="4"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Autoimmune haemolytic anaemia - warm</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40" w:type="dxa"/>
            <w:tcBorders>
              <w:top w:val="single" w:sz="8" w:space="0" w:color="auto"/>
              <w:left w:val="nil"/>
              <w:bottom w:val="single" w:sz="4" w:space="0" w:color="auto"/>
              <w:right w:val="single" w:sz="4" w:space="0" w:color="auto"/>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r>
    </w:tbl>
    <w:p w:rsidR="00DD2B25" w:rsidRDefault="00DD2B25">
      <w:pPr>
        <w:rPr>
          <w:rFonts w:ascii="Arial" w:hAnsi="Arial" w:cs="Arial"/>
          <w:sz w:val="27"/>
          <w:szCs w:val="27"/>
        </w:rPr>
      </w:pPr>
    </w:p>
    <w:tbl>
      <w:tblPr>
        <w:tblW w:w="5760" w:type="dxa"/>
        <w:tblLook w:val="04A0" w:firstRow="1" w:lastRow="0" w:firstColumn="1" w:lastColumn="0" w:noHBand="0" w:noVBand="1"/>
      </w:tblPr>
      <w:tblGrid>
        <w:gridCol w:w="1440"/>
        <w:gridCol w:w="1440"/>
        <w:gridCol w:w="1440"/>
        <w:gridCol w:w="1440"/>
      </w:tblGrid>
      <w:tr w:rsidR="00073995" w:rsidRPr="00073995" w:rsidTr="00073995">
        <w:trPr>
          <w:trHeight w:val="780"/>
        </w:trPr>
        <w:tc>
          <w:tcPr>
            <w:tcW w:w="144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20"/>
                <w:szCs w:val="20"/>
                <w:lang w:eastAsia="en-AU"/>
              </w:rPr>
            </w:pPr>
            <w:r w:rsidRPr="00073995">
              <w:rPr>
                <w:rFonts w:ascii="Calibri" w:eastAsia="Times New Roman" w:hAnsi="Calibri" w:cs="Calibri"/>
                <w:color w:val="006100"/>
                <w:sz w:val="20"/>
                <w:szCs w:val="20"/>
                <w:lang w:eastAsia="en-AU"/>
              </w:rPr>
              <w:t>High scoring response</w:t>
            </w:r>
          </w:p>
        </w:tc>
        <w:tc>
          <w:tcPr>
            <w:tcW w:w="144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20"/>
                <w:szCs w:val="20"/>
                <w:lang w:eastAsia="en-AU"/>
              </w:rPr>
            </w:pPr>
            <w:r w:rsidRPr="00073995">
              <w:rPr>
                <w:rFonts w:ascii="Calibri" w:eastAsia="Times New Roman" w:hAnsi="Calibri" w:cs="Calibri"/>
                <w:color w:val="9C5700"/>
                <w:sz w:val="20"/>
                <w:szCs w:val="20"/>
                <w:lang w:eastAsia="en-AU"/>
              </w:rPr>
              <w:t>Moderate scoring response</w:t>
            </w:r>
          </w:p>
        </w:tc>
        <w:tc>
          <w:tcPr>
            <w:tcW w:w="1440" w:type="dxa"/>
            <w:tcBorders>
              <w:top w:val="single" w:sz="8" w:space="0" w:color="auto"/>
              <w:left w:val="nil"/>
              <w:bottom w:val="single" w:sz="8" w:space="0" w:color="auto"/>
              <w:right w:val="single" w:sz="8" w:space="0" w:color="auto"/>
            </w:tcBorders>
            <w:shd w:val="clear" w:color="000000" w:fill="FFF2CC"/>
            <w:vAlign w:val="center"/>
            <w:hideMark/>
          </w:tcPr>
          <w:p w:rsidR="00073995" w:rsidRPr="00073995" w:rsidRDefault="00073995" w:rsidP="00073995">
            <w:pPr>
              <w:spacing w:after="0" w:line="240" w:lineRule="auto"/>
              <w:jc w:val="center"/>
              <w:rPr>
                <w:rFonts w:ascii="Calibri" w:eastAsia="Times New Roman" w:hAnsi="Calibri" w:cs="Calibri"/>
                <w:color w:val="BF8F00"/>
                <w:sz w:val="20"/>
                <w:szCs w:val="20"/>
                <w:lang w:eastAsia="en-AU"/>
              </w:rPr>
            </w:pPr>
            <w:r w:rsidRPr="00073995">
              <w:rPr>
                <w:rFonts w:ascii="Calibri" w:eastAsia="Times New Roman" w:hAnsi="Calibri" w:cs="Calibri"/>
                <w:color w:val="BF8F00"/>
                <w:sz w:val="20"/>
                <w:szCs w:val="20"/>
                <w:lang w:eastAsia="en-AU"/>
              </w:rPr>
              <w:t xml:space="preserve">Low scoring response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xml:space="preserve">Response given no score </w:t>
            </w:r>
          </w:p>
        </w:tc>
      </w:tr>
    </w:tbl>
    <w:p w:rsidR="00073995" w:rsidRDefault="00073995">
      <w:pPr>
        <w:rPr>
          <w:rFonts w:ascii="Arial" w:hAnsi="Arial" w:cs="Arial"/>
          <w:sz w:val="27"/>
          <w:szCs w:val="27"/>
        </w:rPr>
      </w:pPr>
    </w:p>
    <w:p w:rsidR="00073995" w:rsidRDefault="00073995">
      <w:pPr>
        <w:rPr>
          <w:rFonts w:ascii="Arial" w:hAnsi="Arial" w:cs="Arial"/>
          <w:sz w:val="27"/>
          <w:szCs w:val="27"/>
        </w:rPr>
      </w:pPr>
    </w:p>
    <w:p w:rsidR="00073995" w:rsidRDefault="00073995">
      <w:pPr>
        <w:rPr>
          <w:rFonts w:ascii="Arial" w:hAnsi="Arial" w:cs="Arial"/>
          <w:sz w:val="27"/>
          <w:szCs w:val="27"/>
        </w:rPr>
      </w:pPr>
    </w:p>
    <w:p w:rsidR="00073995" w:rsidRDefault="00073995">
      <w:pPr>
        <w:rPr>
          <w:rFonts w:ascii="Arial" w:hAnsi="Arial" w:cs="Arial"/>
          <w:sz w:val="27"/>
          <w:szCs w:val="27"/>
        </w:rPr>
      </w:pPr>
    </w:p>
    <w:p w:rsidR="00073995" w:rsidRDefault="00073995">
      <w:pPr>
        <w:rPr>
          <w:rFonts w:ascii="Arial" w:hAnsi="Arial" w:cs="Arial"/>
          <w:sz w:val="27"/>
          <w:szCs w:val="27"/>
        </w:rPr>
      </w:pPr>
    </w:p>
    <w:p w:rsidR="00073995" w:rsidRDefault="00073995">
      <w:pPr>
        <w:rPr>
          <w:rFonts w:ascii="Arial" w:hAnsi="Arial" w:cs="Arial"/>
          <w:sz w:val="27"/>
          <w:szCs w:val="27"/>
        </w:rPr>
      </w:pPr>
    </w:p>
    <w:tbl>
      <w:tblPr>
        <w:tblW w:w="13974" w:type="dxa"/>
        <w:tblInd w:w="-436" w:type="dxa"/>
        <w:tblLook w:val="04A0" w:firstRow="1" w:lastRow="0" w:firstColumn="1" w:lastColumn="0" w:noHBand="0" w:noVBand="1"/>
      </w:tblPr>
      <w:tblGrid>
        <w:gridCol w:w="909"/>
        <w:gridCol w:w="1456"/>
        <w:gridCol w:w="1530"/>
        <w:gridCol w:w="1268"/>
        <w:gridCol w:w="1456"/>
        <w:gridCol w:w="1481"/>
        <w:gridCol w:w="1456"/>
        <w:gridCol w:w="1481"/>
        <w:gridCol w:w="1456"/>
        <w:gridCol w:w="1481"/>
      </w:tblGrid>
      <w:tr w:rsidR="00073995" w:rsidRPr="00073995" w:rsidTr="00073995">
        <w:trPr>
          <w:trHeight w:val="960"/>
        </w:trPr>
        <w:tc>
          <w:tcPr>
            <w:tcW w:w="909" w:type="dxa"/>
            <w:vMerge w:val="restart"/>
            <w:tcBorders>
              <w:top w:val="single" w:sz="8" w:space="0" w:color="auto"/>
              <w:left w:val="single" w:sz="8" w:space="0" w:color="auto"/>
              <w:bottom w:val="single" w:sz="8" w:space="0" w:color="000000"/>
              <w:right w:val="single" w:sz="8" w:space="0" w:color="auto"/>
            </w:tcBorders>
            <w:shd w:val="clear" w:color="000000" w:fill="FFCCFF"/>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lastRenderedPageBreak/>
              <w:t>RBC Features</w:t>
            </w:r>
          </w:p>
        </w:tc>
        <w:tc>
          <w:tcPr>
            <w:tcW w:w="1456" w:type="dxa"/>
            <w:tcBorders>
              <w:top w:val="single" w:sz="8" w:space="0" w:color="auto"/>
              <w:left w:val="single" w:sz="8" w:space="0" w:color="auto"/>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Nucleated red blood cells</w:t>
            </w:r>
          </w:p>
        </w:tc>
        <w:tc>
          <w:tcPr>
            <w:tcW w:w="1530" w:type="dxa"/>
            <w:tcBorders>
              <w:top w:val="single" w:sz="8" w:space="0" w:color="auto"/>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268"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56"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81" w:type="dxa"/>
            <w:tcBorders>
              <w:top w:val="single" w:sz="8" w:space="0" w:color="auto"/>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56" w:type="dxa"/>
            <w:tcBorders>
              <w:top w:val="single" w:sz="8" w:space="0" w:color="auto"/>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Dimorphism / Dimorphic red blood cells</w:t>
            </w:r>
          </w:p>
        </w:tc>
        <w:tc>
          <w:tcPr>
            <w:tcW w:w="1481"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56" w:type="dxa"/>
            <w:tcBorders>
              <w:top w:val="single" w:sz="8" w:space="0" w:color="auto"/>
              <w:left w:val="nil"/>
              <w:bottom w:val="nil"/>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Irregularly contracted cells</w:t>
            </w:r>
          </w:p>
        </w:tc>
        <w:tc>
          <w:tcPr>
            <w:tcW w:w="1481" w:type="dxa"/>
            <w:tcBorders>
              <w:top w:val="single" w:sz="8" w:space="0" w:color="auto"/>
              <w:left w:val="nil"/>
              <w:bottom w:val="nil"/>
              <w:right w:val="single" w:sz="8"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Nucleated red blood cells</w:t>
            </w:r>
          </w:p>
        </w:tc>
      </w:tr>
      <w:tr w:rsidR="00073995" w:rsidRPr="00073995" w:rsidTr="00073995">
        <w:trPr>
          <w:trHeight w:val="720"/>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073995" w:rsidRPr="00073995" w:rsidRDefault="00073995" w:rsidP="00073995">
            <w:pPr>
              <w:spacing w:after="0" w:line="240" w:lineRule="auto"/>
              <w:rPr>
                <w:rFonts w:ascii="Calibri" w:eastAsia="Times New Roman" w:hAnsi="Calibri" w:cs="Calibri"/>
                <w:color w:val="000000"/>
                <w:sz w:val="20"/>
                <w:szCs w:val="20"/>
                <w:lang w:eastAsia="en-AU"/>
              </w:rPr>
            </w:pPr>
          </w:p>
        </w:tc>
        <w:tc>
          <w:tcPr>
            <w:tcW w:w="1456" w:type="dxa"/>
            <w:tcBorders>
              <w:top w:val="nil"/>
              <w:left w:val="single" w:sz="8" w:space="0" w:color="auto"/>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Macrocytes round</w:t>
            </w:r>
          </w:p>
        </w:tc>
        <w:tc>
          <w:tcPr>
            <w:tcW w:w="1530"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268"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56"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81"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Macrocytes round</w:t>
            </w:r>
          </w:p>
        </w:tc>
        <w:tc>
          <w:tcPr>
            <w:tcW w:w="1456"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81"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56"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81" w:type="dxa"/>
            <w:tcBorders>
              <w:top w:val="nil"/>
              <w:left w:val="nil"/>
              <w:bottom w:val="nil"/>
              <w:right w:val="single" w:sz="8" w:space="0" w:color="auto"/>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r>
      <w:tr w:rsidR="00073995" w:rsidRPr="00073995" w:rsidTr="00073995">
        <w:trPr>
          <w:trHeight w:val="480"/>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073995" w:rsidRPr="00073995" w:rsidRDefault="00073995" w:rsidP="00073995">
            <w:pPr>
              <w:spacing w:after="0" w:line="240" w:lineRule="auto"/>
              <w:rPr>
                <w:rFonts w:ascii="Calibri" w:eastAsia="Times New Roman" w:hAnsi="Calibri" w:cs="Calibri"/>
                <w:color w:val="000000"/>
                <w:sz w:val="20"/>
                <w:szCs w:val="20"/>
                <w:lang w:eastAsia="en-AU"/>
              </w:rPr>
            </w:pPr>
          </w:p>
        </w:tc>
        <w:tc>
          <w:tcPr>
            <w:tcW w:w="1456" w:type="dxa"/>
            <w:tcBorders>
              <w:top w:val="nil"/>
              <w:left w:val="single" w:sz="8" w:space="0" w:color="auto"/>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530"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proofErr w:type="spellStart"/>
            <w:r w:rsidRPr="00073995">
              <w:rPr>
                <w:rFonts w:ascii="Calibri" w:eastAsia="Times New Roman" w:hAnsi="Calibri" w:cs="Calibri"/>
                <w:color w:val="9C5700"/>
                <w:sz w:val="18"/>
                <w:szCs w:val="18"/>
                <w:lang w:eastAsia="en-AU"/>
              </w:rPr>
              <w:t>Microspherocytes</w:t>
            </w:r>
            <w:proofErr w:type="spellEnd"/>
          </w:p>
        </w:tc>
        <w:tc>
          <w:tcPr>
            <w:tcW w:w="1268"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Spherocytes</w:t>
            </w:r>
          </w:p>
        </w:tc>
        <w:tc>
          <w:tcPr>
            <w:tcW w:w="1456"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Schistocytes</w:t>
            </w:r>
          </w:p>
        </w:tc>
        <w:tc>
          <w:tcPr>
            <w:tcW w:w="1481"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Basophilic stippling</w:t>
            </w:r>
          </w:p>
        </w:tc>
        <w:tc>
          <w:tcPr>
            <w:tcW w:w="1456"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81" w:type="dxa"/>
            <w:tcBorders>
              <w:top w:val="nil"/>
              <w:left w:val="nil"/>
              <w:bottom w:val="nil"/>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56" w:type="dxa"/>
            <w:tcBorders>
              <w:top w:val="nil"/>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81" w:type="dxa"/>
            <w:tcBorders>
              <w:top w:val="nil"/>
              <w:left w:val="nil"/>
              <w:bottom w:val="nil"/>
              <w:right w:val="single" w:sz="8"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Basophilic stippling</w:t>
            </w:r>
          </w:p>
        </w:tc>
      </w:tr>
      <w:tr w:rsidR="00073995" w:rsidRPr="00073995" w:rsidTr="00073995">
        <w:trPr>
          <w:trHeight w:val="975"/>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073995" w:rsidRPr="00073995" w:rsidRDefault="00073995" w:rsidP="00073995">
            <w:pPr>
              <w:spacing w:after="0" w:line="240" w:lineRule="auto"/>
              <w:rPr>
                <w:rFonts w:ascii="Calibri" w:eastAsia="Times New Roman" w:hAnsi="Calibri" w:cs="Calibri"/>
                <w:color w:val="000000"/>
                <w:sz w:val="20"/>
                <w:szCs w:val="20"/>
                <w:lang w:eastAsia="en-AU"/>
              </w:rPr>
            </w:pPr>
          </w:p>
        </w:tc>
        <w:tc>
          <w:tcPr>
            <w:tcW w:w="1456" w:type="dxa"/>
            <w:tcBorders>
              <w:top w:val="nil"/>
              <w:left w:val="single" w:sz="8" w:space="0" w:color="auto"/>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Spherocytes</w:t>
            </w:r>
          </w:p>
        </w:tc>
        <w:tc>
          <w:tcPr>
            <w:tcW w:w="1530"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Macrocytes round</w:t>
            </w:r>
          </w:p>
        </w:tc>
        <w:tc>
          <w:tcPr>
            <w:tcW w:w="1268" w:type="dxa"/>
            <w:tcBorders>
              <w:top w:val="nil"/>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Macrocytes oval</w:t>
            </w:r>
          </w:p>
        </w:tc>
        <w:tc>
          <w:tcPr>
            <w:tcW w:w="1456"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Microcytes</w:t>
            </w:r>
          </w:p>
        </w:tc>
        <w:tc>
          <w:tcPr>
            <w:tcW w:w="1481" w:type="dxa"/>
            <w:tcBorders>
              <w:top w:val="nil"/>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Tear drop cells</w:t>
            </w:r>
          </w:p>
        </w:tc>
        <w:tc>
          <w:tcPr>
            <w:tcW w:w="1456"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81"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Hypochromia</w:t>
            </w:r>
          </w:p>
        </w:tc>
        <w:tc>
          <w:tcPr>
            <w:tcW w:w="1456"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Polychromasia increased</w:t>
            </w:r>
          </w:p>
        </w:tc>
        <w:tc>
          <w:tcPr>
            <w:tcW w:w="1481" w:type="dxa"/>
            <w:tcBorders>
              <w:top w:val="nil"/>
              <w:left w:val="nil"/>
              <w:bottom w:val="single" w:sz="8" w:space="0" w:color="auto"/>
              <w:right w:val="single" w:sz="8"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Dimorphism / Dimorphic red blood cells</w:t>
            </w:r>
          </w:p>
        </w:tc>
      </w:tr>
      <w:tr w:rsidR="00073995" w:rsidRPr="00073995" w:rsidTr="00073995">
        <w:trPr>
          <w:trHeight w:val="960"/>
        </w:trPr>
        <w:tc>
          <w:tcPr>
            <w:tcW w:w="909" w:type="dxa"/>
            <w:vMerge w:val="restart"/>
            <w:tcBorders>
              <w:top w:val="nil"/>
              <w:left w:val="single" w:sz="8" w:space="0" w:color="auto"/>
              <w:bottom w:val="single" w:sz="8" w:space="0" w:color="000000"/>
              <w:right w:val="single" w:sz="8" w:space="0" w:color="auto"/>
            </w:tcBorders>
            <w:shd w:val="clear" w:color="000000" w:fill="B4C6E7"/>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WBC Features</w:t>
            </w:r>
          </w:p>
        </w:tc>
        <w:tc>
          <w:tcPr>
            <w:tcW w:w="1456"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530" w:type="dxa"/>
            <w:tcBorders>
              <w:top w:val="nil"/>
              <w:left w:val="nil"/>
              <w:bottom w:val="nil"/>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 xml:space="preserve">Neutrophils – </w:t>
            </w:r>
            <w:proofErr w:type="gramStart"/>
            <w:r w:rsidRPr="00073995">
              <w:rPr>
                <w:rFonts w:ascii="Calibri" w:eastAsia="Times New Roman" w:hAnsi="Calibri" w:cs="Calibri"/>
                <w:color w:val="000000"/>
                <w:sz w:val="18"/>
                <w:szCs w:val="18"/>
                <w:lang w:eastAsia="en-AU"/>
              </w:rPr>
              <w:t>other</w:t>
            </w:r>
            <w:proofErr w:type="gramEnd"/>
            <w:r w:rsidRPr="00073995">
              <w:rPr>
                <w:rFonts w:ascii="Calibri" w:eastAsia="Times New Roman" w:hAnsi="Calibri" w:cs="Calibri"/>
                <w:color w:val="000000"/>
                <w:sz w:val="18"/>
                <w:szCs w:val="18"/>
                <w:lang w:eastAsia="en-AU"/>
              </w:rPr>
              <w:t xml:space="preserve"> abnormal granulation</w:t>
            </w:r>
          </w:p>
        </w:tc>
        <w:tc>
          <w:tcPr>
            <w:tcW w:w="1268" w:type="dxa"/>
            <w:tcBorders>
              <w:top w:val="nil"/>
              <w:left w:val="nil"/>
              <w:bottom w:val="nil"/>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56"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81"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56"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81"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56" w:type="dxa"/>
            <w:tcBorders>
              <w:top w:val="single" w:sz="8" w:space="0" w:color="auto"/>
              <w:left w:val="nil"/>
              <w:bottom w:val="nil"/>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 xml:space="preserve">Neutrophils – </w:t>
            </w:r>
            <w:proofErr w:type="spellStart"/>
            <w:r w:rsidRPr="00073995">
              <w:rPr>
                <w:rFonts w:ascii="Calibri" w:eastAsia="Times New Roman" w:hAnsi="Calibri" w:cs="Calibri"/>
                <w:color w:val="006100"/>
                <w:sz w:val="18"/>
                <w:szCs w:val="18"/>
                <w:lang w:eastAsia="en-AU"/>
              </w:rPr>
              <w:t>hypersegmented</w:t>
            </w:r>
            <w:proofErr w:type="spellEnd"/>
          </w:p>
        </w:tc>
        <w:tc>
          <w:tcPr>
            <w:tcW w:w="1481" w:type="dxa"/>
            <w:tcBorders>
              <w:top w:val="single" w:sz="8" w:space="0" w:color="auto"/>
              <w:left w:val="nil"/>
              <w:bottom w:val="nil"/>
              <w:right w:val="single" w:sz="8"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 xml:space="preserve">Neutrophils - </w:t>
            </w:r>
            <w:proofErr w:type="spellStart"/>
            <w:r w:rsidRPr="00073995">
              <w:rPr>
                <w:rFonts w:ascii="Calibri" w:eastAsia="Times New Roman" w:hAnsi="Calibri" w:cs="Calibri"/>
                <w:color w:val="9C5700"/>
                <w:sz w:val="18"/>
                <w:szCs w:val="18"/>
                <w:lang w:eastAsia="en-AU"/>
              </w:rPr>
              <w:t>hypergranulation</w:t>
            </w:r>
            <w:proofErr w:type="spellEnd"/>
          </w:p>
        </w:tc>
      </w:tr>
      <w:tr w:rsidR="00073995" w:rsidRPr="00073995" w:rsidTr="00073995">
        <w:trPr>
          <w:trHeight w:val="735"/>
        </w:trPr>
        <w:tc>
          <w:tcPr>
            <w:tcW w:w="909" w:type="dxa"/>
            <w:vMerge/>
            <w:tcBorders>
              <w:top w:val="nil"/>
              <w:left w:val="single" w:sz="8" w:space="0" w:color="auto"/>
              <w:bottom w:val="single" w:sz="8" w:space="0" w:color="000000"/>
              <w:right w:val="single" w:sz="8" w:space="0" w:color="auto"/>
            </w:tcBorders>
            <w:vAlign w:val="center"/>
            <w:hideMark/>
          </w:tcPr>
          <w:p w:rsidR="00073995" w:rsidRPr="00073995" w:rsidRDefault="00073995" w:rsidP="00073995">
            <w:pPr>
              <w:spacing w:after="0" w:line="240" w:lineRule="auto"/>
              <w:rPr>
                <w:rFonts w:ascii="Calibri" w:eastAsia="Times New Roman" w:hAnsi="Calibri" w:cs="Calibri"/>
                <w:color w:val="000000"/>
                <w:sz w:val="20"/>
                <w:szCs w:val="20"/>
                <w:lang w:eastAsia="en-AU"/>
              </w:rPr>
            </w:pPr>
          </w:p>
        </w:tc>
        <w:tc>
          <w:tcPr>
            <w:tcW w:w="1456"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53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268"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56"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81"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 xml:space="preserve">Neutrophils - </w:t>
            </w:r>
            <w:proofErr w:type="spellStart"/>
            <w:r w:rsidRPr="00073995">
              <w:rPr>
                <w:rFonts w:ascii="Calibri" w:eastAsia="Times New Roman" w:hAnsi="Calibri" w:cs="Calibri"/>
                <w:color w:val="9C5700"/>
                <w:sz w:val="18"/>
                <w:szCs w:val="18"/>
                <w:lang w:eastAsia="en-AU"/>
              </w:rPr>
              <w:t>hypergranulation</w:t>
            </w:r>
            <w:proofErr w:type="spellEnd"/>
          </w:p>
        </w:tc>
        <w:tc>
          <w:tcPr>
            <w:tcW w:w="1456"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81" w:type="dxa"/>
            <w:tcBorders>
              <w:top w:val="nil"/>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 xml:space="preserve">Neutrophils - </w:t>
            </w:r>
            <w:proofErr w:type="spellStart"/>
            <w:r w:rsidRPr="00073995">
              <w:rPr>
                <w:rFonts w:ascii="Calibri" w:eastAsia="Times New Roman" w:hAnsi="Calibri" w:cs="Calibri"/>
                <w:color w:val="9C5700"/>
                <w:sz w:val="18"/>
                <w:szCs w:val="18"/>
                <w:lang w:eastAsia="en-AU"/>
              </w:rPr>
              <w:t>hypergranulation</w:t>
            </w:r>
            <w:proofErr w:type="spellEnd"/>
          </w:p>
        </w:tc>
        <w:tc>
          <w:tcPr>
            <w:tcW w:w="1456"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81" w:type="dxa"/>
            <w:tcBorders>
              <w:top w:val="nil"/>
              <w:left w:val="nil"/>
              <w:bottom w:val="single" w:sz="8" w:space="0" w:color="auto"/>
              <w:right w:val="single" w:sz="8" w:space="0" w:color="auto"/>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Blast cells</w:t>
            </w:r>
          </w:p>
        </w:tc>
      </w:tr>
      <w:tr w:rsidR="00073995" w:rsidRPr="00073995" w:rsidTr="00073995">
        <w:trPr>
          <w:trHeight w:val="1215"/>
        </w:trPr>
        <w:tc>
          <w:tcPr>
            <w:tcW w:w="909" w:type="dxa"/>
            <w:tcBorders>
              <w:top w:val="nil"/>
              <w:left w:val="single" w:sz="8" w:space="0" w:color="auto"/>
              <w:bottom w:val="nil"/>
              <w:right w:val="nil"/>
            </w:tcBorders>
            <w:shd w:val="clear" w:color="000000" w:fill="D6DCE4"/>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Platelet Features</w:t>
            </w:r>
          </w:p>
        </w:tc>
        <w:tc>
          <w:tcPr>
            <w:tcW w:w="1456" w:type="dxa"/>
            <w:tcBorders>
              <w:top w:val="single" w:sz="8" w:space="0" w:color="auto"/>
              <w:left w:val="single" w:sz="8" w:space="0" w:color="auto"/>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530"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268"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56"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81"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Inaccurate platelet count</w:t>
            </w:r>
          </w:p>
        </w:tc>
        <w:tc>
          <w:tcPr>
            <w:tcW w:w="1456"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81"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Inaccurate platelet count</w:t>
            </w:r>
          </w:p>
        </w:tc>
        <w:tc>
          <w:tcPr>
            <w:tcW w:w="1456"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No significant morphological platelet abnormality</w:t>
            </w:r>
          </w:p>
        </w:tc>
        <w:tc>
          <w:tcPr>
            <w:tcW w:w="1481" w:type="dxa"/>
            <w:tcBorders>
              <w:top w:val="single" w:sz="8" w:space="0" w:color="auto"/>
              <w:left w:val="nil"/>
              <w:bottom w:val="single" w:sz="8" w:space="0" w:color="auto"/>
              <w:right w:val="single" w:sz="8" w:space="0" w:color="auto"/>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Inaccurate platelet count</w:t>
            </w:r>
          </w:p>
        </w:tc>
      </w:tr>
      <w:tr w:rsidR="00073995" w:rsidRPr="00073995" w:rsidTr="00073995">
        <w:trPr>
          <w:trHeight w:val="975"/>
        </w:trPr>
        <w:tc>
          <w:tcPr>
            <w:tcW w:w="909" w:type="dxa"/>
            <w:tcBorders>
              <w:top w:val="single" w:sz="8" w:space="0" w:color="auto"/>
              <w:left w:val="single" w:sz="8" w:space="0" w:color="auto"/>
              <w:bottom w:val="single" w:sz="8" w:space="0" w:color="auto"/>
              <w:right w:val="single" w:sz="8" w:space="0" w:color="auto"/>
            </w:tcBorders>
            <w:shd w:val="clear" w:color="000000" w:fill="C6EFCE"/>
            <w:textDirection w:val="tbRl"/>
            <w:vAlign w:val="center"/>
            <w:hideMark/>
          </w:tcPr>
          <w:p w:rsidR="00073995" w:rsidRPr="00073995" w:rsidRDefault="00073995" w:rsidP="00073995">
            <w:pPr>
              <w:spacing w:after="0" w:line="240" w:lineRule="auto"/>
              <w:jc w:val="center"/>
              <w:rPr>
                <w:rFonts w:ascii="Calibri" w:eastAsia="Times New Roman" w:hAnsi="Calibri" w:cs="Calibri"/>
                <w:color w:val="006100"/>
                <w:sz w:val="20"/>
                <w:szCs w:val="20"/>
                <w:lang w:eastAsia="en-AU"/>
              </w:rPr>
            </w:pPr>
            <w:r w:rsidRPr="00073995">
              <w:rPr>
                <w:rFonts w:ascii="Calibri" w:eastAsia="Times New Roman" w:hAnsi="Calibri" w:cs="Calibri"/>
                <w:color w:val="006100"/>
                <w:sz w:val="20"/>
                <w:szCs w:val="20"/>
                <w:lang w:eastAsia="en-AU"/>
              </w:rPr>
              <w:t xml:space="preserve">Primary Diagnosis </w:t>
            </w:r>
          </w:p>
        </w:tc>
        <w:tc>
          <w:tcPr>
            <w:tcW w:w="1456"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530"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r w:rsidRPr="00073995">
              <w:rPr>
                <w:rFonts w:ascii="Calibri" w:eastAsia="Times New Roman" w:hAnsi="Calibri" w:cs="Calibri"/>
                <w:color w:val="000000"/>
                <w:sz w:val="18"/>
                <w:szCs w:val="18"/>
                <w:lang w:eastAsia="en-AU"/>
              </w:rPr>
              <w:t>Fragmentation haemolysis</w:t>
            </w:r>
          </w:p>
        </w:tc>
        <w:tc>
          <w:tcPr>
            <w:tcW w:w="1268" w:type="dxa"/>
            <w:tcBorders>
              <w:top w:val="nil"/>
              <w:left w:val="nil"/>
              <w:bottom w:val="single" w:sz="8" w:space="0" w:color="auto"/>
              <w:right w:val="nil"/>
            </w:tcBorders>
            <w:shd w:val="clear" w:color="auto" w:fill="auto"/>
            <w:vAlign w:val="center"/>
            <w:hideMark/>
          </w:tcPr>
          <w:p w:rsidR="00073995" w:rsidRPr="00073995" w:rsidRDefault="00073995" w:rsidP="00073995">
            <w:pPr>
              <w:spacing w:after="0" w:line="240" w:lineRule="auto"/>
              <w:jc w:val="center"/>
              <w:rPr>
                <w:rFonts w:ascii="Calibri" w:eastAsia="Times New Roman" w:hAnsi="Calibri" w:cs="Calibri"/>
                <w:color w:val="000000"/>
                <w:sz w:val="18"/>
                <w:szCs w:val="18"/>
                <w:lang w:eastAsia="en-AU"/>
              </w:rPr>
            </w:pPr>
          </w:p>
        </w:tc>
        <w:tc>
          <w:tcPr>
            <w:tcW w:w="1456" w:type="dxa"/>
            <w:tcBorders>
              <w:top w:val="single" w:sz="8" w:space="0" w:color="auto"/>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Combined Fe + B12/folate deficiency</w:t>
            </w:r>
          </w:p>
        </w:tc>
        <w:tc>
          <w:tcPr>
            <w:tcW w:w="1481" w:type="dxa"/>
            <w:tcBorders>
              <w:top w:val="single" w:sz="8" w:space="0" w:color="auto"/>
              <w:left w:val="nil"/>
              <w:bottom w:val="single" w:sz="8" w:space="0" w:color="auto"/>
              <w:right w:val="nil"/>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Combined Fe + B12/folate deficiency</w:t>
            </w:r>
          </w:p>
        </w:tc>
        <w:tc>
          <w:tcPr>
            <w:tcW w:w="1456"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81"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56" w:type="dxa"/>
            <w:tcBorders>
              <w:top w:val="single" w:sz="8" w:space="0" w:color="auto"/>
              <w:left w:val="nil"/>
              <w:bottom w:val="single" w:sz="8" w:space="0" w:color="auto"/>
              <w:right w:val="nil"/>
            </w:tcBorders>
            <w:shd w:val="clear" w:color="000000" w:fill="C6EFCE"/>
            <w:vAlign w:val="center"/>
            <w:hideMark/>
          </w:tcPr>
          <w:p w:rsidR="00073995" w:rsidRPr="00073995" w:rsidRDefault="00073995" w:rsidP="00073995">
            <w:pPr>
              <w:spacing w:after="0" w:line="240" w:lineRule="auto"/>
              <w:jc w:val="center"/>
              <w:rPr>
                <w:rFonts w:ascii="Calibri" w:eastAsia="Times New Roman" w:hAnsi="Calibri" w:cs="Calibri"/>
                <w:color w:val="006100"/>
                <w:sz w:val="18"/>
                <w:szCs w:val="18"/>
                <w:lang w:eastAsia="en-AU"/>
              </w:rPr>
            </w:pPr>
            <w:r w:rsidRPr="00073995">
              <w:rPr>
                <w:rFonts w:ascii="Calibri" w:eastAsia="Times New Roman" w:hAnsi="Calibri" w:cs="Calibri"/>
                <w:color w:val="006100"/>
                <w:sz w:val="18"/>
                <w:szCs w:val="18"/>
                <w:lang w:eastAsia="en-AU"/>
              </w:rPr>
              <w:t>Megaloblastic anaemia</w:t>
            </w:r>
          </w:p>
        </w:tc>
        <w:tc>
          <w:tcPr>
            <w:tcW w:w="1481" w:type="dxa"/>
            <w:tcBorders>
              <w:top w:val="single" w:sz="8" w:space="0" w:color="auto"/>
              <w:left w:val="nil"/>
              <w:bottom w:val="single" w:sz="8" w:space="0" w:color="auto"/>
              <w:right w:val="single" w:sz="8" w:space="0" w:color="auto"/>
            </w:tcBorders>
            <w:shd w:val="clear" w:color="000000" w:fill="FFEB9C"/>
            <w:vAlign w:val="center"/>
            <w:hideMark/>
          </w:tcPr>
          <w:p w:rsidR="00073995" w:rsidRPr="00073995" w:rsidRDefault="00073995" w:rsidP="00073995">
            <w:pPr>
              <w:spacing w:after="0" w:line="240" w:lineRule="auto"/>
              <w:jc w:val="center"/>
              <w:rPr>
                <w:rFonts w:ascii="Calibri" w:eastAsia="Times New Roman" w:hAnsi="Calibri" w:cs="Calibri"/>
                <w:color w:val="9C5700"/>
                <w:sz w:val="18"/>
                <w:szCs w:val="18"/>
                <w:lang w:eastAsia="en-AU"/>
              </w:rPr>
            </w:pPr>
            <w:r w:rsidRPr="00073995">
              <w:rPr>
                <w:rFonts w:ascii="Calibri" w:eastAsia="Times New Roman" w:hAnsi="Calibri" w:cs="Calibri"/>
                <w:color w:val="9C5700"/>
                <w:sz w:val="18"/>
                <w:szCs w:val="18"/>
                <w:lang w:eastAsia="en-AU"/>
              </w:rPr>
              <w:t>Combined Fe + B12/folate deficiency</w:t>
            </w:r>
          </w:p>
        </w:tc>
      </w:tr>
    </w:tbl>
    <w:p w:rsidR="00073995" w:rsidRDefault="00073995">
      <w:pPr>
        <w:rPr>
          <w:rFonts w:ascii="Arial" w:hAnsi="Arial" w:cs="Arial"/>
          <w:sz w:val="27"/>
          <w:szCs w:val="27"/>
        </w:rPr>
      </w:pPr>
    </w:p>
    <w:tbl>
      <w:tblPr>
        <w:tblW w:w="5760" w:type="dxa"/>
        <w:tblLook w:val="04A0" w:firstRow="1" w:lastRow="0" w:firstColumn="1" w:lastColumn="0" w:noHBand="0" w:noVBand="1"/>
      </w:tblPr>
      <w:tblGrid>
        <w:gridCol w:w="1440"/>
        <w:gridCol w:w="1440"/>
        <w:gridCol w:w="1440"/>
        <w:gridCol w:w="1440"/>
      </w:tblGrid>
      <w:tr w:rsidR="00073995" w:rsidRPr="00073995" w:rsidTr="007B087F">
        <w:trPr>
          <w:trHeight w:val="780"/>
        </w:trPr>
        <w:tc>
          <w:tcPr>
            <w:tcW w:w="144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073995" w:rsidRPr="00073995" w:rsidRDefault="00073995" w:rsidP="007B087F">
            <w:pPr>
              <w:spacing w:after="0" w:line="240" w:lineRule="auto"/>
              <w:jc w:val="center"/>
              <w:rPr>
                <w:rFonts w:ascii="Calibri" w:eastAsia="Times New Roman" w:hAnsi="Calibri" w:cs="Calibri"/>
                <w:color w:val="006100"/>
                <w:sz w:val="20"/>
                <w:szCs w:val="20"/>
                <w:lang w:eastAsia="en-AU"/>
              </w:rPr>
            </w:pPr>
            <w:r w:rsidRPr="00073995">
              <w:rPr>
                <w:rFonts w:ascii="Calibri" w:eastAsia="Times New Roman" w:hAnsi="Calibri" w:cs="Calibri"/>
                <w:color w:val="006100"/>
                <w:sz w:val="20"/>
                <w:szCs w:val="20"/>
                <w:lang w:eastAsia="en-AU"/>
              </w:rPr>
              <w:t>High scoring response</w:t>
            </w:r>
          </w:p>
        </w:tc>
        <w:tc>
          <w:tcPr>
            <w:tcW w:w="144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073995" w:rsidRPr="00073995" w:rsidRDefault="00073995" w:rsidP="007B087F">
            <w:pPr>
              <w:spacing w:after="0" w:line="240" w:lineRule="auto"/>
              <w:jc w:val="center"/>
              <w:rPr>
                <w:rFonts w:ascii="Calibri" w:eastAsia="Times New Roman" w:hAnsi="Calibri" w:cs="Calibri"/>
                <w:color w:val="9C5700"/>
                <w:sz w:val="20"/>
                <w:szCs w:val="20"/>
                <w:lang w:eastAsia="en-AU"/>
              </w:rPr>
            </w:pPr>
            <w:r w:rsidRPr="00073995">
              <w:rPr>
                <w:rFonts w:ascii="Calibri" w:eastAsia="Times New Roman" w:hAnsi="Calibri" w:cs="Calibri"/>
                <w:color w:val="9C5700"/>
                <w:sz w:val="20"/>
                <w:szCs w:val="20"/>
                <w:lang w:eastAsia="en-AU"/>
              </w:rPr>
              <w:t>Moderate scoring response</w:t>
            </w:r>
          </w:p>
        </w:tc>
        <w:tc>
          <w:tcPr>
            <w:tcW w:w="1440" w:type="dxa"/>
            <w:tcBorders>
              <w:top w:val="single" w:sz="8" w:space="0" w:color="auto"/>
              <w:left w:val="nil"/>
              <w:bottom w:val="single" w:sz="8" w:space="0" w:color="auto"/>
              <w:right w:val="single" w:sz="8" w:space="0" w:color="auto"/>
            </w:tcBorders>
            <w:shd w:val="clear" w:color="000000" w:fill="FFF2CC"/>
            <w:vAlign w:val="center"/>
            <w:hideMark/>
          </w:tcPr>
          <w:p w:rsidR="00073995" w:rsidRPr="00073995" w:rsidRDefault="00073995" w:rsidP="007B087F">
            <w:pPr>
              <w:spacing w:after="0" w:line="240" w:lineRule="auto"/>
              <w:jc w:val="center"/>
              <w:rPr>
                <w:rFonts w:ascii="Calibri" w:eastAsia="Times New Roman" w:hAnsi="Calibri" w:cs="Calibri"/>
                <w:color w:val="BF8F00"/>
                <w:sz w:val="20"/>
                <w:szCs w:val="20"/>
                <w:lang w:eastAsia="en-AU"/>
              </w:rPr>
            </w:pPr>
            <w:r w:rsidRPr="00073995">
              <w:rPr>
                <w:rFonts w:ascii="Calibri" w:eastAsia="Times New Roman" w:hAnsi="Calibri" w:cs="Calibri"/>
                <w:color w:val="BF8F00"/>
                <w:sz w:val="20"/>
                <w:szCs w:val="20"/>
                <w:lang w:eastAsia="en-AU"/>
              </w:rPr>
              <w:t xml:space="preserve">Low scoring response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073995" w:rsidRPr="00073995" w:rsidRDefault="00073995"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xml:space="preserve">Response given no score </w:t>
            </w:r>
          </w:p>
        </w:tc>
      </w:tr>
    </w:tbl>
    <w:p w:rsidR="00073995" w:rsidRDefault="00073995">
      <w:pPr>
        <w:rPr>
          <w:rFonts w:ascii="Arial" w:hAnsi="Arial" w:cs="Arial"/>
          <w:sz w:val="27"/>
          <w:szCs w:val="27"/>
        </w:rPr>
      </w:pPr>
    </w:p>
    <w:p w:rsidR="00073995" w:rsidRDefault="00073995">
      <w:pPr>
        <w:rPr>
          <w:rFonts w:ascii="Arial" w:hAnsi="Arial" w:cs="Arial"/>
          <w:sz w:val="27"/>
          <w:szCs w:val="27"/>
        </w:rPr>
      </w:pPr>
    </w:p>
    <w:p w:rsidR="00073995" w:rsidRDefault="00073995">
      <w:pPr>
        <w:rPr>
          <w:noProof/>
        </w:rPr>
      </w:pPr>
    </w:p>
    <w:p w:rsidR="00073995" w:rsidRDefault="00073995">
      <w:pPr>
        <w:rPr>
          <w:rFonts w:ascii="Arial" w:hAnsi="Arial" w:cs="Arial"/>
          <w:sz w:val="27"/>
          <w:szCs w:val="27"/>
        </w:rPr>
      </w:pPr>
    </w:p>
    <w:p w:rsidR="003B03E9" w:rsidRDefault="00073995">
      <w:pPr>
        <w:rPr>
          <w:noProof/>
        </w:rPr>
      </w:pPr>
      <w:r>
        <w:rPr>
          <w:noProof/>
        </w:rPr>
        <w:lastRenderedPageBreak/>
        <w:drawing>
          <wp:inline distT="0" distB="0" distL="0" distR="0" wp14:anchorId="0E7BFF47" wp14:editId="7954EC98">
            <wp:extent cx="9461424" cy="32480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66261" cy="3249686"/>
                    </a:xfrm>
                    <a:prstGeom prst="rect">
                      <a:avLst/>
                    </a:prstGeom>
                  </pic:spPr>
                </pic:pic>
              </a:graphicData>
            </a:graphic>
          </wp:inline>
        </w:drawing>
      </w:r>
      <w:r w:rsidR="003B03E9">
        <w:rPr>
          <w:noProof/>
        </w:rPr>
        <w:drawing>
          <wp:inline distT="0" distB="0" distL="0" distR="0" wp14:anchorId="124D85CE" wp14:editId="4312FB37">
            <wp:extent cx="5286375" cy="262656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1393" cy="2634025"/>
                    </a:xfrm>
                    <a:prstGeom prst="rect">
                      <a:avLst/>
                    </a:prstGeom>
                  </pic:spPr>
                </pic:pic>
              </a:graphicData>
            </a:graphic>
          </wp:inline>
        </w:drawing>
      </w:r>
    </w:p>
    <w:p w:rsidR="003B03E9" w:rsidRDefault="003B03E9">
      <w:pPr>
        <w:rPr>
          <w:noProof/>
        </w:rPr>
      </w:pPr>
    </w:p>
    <w:p w:rsidR="003B03E9" w:rsidRDefault="003B03E9">
      <w:pPr>
        <w:rPr>
          <w:noProof/>
        </w:rPr>
      </w:pPr>
      <w:bookmarkStart w:id="0" w:name="_GoBack"/>
      <w:bookmarkEnd w:id="0"/>
    </w:p>
    <w:tbl>
      <w:tblPr>
        <w:tblW w:w="3990" w:type="dxa"/>
        <w:tblLook w:val="04A0" w:firstRow="1" w:lastRow="0" w:firstColumn="1" w:lastColumn="0" w:noHBand="0" w:noVBand="1"/>
      </w:tblPr>
      <w:tblGrid>
        <w:gridCol w:w="1330"/>
        <w:gridCol w:w="1330"/>
        <w:gridCol w:w="1330"/>
      </w:tblGrid>
      <w:tr w:rsidR="003B03E9" w:rsidRPr="00073995" w:rsidTr="007B087F">
        <w:trPr>
          <w:trHeight w:val="265"/>
        </w:trPr>
        <w:tc>
          <w:tcPr>
            <w:tcW w:w="13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lastRenderedPageBreak/>
              <w:t>CLOSED 06/04/2021</w:t>
            </w:r>
          </w:p>
        </w:tc>
        <w:tc>
          <w:tcPr>
            <w:tcW w:w="1330" w:type="dxa"/>
            <w:tcBorders>
              <w:top w:val="single" w:sz="8" w:space="0" w:color="auto"/>
              <w:left w:val="nil"/>
              <w:bottom w:val="single" w:sz="8" w:space="0" w:color="auto"/>
              <w:right w:val="nil"/>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 xml:space="preserve">Submissions </w:t>
            </w:r>
          </w:p>
        </w:tc>
        <w:tc>
          <w:tcPr>
            <w:tcW w:w="13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Total</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All Staff</w:t>
            </w:r>
          </w:p>
        </w:tc>
        <w:tc>
          <w:tcPr>
            <w:tcW w:w="1330" w:type="dxa"/>
            <w:tcBorders>
              <w:top w:val="nil"/>
              <w:left w:val="nil"/>
              <w:bottom w:val="nil"/>
              <w:right w:val="nil"/>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19</w:t>
            </w:r>
          </w:p>
        </w:tc>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56</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c>
          <w:tcPr>
            <w:tcW w:w="1330" w:type="dxa"/>
            <w:tcBorders>
              <w:top w:val="nil"/>
              <w:left w:val="nil"/>
              <w:bottom w:val="nil"/>
              <w:right w:val="nil"/>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p>
        </w:tc>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c>
          <w:tcPr>
            <w:tcW w:w="1330" w:type="dxa"/>
            <w:tcBorders>
              <w:top w:val="nil"/>
              <w:left w:val="nil"/>
              <w:bottom w:val="nil"/>
              <w:right w:val="nil"/>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p>
        </w:tc>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c>
          <w:tcPr>
            <w:tcW w:w="1330" w:type="dxa"/>
            <w:tcBorders>
              <w:top w:val="nil"/>
              <w:left w:val="nil"/>
              <w:bottom w:val="nil"/>
              <w:right w:val="nil"/>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p>
        </w:tc>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 xml:space="preserve">Morph Trained </w:t>
            </w:r>
          </w:p>
        </w:tc>
        <w:tc>
          <w:tcPr>
            <w:tcW w:w="1330" w:type="dxa"/>
            <w:tcBorders>
              <w:top w:val="nil"/>
              <w:left w:val="nil"/>
              <w:bottom w:val="nil"/>
              <w:right w:val="nil"/>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13</w:t>
            </w:r>
          </w:p>
        </w:tc>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22</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 xml:space="preserve">Incomplete </w:t>
            </w:r>
          </w:p>
        </w:tc>
        <w:tc>
          <w:tcPr>
            <w:tcW w:w="1330" w:type="dxa"/>
            <w:tcBorders>
              <w:top w:val="nil"/>
              <w:left w:val="nil"/>
              <w:bottom w:val="nil"/>
              <w:right w:val="nil"/>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2</w:t>
            </w:r>
          </w:p>
        </w:tc>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 </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Routine</w:t>
            </w:r>
          </w:p>
        </w:tc>
        <w:tc>
          <w:tcPr>
            <w:tcW w:w="1330" w:type="dxa"/>
            <w:tcBorders>
              <w:top w:val="nil"/>
              <w:left w:val="nil"/>
              <w:bottom w:val="nil"/>
              <w:right w:val="nil"/>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3</w:t>
            </w:r>
          </w:p>
        </w:tc>
        <w:tc>
          <w:tcPr>
            <w:tcW w:w="1330" w:type="dxa"/>
            <w:tcBorders>
              <w:top w:val="nil"/>
              <w:left w:val="single" w:sz="8" w:space="0" w:color="auto"/>
              <w:bottom w:val="nil"/>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color w:val="000000"/>
                <w:sz w:val="20"/>
                <w:szCs w:val="20"/>
                <w:lang w:eastAsia="en-AU"/>
              </w:rPr>
            </w:pPr>
            <w:r w:rsidRPr="00073995">
              <w:rPr>
                <w:rFonts w:ascii="Calibri" w:eastAsia="Times New Roman" w:hAnsi="Calibri" w:cs="Calibri"/>
                <w:color w:val="000000"/>
                <w:sz w:val="20"/>
                <w:szCs w:val="20"/>
                <w:lang w:eastAsia="en-AU"/>
              </w:rPr>
              <w:t>12</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 xml:space="preserve">SANDY </w:t>
            </w:r>
          </w:p>
        </w:tc>
        <w:tc>
          <w:tcPr>
            <w:tcW w:w="1330" w:type="dxa"/>
            <w:tcBorders>
              <w:top w:val="nil"/>
              <w:left w:val="nil"/>
              <w:bottom w:val="nil"/>
              <w:right w:val="nil"/>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2</w:t>
            </w:r>
          </w:p>
        </w:tc>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3</w:t>
            </w:r>
          </w:p>
        </w:tc>
      </w:tr>
      <w:tr w:rsidR="003B03E9" w:rsidRPr="00073995" w:rsidTr="007B087F">
        <w:trPr>
          <w:trHeight w:val="250"/>
        </w:trPr>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CORE</w:t>
            </w:r>
          </w:p>
        </w:tc>
        <w:tc>
          <w:tcPr>
            <w:tcW w:w="1330" w:type="dxa"/>
            <w:tcBorders>
              <w:top w:val="nil"/>
              <w:left w:val="nil"/>
              <w:bottom w:val="nil"/>
              <w:right w:val="nil"/>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2</w:t>
            </w:r>
          </w:p>
        </w:tc>
        <w:tc>
          <w:tcPr>
            <w:tcW w:w="1330" w:type="dxa"/>
            <w:tcBorders>
              <w:top w:val="nil"/>
              <w:left w:val="single" w:sz="8" w:space="0" w:color="auto"/>
              <w:bottom w:val="nil"/>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8</w:t>
            </w:r>
          </w:p>
        </w:tc>
      </w:tr>
      <w:tr w:rsidR="003B03E9" w:rsidRPr="00073995" w:rsidTr="007B087F">
        <w:trPr>
          <w:trHeight w:val="265"/>
        </w:trPr>
        <w:tc>
          <w:tcPr>
            <w:tcW w:w="1330" w:type="dxa"/>
            <w:tcBorders>
              <w:top w:val="nil"/>
              <w:left w:val="single" w:sz="8" w:space="0" w:color="auto"/>
              <w:bottom w:val="single" w:sz="8" w:space="0" w:color="auto"/>
              <w:right w:val="single" w:sz="8" w:space="0" w:color="auto"/>
            </w:tcBorders>
            <w:shd w:val="clear" w:color="auto" w:fill="auto"/>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Flow</w:t>
            </w:r>
          </w:p>
        </w:tc>
        <w:tc>
          <w:tcPr>
            <w:tcW w:w="1330" w:type="dxa"/>
            <w:tcBorders>
              <w:top w:val="nil"/>
              <w:left w:val="nil"/>
              <w:bottom w:val="single" w:sz="8" w:space="0" w:color="auto"/>
              <w:right w:val="nil"/>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0</w:t>
            </w:r>
          </w:p>
        </w:tc>
        <w:tc>
          <w:tcPr>
            <w:tcW w:w="1330" w:type="dxa"/>
            <w:tcBorders>
              <w:top w:val="nil"/>
              <w:left w:val="single" w:sz="8" w:space="0" w:color="auto"/>
              <w:bottom w:val="single" w:sz="8" w:space="0" w:color="auto"/>
              <w:right w:val="single" w:sz="8" w:space="0" w:color="auto"/>
            </w:tcBorders>
            <w:shd w:val="clear" w:color="auto" w:fill="auto"/>
            <w:noWrap/>
            <w:vAlign w:val="bottom"/>
            <w:hideMark/>
          </w:tcPr>
          <w:p w:rsidR="003B03E9" w:rsidRPr="00073995" w:rsidRDefault="003B03E9" w:rsidP="007B087F">
            <w:pPr>
              <w:spacing w:after="0" w:line="240" w:lineRule="auto"/>
              <w:jc w:val="center"/>
              <w:rPr>
                <w:rFonts w:ascii="Calibri" w:eastAsia="Times New Roman" w:hAnsi="Calibri" w:cs="Calibri"/>
                <w:b/>
                <w:bCs/>
                <w:color w:val="000000"/>
                <w:sz w:val="20"/>
                <w:szCs w:val="20"/>
                <w:lang w:eastAsia="en-AU"/>
              </w:rPr>
            </w:pPr>
            <w:r w:rsidRPr="00073995">
              <w:rPr>
                <w:rFonts w:ascii="Calibri" w:eastAsia="Times New Roman" w:hAnsi="Calibri" w:cs="Calibri"/>
                <w:b/>
                <w:bCs/>
                <w:color w:val="000000"/>
                <w:sz w:val="20"/>
                <w:szCs w:val="20"/>
                <w:lang w:eastAsia="en-AU"/>
              </w:rPr>
              <w:t>6</w:t>
            </w:r>
          </w:p>
        </w:tc>
      </w:tr>
    </w:tbl>
    <w:p w:rsidR="00073995" w:rsidRDefault="00073995">
      <w:pPr>
        <w:rPr>
          <w:noProof/>
        </w:rPr>
      </w:pPr>
    </w:p>
    <w:p w:rsidR="00073995" w:rsidRPr="00DD2B25" w:rsidRDefault="00073995">
      <w:pPr>
        <w:rPr>
          <w:rFonts w:ascii="Arial" w:hAnsi="Arial" w:cs="Arial"/>
          <w:sz w:val="27"/>
          <w:szCs w:val="27"/>
        </w:rPr>
      </w:pPr>
      <w:r>
        <w:rPr>
          <w:rFonts w:ascii="Arial" w:hAnsi="Arial" w:cs="Arial"/>
          <w:sz w:val="27"/>
          <w:szCs w:val="27"/>
        </w:rPr>
        <w:t xml:space="preserve"> </w:t>
      </w:r>
    </w:p>
    <w:sectPr w:rsidR="00073995" w:rsidRPr="00DD2B25" w:rsidSect="0007399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B25"/>
    <w:rsid w:val="00073995"/>
    <w:rsid w:val="00094351"/>
    <w:rsid w:val="003B03E9"/>
    <w:rsid w:val="00D74FEB"/>
    <w:rsid w:val="00D820E0"/>
    <w:rsid w:val="00DD2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14DE"/>
  <w15:chartTrackingRefBased/>
  <w15:docId w15:val="{C2ACF184-9C0F-4F58-B914-6E29EEFA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2B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4830">
      <w:bodyDiv w:val="1"/>
      <w:marLeft w:val="0"/>
      <w:marRight w:val="0"/>
      <w:marTop w:val="0"/>
      <w:marBottom w:val="0"/>
      <w:divBdr>
        <w:top w:val="none" w:sz="0" w:space="0" w:color="auto"/>
        <w:left w:val="none" w:sz="0" w:space="0" w:color="auto"/>
        <w:bottom w:val="none" w:sz="0" w:space="0" w:color="auto"/>
        <w:right w:val="none" w:sz="0" w:space="0" w:color="auto"/>
      </w:divBdr>
    </w:div>
    <w:div w:id="412626249">
      <w:bodyDiv w:val="1"/>
      <w:marLeft w:val="0"/>
      <w:marRight w:val="0"/>
      <w:marTop w:val="0"/>
      <w:marBottom w:val="0"/>
      <w:divBdr>
        <w:top w:val="none" w:sz="0" w:space="0" w:color="auto"/>
        <w:left w:val="none" w:sz="0" w:space="0" w:color="auto"/>
        <w:bottom w:val="none" w:sz="0" w:space="0" w:color="auto"/>
        <w:right w:val="none" w:sz="0" w:space="0" w:color="auto"/>
      </w:divBdr>
    </w:div>
    <w:div w:id="830558384">
      <w:bodyDiv w:val="1"/>
      <w:marLeft w:val="0"/>
      <w:marRight w:val="0"/>
      <w:marTop w:val="0"/>
      <w:marBottom w:val="0"/>
      <w:divBdr>
        <w:top w:val="none" w:sz="0" w:space="0" w:color="auto"/>
        <w:left w:val="none" w:sz="0" w:space="0" w:color="auto"/>
        <w:bottom w:val="none" w:sz="0" w:space="0" w:color="auto"/>
        <w:right w:val="none" w:sz="0" w:space="0" w:color="auto"/>
      </w:divBdr>
    </w:div>
    <w:div w:id="1530491644">
      <w:bodyDiv w:val="1"/>
      <w:marLeft w:val="0"/>
      <w:marRight w:val="0"/>
      <w:marTop w:val="0"/>
      <w:marBottom w:val="0"/>
      <w:divBdr>
        <w:top w:val="none" w:sz="0" w:space="0" w:color="auto"/>
        <w:left w:val="none" w:sz="0" w:space="0" w:color="auto"/>
        <w:bottom w:val="none" w:sz="0" w:space="0" w:color="auto"/>
        <w:right w:val="none" w:sz="0" w:space="0" w:color="auto"/>
      </w:divBdr>
      <w:divsChild>
        <w:div w:id="1068922437">
          <w:marLeft w:val="0"/>
          <w:marRight w:val="0"/>
          <w:marTop w:val="0"/>
          <w:marBottom w:val="0"/>
          <w:divBdr>
            <w:top w:val="none" w:sz="0" w:space="0" w:color="auto"/>
            <w:left w:val="none" w:sz="0" w:space="0" w:color="auto"/>
            <w:bottom w:val="none" w:sz="0" w:space="0" w:color="auto"/>
            <w:right w:val="none" w:sz="0" w:space="0" w:color="auto"/>
          </w:divBdr>
          <w:divsChild>
            <w:div w:id="2051488920">
              <w:marLeft w:val="0"/>
              <w:marRight w:val="0"/>
              <w:marTop w:val="0"/>
              <w:marBottom w:val="0"/>
              <w:divBdr>
                <w:top w:val="none" w:sz="0" w:space="0" w:color="auto"/>
                <w:left w:val="none" w:sz="0" w:space="0" w:color="auto"/>
                <w:bottom w:val="none" w:sz="0" w:space="0" w:color="auto"/>
                <w:right w:val="none" w:sz="0" w:space="0" w:color="auto"/>
              </w:divBdr>
              <w:divsChild>
                <w:div w:id="1756587118">
                  <w:marLeft w:val="0"/>
                  <w:marRight w:val="0"/>
                  <w:marTop w:val="0"/>
                  <w:marBottom w:val="0"/>
                  <w:divBdr>
                    <w:top w:val="none" w:sz="0" w:space="0" w:color="auto"/>
                    <w:left w:val="none" w:sz="0" w:space="0" w:color="auto"/>
                    <w:bottom w:val="none" w:sz="0" w:space="0" w:color="auto"/>
                    <w:right w:val="none" w:sz="0" w:space="0" w:color="auto"/>
                  </w:divBdr>
                  <w:divsChild>
                    <w:div w:id="930505187">
                      <w:marLeft w:val="0"/>
                      <w:marRight w:val="0"/>
                      <w:marTop w:val="0"/>
                      <w:marBottom w:val="0"/>
                      <w:divBdr>
                        <w:top w:val="none" w:sz="0" w:space="0" w:color="auto"/>
                        <w:left w:val="none" w:sz="0" w:space="0" w:color="auto"/>
                        <w:bottom w:val="none" w:sz="0" w:space="0" w:color="auto"/>
                        <w:right w:val="none" w:sz="0" w:space="0" w:color="auto"/>
                      </w:divBdr>
                      <w:divsChild>
                        <w:div w:id="1066874365">
                          <w:marLeft w:val="0"/>
                          <w:marRight w:val="0"/>
                          <w:marTop w:val="15"/>
                          <w:marBottom w:val="0"/>
                          <w:divBdr>
                            <w:top w:val="none" w:sz="0" w:space="0" w:color="auto"/>
                            <w:left w:val="none" w:sz="0" w:space="0" w:color="auto"/>
                            <w:bottom w:val="none" w:sz="0" w:space="0" w:color="auto"/>
                            <w:right w:val="none" w:sz="0" w:space="0" w:color="auto"/>
                          </w:divBdr>
                          <w:divsChild>
                            <w:div w:id="2123333342">
                              <w:marLeft w:val="0"/>
                              <w:marRight w:val="0"/>
                              <w:marTop w:val="0"/>
                              <w:marBottom w:val="0"/>
                              <w:divBdr>
                                <w:top w:val="none" w:sz="0" w:space="0" w:color="auto"/>
                                <w:left w:val="none" w:sz="0" w:space="0" w:color="auto"/>
                                <w:bottom w:val="none" w:sz="0" w:space="0" w:color="auto"/>
                                <w:right w:val="none" w:sz="0" w:space="0" w:color="auto"/>
                              </w:divBdr>
                            </w:div>
                          </w:divsChild>
                        </w:div>
                        <w:div w:id="2137722032">
                          <w:marLeft w:val="0"/>
                          <w:marRight w:val="0"/>
                          <w:marTop w:val="15"/>
                          <w:marBottom w:val="0"/>
                          <w:divBdr>
                            <w:top w:val="none" w:sz="0" w:space="0" w:color="auto"/>
                            <w:left w:val="none" w:sz="0" w:space="0" w:color="auto"/>
                            <w:bottom w:val="none" w:sz="0" w:space="0" w:color="auto"/>
                            <w:right w:val="none" w:sz="0" w:space="0" w:color="auto"/>
                          </w:divBdr>
                          <w:divsChild>
                            <w:div w:id="9663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43415">
      <w:bodyDiv w:val="1"/>
      <w:marLeft w:val="0"/>
      <w:marRight w:val="0"/>
      <w:marTop w:val="0"/>
      <w:marBottom w:val="0"/>
      <w:divBdr>
        <w:top w:val="none" w:sz="0" w:space="0" w:color="auto"/>
        <w:left w:val="none" w:sz="0" w:space="0" w:color="auto"/>
        <w:bottom w:val="none" w:sz="0" w:space="0" w:color="auto"/>
        <w:right w:val="none" w:sz="0" w:space="0" w:color="auto"/>
      </w:divBdr>
    </w:div>
    <w:div w:id="2104959936">
      <w:bodyDiv w:val="1"/>
      <w:marLeft w:val="0"/>
      <w:marRight w:val="0"/>
      <w:marTop w:val="0"/>
      <w:marBottom w:val="0"/>
      <w:divBdr>
        <w:top w:val="none" w:sz="0" w:space="0" w:color="auto"/>
        <w:left w:val="none" w:sz="0" w:space="0" w:color="auto"/>
        <w:bottom w:val="none" w:sz="0" w:space="0" w:color="auto"/>
        <w:right w:val="none" w:sz="0" w:space="0" w:color="auto"/>
      </w:divBdr>
    </w:div>
    <w:div w:id="213852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1</cp:revision>
  <dcterms:created xsi:type="dcterms:W3CDTF">2021-04-22T04:17:00Z</dcterms:created>
  <dcterms:modified xsi:type="dcterms:W3CDTF">2021-04-22T05:00:00Z</dcterms:modified>
</cp:coreProperties>
</file>