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C8C" w:rsidRDefault="00654E72">
      <w:pPr>
        <w:rPr>
          <w:rFonts w:ascii="Arial" w:eastAsia="Arial" w:hAnsi="Arial" w:cs="Arial"/>
          <w:b/>
          <w:sz w:val="28"/>
          <w:szCs w:val="28"/>
          <w:lang w:val="en-US"/>
        </w:rPr>
      </w:pPr>
      <w:r>
        <w:rPr>
          <w:rFonts w:ascii="Arial" w:eastAsia="Arial" w:hAnsi="Arial" w:cs="Arial"/>
          <w:b/>
          <w:sz w:val="28"/>
          <w:szCs w:val="28"/>
          <w:lang w:val="en-US"/>
        </w:rPr>
        <w:t xml:space="preserve">PURPOSE: </w:t>
      </w:r>
    </w:p>
    <w:p w:rsidR="00EC3C8C" w:rsidRDefault="00654E72">
      <w:pPr>
        <w:rPr>
          <w:rFonts w:ascii="Arial" w:eastAsia="Arial" w:hAnsi="Arial" w:cs="Arial"/>
          <w:sz w:val="22"/>
          <w:szCs w:val="22"/>
          <w:lang w:val="en-US"/>
        </w:rPr>
      </w:pPr>
      <w:r>
        <w:rPr>
          <w:rFonts w:ascii="Arial" w:eastAsia="Arial" w:hAnsi="Arial" w:cs="Arial"/>
          <w:sz w:val="22"/>
          <w:szCs w:val="22"/>
          <w:lang w:val="en-US"/>
        </w:rPr>
        <w:t xml:space="preserve">This procedure outlines the steps that are required to ensure Blood Bank has full supply of blood products in stock and available for use. It demonstrates how to identify blood products in Pathnet to ensure there is traceability of the products that we externally receive. </w:t>
      </w:r>
    </w:p>
    <w:p w:rsidR="00EC3C8C" w:rsidRDefault="00EC3C8C">
      <w:pPr>
        <w:rPr>
          <w:rFonts w:ascii="Arial" w:eastAsia="Arial" w:hAnsi="Arial" w:cs="Arial"/>
          <w:b/>
          <w:sz w:val="24"/>
          <w:szCs w:val="24"/>
          <w:lang w:val="en-US"/>
        </w:rPr>
      </w:pPr>
    </w:p>
    <w:p w:rsidR="00EC3C8C" w:rsidRDefault="00654E72">
      <w:pPr>
        <w:rPr>
          <w:rFonts w:ascii="Arial" w:eastAsia="Arial" w:hAnsi="Arial" w:cs="Arial"/>
          <w:b/>
          <w:sz w:val="28"/>
          <w:szCs w:val="28"/>
          <w:lang w:val="en-US"/>
        </w:rPr>
      </w:pPr>
      <w:r>
        <w:rPr>
          <w:rFonts w:ascii="Arial" w:eastAsia="Arial" w:hAnsi="Arial" w:cs="Arial"/>
          <w:b/>
          <w:sz w:val="28"/>
          <w:szCs w:val="28"/>
          <w:lang w:val="en-US"/>
        </w:rPr>
        <w:t>KEYWORDS:</w:t>
      </w:r>
    </w:p>
    <w:p w:rsidR="00EC3C8C" w:rsidRDefault="00EC3C8C">
      <w:pPr>
        <w:rPr>
          <w:rFonts w:ascii="Arial" w:eastAsia="Arial" w:hAnsi="Arial" w:cs="Arial"/>
          <w:sz w:val="22"/>
          <w:szCs w:val="22"/>
          <w:lang w:val="en-US"/>
        </w:rPr>
      </w:pPr>
    </w:p>
    <w:p w:rsidR="00EC3C8C" w:rsidRDefault="00654E72">
      <w:pPr>
        <w:rPr>
          <w:rFonts w:ascii="Arial" w:eastAsia="Arial" w:hAnsi="Arial" w:cs="Arial"/>
          <w:sz w:val="22"/>
          <w:szCs w:val="22"/>
          <w:lang w:val="en-US"/>
        </w:rPr>
      </w:pPr>
      <w:r>
        <w:rPr>
          <w:rFonts w:ascii="Arial" w:eastAsia="Arial" w:hAnsi="Arial" w:cs="Arial"/>
          <w:sz w:val="22"/>
          <w:szCs w:val="22"/>
          <w:lang w:val="en-US"/>
        </w:rPr>
        <w:t>FFP:              Fresh Frozen Plasma</w:t>
      </w:r>
    </w:p>
    <w:p w:rsidR="00EC3C8C" w:rsidRDefault="00654E72">
      <w:pPr>
        <w:rPr>
          <w:rFonts w:ascii="Arial" w:eastAsia="Arial" w:hAnsi="Arial" w:cs="Arial"/>
          <w:sz w:val="22"/>
          <w:szCs w:val="22"/>
          <w:lang w:val="en-US"/>
        </w:rPr>
      </w:pPr>
      <w:r>
        <w:rPr>
          <w:rFonts w:ascii="Arial" w:eastAsia="Arial" w:hAnsi="Arial" w:cs="Arial"/>
          <w:sz w:val="22"/>
          <w:szCs w:val="22"/>
          <w:lang w:val="en-US"/>
        </w:rPr>
        <w:t>ARCBS:        Australian Red Cross Blood service</w:t>
      </w:r>
    </w:p>
    <w:p w:rsidR="00EC3C8C" w:rsidRDefault="00654E72">
      <w:pPr>
        <w:rPr>
          <w:rFonts w:ascii="Arial" w:eastAsia="Arial" w:hAnsi="Arial" w:cs="Arial"/>
          <w:sz w:val="22"/>
          <w:szCs w:val="22"/>
          <w:lang w:val="en-US"/>
        </w:rPr>
      </w:pPr>
      <w:r>
        <w:rPr>
          <w:rFonts w:ascii="Arial" w:eastAsia="Arial" w:hAnsi="Arial" w:cs="Arial"/>
          <w:sz w:val="22"/>
          <w:szCs w:val="22"/>
          <w:lang w:val="en-US"/>
        </w:rPr>
        <w:t>PTX:             Prothrombin X</w:t>
      </w:r>
    </w:p>
    <w:p w:rsidR="00EC3C8C" w:rsidRDefault="00654E72">
      <w:pPr>
        <w:rPr>
          <w:rFonts w:ascii="Arial" w:eastAsia="Arial" w:hAnsi="Arial" w:cs="Arial"/>
          <w:sz w:val="22"/>
          <w:szCs w:val="22"/>
          <w:lang w:val="en-US"/>
        </w:rPr>
      </w:pPr>
      <w:r>
        <w:rPr>
          <w:rFonts w:ascii="Arial" w:eastAsia="Arial" w:hAnsi="Arial" w:cs="Arial"/>
          <w:sz w:val="22"/>
          <w:szCs w:val="22"/>
          <w:lang w:val="en-US"/>
        </w:rPr>
        <w:t>IVIG:            Intravenous Immunoglobulin</w:t>
      </w:r>
      <w:bookmarkStart w:id="0" w:name="_GoBack"/>
      <w:bookmarkEnd w:id="0"/>
    </w:p>
    <w:p w:rsidR="00DA7F44" w:rsidRDefault="00FE2406">
      <w:pPr>
        <w:rPr>
          <w:rFonts w:ascii="Arial" w:eastAsia="Arial" w:hAnsi="Arial" w:cs="Arial"/>
          <w:sz w:val="22"/>
          <w:szCs w:val="22"/>
          <w:lang w:val="en-US"/>
        </w:rPr>
      </w:pPr>
      <w:r>
        <w:rPr>
          <w:rFonts w:ascii="Arial" w:eastAsia="Arial" w:hAnsi="Arial" w:cs="Arial"/>
          <w:sz w:val="22"/>
          <w:szCs w:val="22"/>
          <w:lang w:val="en-US"/>
        </w:rPr>
        <w:t xml:space="preserve">DIN:             Donation Identification Number </w:t>
      </w:r>
    </w:p>
    <w:p w:rsidR="00EC3C8C" w:rsidRDefault="00EC3C8C">
      <w:pPr>
        <w:rPr>
          <w:rFonts w:ascii="Arial" w:eastAsia="Arial" w:hAnsi="Arial" w:cs="Arial"/>
          <w:sz w:val="22"/>
          <w:szCs w:val="22"/>
          <w:lang w:val="en-US"/>
        </w:rPr>
      </w:pPr>
    </w:p>
    <w:p w:rsidR="00EC3C8C" w:rsidRDefault="00654E72">
      <w:pPr>
        <w:rPr>
          <w:rFonts w:ascii="Arial" w:eastAsia="Arial" w:hAnsi="Arial" w:cs="Arial"/>
          <w:b/>
          <w:sz w:val="28"/>
          <w:szCs w:val="28"/>
          <w:lang w:val="en-US"/>
        </w:rPr>
      </w:pPr>
      <w:r>
        <w:rPr>
          <w:rFonts w:ascii="Arial" w:eastAsia="Arial" w:hAnsi="Arial" w:cs="Arial"/>
          <w:b/>
          <w:sz w:val="28"/>
          <w:szCs w:val="28"/>
          <w:lang w:val="en-US"/>
        </w:rPr>
        <w:t>PROCEDURE:</w:t>
      </w:r>
    </w:p>
    <w:p w:rsidR="00EC3C8C" w:rsidRDefault="00654E72">
      <w:pPr>
        <w:rPr>
          <w:rFonts w:ascii="Arial" w:eastAsia="Arial" w:hAnsi="Arial" w:cs="Arial"/>
          <w:sz w:val="22"/>
          <w:szCs w:val="22"/>
          <w:lang w:val="en-US"/>
        </w:rPr>
      </w:pPr>
      <w:r>
        <w:rPr>
          <w:rFonts w:ascii="Arial" w:eastAsia="Arial" w:hAnsi="Arial" w:cs="Arial"/>
          <w:sz w:val="22"/>
          <w:szCs w:val="22"/>
          <w:lang w:val="en-US"/>
        </w:rPr>
        <w:t>The Blood Bank reserve is counted daily Monday-Friday either by the</w:t>
      </w:r>
      <w:r w:rsidR="003A258C">
        <w:rPr>
          <w:rFonts w:ascii="Arial" w:eastAsia="Arial" w:hAnsi="Arial" w:cs="Arial"/>
          <w:sz w:val="22"/>
          <w:szCs w:val="22"/>
          <w:lang w:val="en-US"/>
        </w:rPr>
        <w:t xml:space="preserve"> overnight</w:t>
      </w:r>
      <w:r>
        <w:rPr>
          <w:rFonts w:ascii="Arial" w:eastAsia="Arial" w:hAnsi="Arial" w:cs="Arial"/>
          <w:sz w:val="22"/>
          <w:szCs w:val="22"/>
          <w:lang w:val="en-US"/>
        </w:rPr>
        <w:t xml:space="preserve"> Core Scientist</w:t>
      </w:r>
      <w:r w:rsidR="003A258C">
        <w:rPr>
          <w:rFonts w:ascii="Arial" w:eastAsia="Arial" w:hAnsi="Arial" w:cs="Arial"/>
          <w:sz w:val="22"/>
          <w:szCs w:val="22"/>
          <w:lang w:val="en-US"/>
        </w:rPr>
        <w:t>,</w:t>
      </w:r>
      <w:r>
        <w:rPr>
          <w:rFonts w:ascii="Arial" w:eastAsia="Arial" w:hAnsi="Arial" w:cs="Arial"/>
          <w:sz w:val="22"/>
          <w:szCs w:val="22"/>
          <w:lang w:val="en-US"/>
        </w:rPr>
        <w:t xml:space="preserve"> overnight staff or the 7am Blood Bank Scientist. The reserve consists of packed Red Cells, FFP, cryoprecipitate, platelets, IVIG, Albumin and Factor concentrates PTX and Biostate. The reserve is count is recorded on the log sheet which can be found in the procedure </w:t>
      </w:r>
      <w:hyperlink r:id="rId7" w:history="1">
        <w:r w:rsidRPr="00B33135">
          <w:rPr>
            <w:rStyle w:val="Hyperlink"/>
            <w:rFonts w:ascii="Arial" w:eastAsia="Arial" w:hAnsi="Arial" w:cs="Arial"/>
            <w:sz w:val="22"/>
            <w:szCs w:val="22"/>
            <w:lang w:val="en-US"/>
          </w:rPr>
          <w:t>CD_HA_0506</w:t>
        </w:r>
      </w:hyperlink>
      <w:r>
        <w:rPr>
          <w:rFonts w:ascii="Arial" w:eastAsia="Arial" w:hAnsi="Arial" w:cs="Arial"/>
          <w:sz w:val="22"/>
          <w:szCs w:val="22"/>
          <w:lang w:val="en-US"/>
        </w:rPr>
        <w:t xml:space="preserve">. Once counted the order must be placed in BloodNet for delivery at 2:30pm to Blood Bank. </w:t>
      </w:r>
    </w:p>
    <w:p w:rsidR="00EC3C8C" w:rsidRDefault="00EC3C8C">
      <w:pPr>
        <w:rPr>
          <w:rFonts w:ascii="Arial" w:eastAsia="Arial" w:hAnsi="Arial" w:cs="Arial"/>
          <w:sz w:val="22"/>
          <w:szCs w:val="22"/>
          <w:lang w:val="en-US"/>
        </w:rPr>
      </w:pPr>
    </w:p>
    <w:p w:rsidR="00EC3C8C" w:rsidRDefault="00654E72">
      <w:pPr>
        <w:rPr>
          <w:rFonts w:ascii="Arial" w:eastAsia="Arial" w:hAnsi="Arial" w:cs="Arial"/>
          <w:sz w:val="22"/>
          <w:szCs w:val="22"/>
          <w:lang w:val="en-US"/>
        </w:rPr>
      </w:pPr>
      <w:r>
        <w:rPr>
          <w:rFonts w:ascii="Arial" w:eastAsia="Arial" w:hAnsi="Arial" w:cs="Arial"/>
          <w:sz w:val="22"/>
          <w:szCs w:val="22"/>
          <w:lang w:val="en-US"/>
        </w:rPr>
        <w:t>Once delivered the blood products need to be received into the lab and traceable by Pathnet:</w:t>
      </w:r>
    </w:p>
    <w:p w:rsidR="00EC3C8C" w:rsidRDefault="00EC3C8C">
      <w:pPr>
        <w:jc w:val="center"/>
        <w:rPr>
          <w:rFonts w:ascii="Arial" w:eastAsia="Arial" w:hAnsi="Arial" w:cs="Arial"/>
          <w:b/>
          <w:sz w:val="22"/>
          <w:szCs w:val="22"/>
          <w:u w:val="single"/>
          <w:lang w:val="en-US"/>
        </w:rPr>
      </w:pPr>
    </w:p>
    <w:p w:rsidR="00EC3C8C" w:rsidRDefault="00654E72">
      <w:pPr>
        <w:numPr>
          <w:ilvl w:val="0"/>
          <w:numId w:val="24"/>
        </w:numPr>
        <w:rPr>
          <w:rFonts w:ascii="Arial" w:eastAsia="Arial" w:hAnsi="Arial" w:cs="Arial"/>
          <w:sz w:val="22"/>
          <w:szCs w:val="22"/>
          <w:lang w:val="en-US"/>
        </w:rPr>
      </w:pPr>
      <w:r>
        <w:rPr>
          <w:rFonts w:ascii="Arial" w:eastAsia="Arial" w:hAnsi="Arial" w:cs="Arial"/>
          <w:sz w:val="22"/>
          <w:szCs w:val="22"/>
          <w:lang w:val="en-US"/>
        </w:rPr>
        <w:t xml:space="preserve">Unpack shippers one at a time to minimize the time out of ARCBS shipper before the product is placed into the reserve. </w:t>
      </w:r>
    </w:p>
    <w:p w:rsidR="00EC3C8C" w:rsidRDefault="00654E72">
      <w:pPr>
        <w:numPr>
          <w:ilvl w:val="0"/>
          <w:numId w:val="24"/>
        </w:numPr>
        <w:rPr>
          <w:rFonts w:ascii="Arial" w:eastAsia="Arial" w:hAnsi="Arial" w:cs="Arial"/>
          <w:sz w:val="22"/>
          <w:szCs w:val="22"/>
          <w:lang w:val="en-US"/>
        </w:rPr>
      </w:pPr>
      <w:r>
        <w:rPr>
          <w:rFonts w:ascii="Arial" w:eastAsia="Arial" w:hAnsi="Arial" w:cs="Arial"/>
          <w:sz w:val="22"/>
          <w:szCs w:val="22"/>
          <w:lang w:val="en-US"/>
        </w:rPr>
        <w:t>Sort the units into blood group order within their product groups.</w:t>
      </w:r>
    </w:p>
    <w:p w:rsidR="00EC3C8C" w:rsidRDefault="00654E72">
      <w:pPr>
        <w:numPr>
          <w:ilvl w:val="0"/>
          <w:numId w:val="24"/>
        </w:numPr>
        <w:rPr>
          <w:rFonts w:ascii="Arial" w:eastAsia="Arial" w:hAnsi="Arial" w:cs="Arial"/>
          <w:sz w:val="22"/>
          <w:szCs w:val="22"/>
          <w:lang w:val="en-US"/>
        </w:rPr>
      </w:pPr>
      <w:r>
        <w:rPr>
          <w:rFonts w:ascii="Arial" w:eastAsia="Arial" w:hAnsi="Arial" w:cs="Arial"/>
          <w:sz w:val="22"/>
          <w:szCs w:val="22"/>
          <w:lang w:val="en-US"/>
        </w:rPr>
        <w:t>Sort these units/derivatives by their expiry dates and/or antigens present.</w:t>
      </w:r>
    </w:p>
    <w:p w:rsidR="00EC3C8C" w:rsidRDefault="00654E72">
      <w:pPr>
        <w:pStyle w:val="ListNum1"/>
        <w:numPr>
          <w:ilvl w:val="0"/>
          <w:numId w:val="24"/>
        </w:numPr>
        <w:tabs>
          <w:tab w:val="clear" w:pos="360"/>
        </w:tabs>
        <w:spacing w:before="0" w:after="0" w:line="240" w:lineRule="atLeast"/>
        <w:rPr>
          <w:rFonts w:ascii="Arial" w:eastAsia="Arial" w:hAnsi="Arial" w:cs="Arial"/>
          <w:szCs w:val="22"/>
        </w:rPr>
      </w:pPr>
      <w:r>
        <w:rPr>
          <w:rFonts w:ascii="Arial" w:eastAsia="Arial" w:hAnsi="Arial" w:cs="Arial"/>
          <w:szCs w:val="22"/>
        </w:rPr>
        <w:t xml:space="preserve">Open </w:t>
      </w:r>
      <w:r>
        <w:rPr>
          <w:rFonts w:ascii="Arial" w:eastAsia="Arial" w:hAnsi="Arial" w:cs="Arial"/>
          <w:b/>
          <w:szCs w:val="22"/>
        </w:rPr>
        <w:t>Receive Products</w:t>
      </w:r>
      <w:r>
        <w:rPr>
          <w:rFonts w:ascii="Arial" w:eastAsia="Arial" w:hAnsi="Arial" w:cs="Arial"/>
          <w:szCs w:val="22"/>
        </w:rPr>
        <w:t xml:space="preserve"> application </w:t>
      </w:r>
      <w:r>
        <w:rPr>
          <w:rFonts w:ascii="Arial" w:eastAsia="Arial" w:hAnsi="Arial" w:cs="Arial"/>
          <w:noProof/>
          <w:szCs w:val="22"/>
        </w:rPr>
        <w:drawing>
          <wp:inline distT="0" distB="0" distL="0" distR="0" wp14:anchorId="395F3A52" wp14:editId="154D400C">
            <wp:extent cx="352425" cy="323850"/>
            <wp:effectExtent l="0" t="0" r="9525" b="0"/>
            <wp:docPr id="1"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52425" cy="323850"/>
                    </a:xfrm>
                    <a:prstGeom prst="rect">
                      <a:avLst/>
                    </a:prstGeom>
                  </pic:spPr>
                </pic:pic>
              </a:graphicData>
            </a:graphic>
          </wp:inline>
        </w:drawing>
      </w:r>
    </w:p>
    <w:p w:rsidR="00EC3C8C" w:rsidRDefault="00654E72">
      <w:pPr>
        <w:pStyle w:val="ListNum1"/>
        <w:numPr>
          <w:ilvl w:val="0"/>
          <w:numId w:val="24"/>
        </w:numPr>
        <w:tabs>
          <w:tab w:val="clear" w:pos="360"/>
        </w:tabs>
        <w:spacing w:before="0" w:after="0" w:line="240" w:lineRule="atLeast"/>
        <w:rPr>
          <w:rFonts w:ascii="Arial" w:eastAsia="Arial" w:hAnsi="Arial" w:cs="Arial"/>
          <w:szCs w:val="22"/>
        </w:rPr>
      </w:pPr>
      <w:r>
        <w:rPr>
          <w:rFonts w:ascii="Arial" w:eastAsia="Arial" w:hAnsi="Arial" w:cs="Arial"/>
          <w:szCs w:val="22"/>
        </w:rPr>
        <w:t>Select your location from the pop-up location menu.</w:t>
      </w:r>
    </w:p>
    <w:p w:rsidR="00EC3C8C" w:rsidRDefault="00654E72">
      <w:pPr>
        <w:numPr>
          <w:ilvl w:val="0"/>
          <w:numId w:val="24"/>
        </w:numPr>
        <w:rPr>
          <w:rFonts w:ascii="Arial" w:eastAsia="Arial" w:hAnsi="Arial" w:cs="Arial"/>
          <w:sz w:val="22"/>
          <w:szCs w:val="22"/>
          <w:lang w:val="en-US"/>
        </w:rPr>
      </w:pPr>
      <w:r>
        <w:rPr>
          <w:rFonts w:ascii="Arial" w:eastAsia="Arial" w:hAnsi="Arial" w:cs="Arial"/>
          <w:sz w:val="22"/>
          <w:szCs w:val="22"/>
          <w:lang w:val="en-US"/>
        </w:rPr>
        <w:t xml:space="preserve">Select the product being </w:t>
      </w:r>
      <w:r w:rsidR="003A258C">
        <w:rPr>
          <w:rFonts w:ascii="Arial" w:eastAsia="Arial" w:hAnsi="Arial" w:cs="Arial"/>
          <w:sz w:val="22"/>
          <w:szCs w:val="22"/>
          <w:lang w:val="en-US"/>
        </w:rPr>
        <w:t>entered</w:t>
      </w:r>
      <w:r>
        <w:rPr>
          <w:rFonts w:ascii="Arial" w:eastAsia="Arial" w:hAnsi="Arial" w:cs="Arial"/>
          <w:sz w:val="22"/>
          <w:szCs w:val="22"/>
          <w:lang w:val="en-US"/>
        </w:rPr>
        <w:t xml:space="preserve"> inventory:</w:t>
      </w:r>
    </w:p>
    <w:p w:rsidR="00EC3C8C" w:rsidRDefault="00654E72">
      <w:pPr>
        <w:numPr>
          <w:ilvl w:val="3"/>
          <w:numId w:val="24"/>
        </w:numPr>
        <w:rPr>
          <w:rFonts w:ascii="Arial" w:eastAsia="Arial" w:hAnsi="Arial" w:cs="Arial"/>
          <w:b/>
          <w:sz w:val="22"/>
          <w:szCs w:val="22"/>
          <w:lang w:val="en-US"/>
        </w:rPr>
      </w:pPr>
      <w:r>
        <w:rPr>
          <w:rFonts w:ascii="Arial" w:eastAsia="Arial" w:hAnsi="Arial" w:cs="Arial"/>
          <w:b/>
          <w:sz w:val="22"/>
          <w:szCs w:val="22"/>
          <w:lang w:val="en-US"/>
        </w:rPr>
        <w:t>Blood Products: For red cells, FFP, Platelets, cryoprecipitate.</w:t>
      </w:r>
    </w:p>
    <w:p w:rsidR="00EC3C8C" w:rsidRDefault="00654E72">
      <w:pPr>
        <w:numPr>
          <w:ilvl w:val="3"/>
          <w:numId w:val="24"/>
        </w:numPr>
        <w:rPr>
          <w:rFonts w:ascii="Arial" w:eastAsia="Arial" w:hAnsi="Arial" w:cs="Arial"/>
          <w:b/>
          <w:sz w:val="22"/>
          <w:szCs w:val="22"/>
          <w:lang w:val="en-US"/>
        </w:rPr>
      </w:pPr>
      <w:r>
        <w:rPr>
          <w:rFonts w:ascii="Arial" w:eastAsia="Arial" w:hAnsi="Arial" w:cs="Arial"/>
          <w:b/>
          <w:sz w:val="22"/>
          <w:szCs w:val="22"/>
          <w:lang w:val="en-US"/>
        </w:rPr>
        <w:t>Derivatives: For all lot numbered product e.g. IVIG.</w:t>
      </w:r>
    </w:p>
    <w:p w:rsidR="00EC3C8C" w:rsidRDefault="00654E72">
      <w:pPr>
        <w:numPr>
          <w:ilvl w:val="0"/>
          <w:numId w:val="20"/>
        </w:numPr>
        <w:spacing w:after="0"/>
        <w:jc w:val="both"/>
        <w:rPr>
          <w:rFonts w:ascii="Arial" w:eastAsia="Arial" w:hAnsi="Arial" w:cs="Arial"/>
          <w:sz w:val="24"/>
          <w:szCs w:val="24"/>
          <w:lang w:val="en-US"/>
        </w:rPr>
      </w:pPr>
      <w:r>
        <w:rPr>
          <w:rFonts w:ascii="Arial" w:eastAsia="Arial" w:hAnsi="Arial" w:cs="Arial"/>
          <w:b/>
          <w:sz w:val="24"/>
          <w:szCs w:val="24"/>
          <w:lang w:val="en-US"/>
        </w:rPr>
        <w:t>Blood Product</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From the visual inspection select OK from the drop-down menu (any other selection will quarantine the product).</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Select supplier from the Drop-down menu</w:t>
      </w:r>
      <w:r w:rsidR="000024ED">
        <w:rPr>
          <w:rFonts w:ascii="Arial" w:eastAsia="Arial" w:hAnsi="Arial" w:cs="Arial"/>
          <w:sz w:val="22"/>
          <w:szCs w:val="22"/>
          <w:lang w:val="en-US"/>
        </w:rPr>
        <w:t>: Australian Red Cross Blood Service VIC/TAS.</w:t>
      </w:r>
    </w:p>
    <w:p w:rsidR="00DA7F44" w:rsidRDefault="00DA7F44" w:rsidP="00DA7F44">
      <w:pPr>
        <w:spacing w:after="0"/>
        <w:ind w:left="1800"/>
        <w:jc w:val="both"/>
        <w:rPr>
          <w:rFonts w:ascii="Arial" w:eastAsia="Arial" w:hAnsi="Arial" w:cs="Arial"/>
          <w:sz w:val="22"/>
          <w:szCs w:val="22"/>
          <w:lang w:val="en-US"/>
        </w:rPr>
      </w:pPr>
    </w:p>
    <w:p w:rsidR="00DA7F44" w:rsidRDefault="00DA7F44" w:rsidP="00DA7F44">
      <w:pPr>
        <w:spacing w:after="0"/>
        <w:ind w:left="1800"/>
        <w:jc w:val="both"/>
        <w:rPr>
          <w:rFonts w:ascii="Arial" w:eastAsia="Arial" w:hAnsi="Arial" w:cs="Arial"/>
          <w:sz w:val="22"/>
          <w:szCs w:val="22"/>
          <w:lang w:val="en-US"/>
        </w:rPr>
      </w:pPr>
    </w:p>
    <w:p w:rsidR="00DA7F44" w:rsidRDefault="00DA7F44" w:rsidP="00DA7F44">
      <w:pPr>
        <w:spacing w:after="0"/>
        <w:ind w:left="1800"/>
        <w:jc w:val="both"/>
        <w:rPr>
          <w:rFonts w:ascii="Arial" w:eastAsia="Arial" w:hAnsi="Arial" w:cs="Arial"/>
          <w:sz w:val="22"/>
          <w:szCs w:val="22"/>
          <w:lang w:val="en-US"/>
        </w:rPr>
      </w:pPr>
    </w:p>
    <w:p w:rsidR="00DA7F44" w:rsidRDefault="00DA7F44" w:rsidP="00DA7F44">
      <w:pPr>
        <w:spacing w:after="0"/>
        <w:ind w:left="1800"/>
        <w:jc w:val="both"/>
        <w:rPr>
          <w:rFonts w:ascii="Arial" w:eastAsia="Arial" w:hAnsi="Arial" w:cs="Arial"/>
          <w:sz w:val="22"/>
          <w:szCs w:val="22"/>
          <w:lang w:val="en-US"/>
        </w:rPr>
      </w:pPr>
    </w:p>
    <w:p w:rsidR="00DA7F44" w:rsidRDefault="00DA7F44" w:rsidP="00DA7F44">
      <w:pPr>
        <w:spacing w:after="0"/>
        <w:ind w:left="1800"/>
        <w:jc w:val="both"/>
        <w:rPr>
          <w:rFonts w:ascii="Arial" w:eastAsia="Arial" w:hAnsi="Arial" w:cs="Arial"/>
          <w:sz w:val="22"/>
          <w:szCs w:val="22"/>
          <w:lang w:val="en-US"/>
        </w:rPr>
      </w:pPr>
    </w:p>
    <w:p w:rsidR="00DA7F44" w:rsidRDefault="00DA7F44" w:rsidP="00DA7F44">
      <w:pPr>
        <w:spacing w:after="0"/>
        <w:ind w:left="1800"/>
        <w:jc w:val="both"/>
        <w:rPr>
          <w:rFonts w:ascii="Arial" w:eastAsia="Arial" w:hAnsi="Arial" w:cs="Arial"/>
          <w:sz w:val="22"/>
          <w:szCs w:val="22"/>
          <w:lang w:val="en-US"/>
        </w:rPr>
      </w:pPr>
    </w:p>
    <w:p w:rsidR="00DA7F44" w:rsidRDefault="00DA7F44" w:rsidP="00DA7F44">
      <w:pPr>
        <w:spacing w:after="0"/>
        <w:ind w:left="1800"/>
        <w:jc w:val="both"/>
        <w:rPr>
          <w:rFonts w:ascii="Arial" w:eastAsia="Arial" w:hAnsi="Arial" w:cs="Arial"/>
          <w:sz w:val="22"/>
          <w:szCs w:val="22"/>
          <w:lang w:val="en-US"/>
        </w:rPr>
      </w:pPr>
    </w:p>
    <w:p w:rsidR="00DA7F44" w:rsidRDefault="00DA7F44" w:rsidP="00B33135">
      <w:pPr>
        <w:spacing w:after="0"/>
        <w:ind w:left="1800"/>
        <w:jc w:val="both"/>
        <w:rPr>
          <w:rFonts w:ascii="Arial" w:eastAsia="Arial" w:hAnsi="Arial" w:cs="Arial"/>
          <w:sz w:val="22"/>
          <w:szCs w:val="22"/>
          <w:lang w:val="en-US"/>
        </w:rPr>
      </w:pPr>
    </w:p>
    <w:p w:rsidR="00AF6305"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lastRenderedPageBreak/>
        <w:t>Scan</w:t>
      </w:r>
      <w:r w:rsidR="00AF6305">
        <w:rPr>
          <w:rFonts w:ascii="Arial" w:eastAsia="Arial" w:hAnsi="Arial" w:cs="Arial"/>
          <w:sz w:val="22"/>
          <w:szCs w:val="22"/>
          <w:lang w:val="en-US"/>
        </w:rPr>
        <w:t xml:space="preserve"> first</w:t>
      </w:r>
      <w:r>
        <w:rPr>
          <w:rFonts w:ascii="Arial" w:eastAsia="Arial" w:hAnsi="Arial" w:cs="Arial"/>
          <w:sz w:val="22"/>
          <w:szCs w:val="22"/>
          <w:lang w:val="en-US"/>
        </w:rPr>
        <w:t xml:space="preserve"> </w:t>
      </w:r>
      <w:r w:rsidR="00AF6305">
        <w:rPr>
          <w:rFonts w:ascii="Arial" w:eastAsia="Arial" w:hAnsi="Arial" w:cs="Arial"/>
          <w:sz w:val="22"/>
          <w:szCs w:val="22"/>
          <w:lang w:val="en-US"/>
        </w:rPr>
        <w:t xml:space="preserve">between the two barcodes shown in the image below to pick up the donation number and ABO/Rh: </w:t>
      </w:r>
    </w:p>
    <w:p w:rsidR="00DA7F44" w:rsidRDefault="00DA7F44" w:rsidP="00B33135">
      <w:pPr>
        <w:spacing w:after="0"/>
        <w:ind w:left="1800"/>
        <w:jc w:val="both"/>
        <w:rPr>
          <w:rFonts w:ascii="Arial" w:eastAsia="Arial" w:hAnsi="Arial" w:cs="Arial"/>
          <w:sz w:val="22"/>
          <w:szCs w:val="22"/>
          <w:lang w:val="en-US"/>
        </w:rPr>
      </w:pPr>
    </w:p>
    <w:p w:rsidR="00AF6305" w:rsidRDefault="00AF6305" w:rsidP="00AF6305">
      <w:pPr>
        <w:spacing w:after="0"/>
        <w:jc w:val="both"/>
        <w:rPr>
          <w:rFonts w:ascii="Arial" w:eastAsia="Arial" w:hAnsi="Arial" w:cs="Arial"/>
          <w:sz w:val="22"/>
          <w:szCs w:val="22"/>
          <w:lang w:val="en-US"/>
        </w:rPr>
      </w:pPr>
      <w:r>
        <w:rPr>
          <w:rFonts w:ascii="Arial" w:eastAsia="Arial" w:hAnsi="Arial" w:cs="Arial"/>
          <w:sz w:val="22"/>
          <w:szCs w:val="22"/>
          <w:lang w:val="en-US"/>
        </w:rPr>
        <w:t xml:space="preserve">                  </w:t>
      </w:r>
      <w:r>
        <w:rPr>
          <w:rFonts w:ascii="Arial" w:eastAsia="Arial" w:hAnsi="Arial" w:cs="Arial"/>
          <w:noProof/>
          <w:sz w:val="22"/>
          <w:szCs w:val="22"/>
        </w:rPr>
        <w:drawing>
          <wp:inline distT="0" distB="0" distL="0" distR="0" wp14:anchorId="4F9EC12F" wp14:editId="18660417">
            <wp:extent cx="5127625" cy="1781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774" cy="1819090"/>
                    </a:xfrm>
                    <a:prstGeom prst="rect">
                      <a:avLst/>
                    </a:prstGeom>
                    <a:noFill/>
                    <a:ln>
                      <a:noFill/>
                    </a:ln>
                  </pic:spPr>
                </pic:pic>
              </a:graphicData>
            </a:graphic>
          </wp:inline>
        </w:drawing>
      </w:r>
      <w:r w:rsidR="00654E72">
        <w:rPr>
          <w:rFonts w:ascii="Arial" w:eastAsia="Arial" w:hAnsi="Arial" w:cs="Arial"/>
          <w:sz w:val="22"/>
          <w:szCs w:val="22"/>
          <w:lang w:val="en-US"/>
        </w:rPr>
        <w:t xml:space="preserve"> </w:t>
      </w:r>
    </w:p>
    <w:p w:rsidR="00DA7F44" w:rsidRDefault="00DA7F44" w:rsidP="00B33135">
      <w:pPr>
        <w:spacing w:after="0"/>
        <w:jc w:val="both"/>
        <w:rPr>
          <w:rFonts w:ascii="Arial" w:eastAsia="Arial" w:hAnsi="Arial" w:cs="Arial"/>
          <w:sz w:val="22"/>
          <w:szCs w:val="22"/>
          <w:lang w:val="en-US"/>
        </w:rPr>
      </w:pPr>
    </w:p>
    <w:p w:rsidR="00AF6305" w:rsidRPr="00B33135" w:rsidRDefault="00AF6305" w:rsidP="00B33135">
      <w:pPr>
        <w:pStyle w:val="ListParagraph"/>
        <w:numPr>
          <w:ilvl w:val="1"/>
          <w:numId w:val="20"/>
        </w:numPr>
        <w:spacing w:after="0"/>
        <w:jc w:val="both"/>
        <w:rPr>
          <w:rFonts w:ascii="Arial" w:eastAsia="Arial" w:hAnsi="Arial" w:cs="Arial"/>
          <w:sz w:val="22"/>
          <w:szCs w:val="22"/>
          <w:lang w:val="en-US"/>
        </w:rPr>
      </w:pPr>
      <w:r w:rsidRPr="00B33135">
        <w:rPr>
          <w:rFonts w:ascii="Arial" w:eastAsia="Arial" w:hAnsi="Arial" w:cs="Arial"/>
          <w:sz w:val="22"/>
          <w:szCs w:val="22"/>
          <w:lang w:val="en-US"/>
        </w:rPr>
        <w:t>Next scan between the two barcodes shown in the image below to pick up the component code and expiry date:</w:t>
      </w:r>
    </w:p>
    <w:p w:rsidR="00AF6305" w:rsidRDefault="00AF6305" w:rsidP="00AF6305">
      <w:pPr>
        <w:spacing w:after="0"/>
        <w:ind w:left="1800"/>
        <w:jc w:val="both"/>
        <w:rPr>
          <w:rFonts w:ascii="Arial" w:eastAsia="Arial" w:hAnsi="Arial" w:cs="Arial"/>
          <w:sz w:val="22"/>
          <w:szCs w:val="22"/>
          <w:lang w:val="en-US"/>
        </w:rPr>
      </w:pPr>
    </w:p>
    <w:p w:rsidR="00AF6305" w:rsidRDefault="00AF6305" w:rsidP="00AF6305">
      <w:pPr>
        <w:spacing w:after="0"/>
        <w:ind w:left="1800"/>
        <w:jc w:val="both"/>
        <w:rPr>
          <w:rFonts w:ascii="Arial" w:eastAsia="Arial" w:hAnsi="Arial" w:cs="Arial"/>
          <w:sz w:val="22"/>
          <w:szCs w:val="22"/>
          <w:lang w:val="en-US"/>
        </w:rPr>
      </w:pPr>
      <w:r>
        <w:rPr>
          <w:rFonts w:ascii="Arial" w:eastAsia="Arial" w:hAnsi="Arial" w:cs="Arial"/>
          <w:noProof/>
          <w:sz w:val="22"/>
          <w:szCs w:val="22"/>
        </w:rPr>
        <w:drawing>
          <wp:inline distT="0" distB="0" distL="0" distR="0" wp14:anchorId="1CB79BEF" wp14:editId="4AE5CE6E">
            <wp:extent cx="466725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1809750"/>
                    </a:xfrm>
                    <a:prstGeom prst="rect">
                      <a:avLst/>
                    </a:prstGeom>
                    <a:noFill/>
                    <a:ln>
                      <a:noFill/>
                    </a:ln>
                  </pic:spPr>
                </pic:pic>
              </a:graphicData>
            </a:graphic>
          </wp:inline>
        </w:drawing>
      </w:r>
    </w:p>
    <w:p w:rsidR="00AC5B0C" w:rsidRDefault="00AC5B0C" w:rsidP="00B33135">
      <w:pPr>
        <w:spacing w:after="0"/>
        <w:jc w:val="both"/>
        <w:rPr>
          <w:rFonts w:ascii="Arial" w:eastAsia="Arial" w:hAnsi="Arial" w:cs="Arial"/>
          <w:sz w:val="22"/>
          <w:szCs w:val="22"/>
          <w:lang w:val="en-US"/>
        </w:rPr>
      </w:pPr>
    </w:p>
    <w:p w:rsidR="00EC3C8C" w:rsidRDefault="006524F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 xml:space="preserve">Left click on the “Add” tab. </w:t>
      </w:r>
      <w:r w:rsidR="00654E72">
        <w:rPr>
          <w:rFonts w:ascii="Arial" w:eastAsia="Arial" w:hAnsi="Arial" w:cs="Arial"/>
          <w:sz w:val="22"/>
          <w:szCs w:val="22"/>
          <w:lang w:val="en-US"/>
        </w:rPr>
        <w:t>Repeat this process for all products being entered. When finished click on the save icon</w:t>
      </w:r>
      <w:r w:rsidR="00AC5B0C">
        <w:rPr>
          <w:rFonts w:ascii="Arial" w:eastAsia="Arial" w:hAnsi="Arial" w:cs="Arial"/>
          <w:noProof/>
          <w:sz w:val="22"/>
          <w:szCs w:val="22"/>
        </w:rPr>
        <w:drawing>
          <wp:inline distT="0" distB="0" distL="0" distR="0" wp14:anchorId="6D2D2B0C" wp14:editId="78D96A6F">
            <wp:extent cx="238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AC5B0C">
        <w:rPr>
          <w:rFonts w:ascii="Arial" w:eastAsia="Arial" w:hAnsi="Arial" w:cs="Arial"/>
          <w:sz w:val="22"/>
          <w:szCs w:val="22"/>
          <w:lang w:val="en-US"/>
        </w:rPr>
        <w:t>.</w:t>
      </w:r>
      <w:r w:rsidR="00654E72">
        <w:rPr>
          <w:rFonts w:ascii="Arial" w:eastAsia="Arial" w:hAnsi="Arial" w:cs="Arial"/>
          <w:sz w:val="22"/>
          <w:szCs w:val="22"/>
          <w:lang w:val="en-US"/>
        </w:rPr>
        <w:t xml:space="preserve">  All </w:t>
      </w:r>
      <w:r w:rsidR="00654E72">
        <w:rPr>
          <w:rFonts w:ascii="Arial" w:eastAsia="Arial" w:hAnsi="Arial" w:cs="Arial"/>
          <w:b/>
          <w:sz w:val="22"/>
          <w:szCs w:val="22"/>
          <w:u w:val="single"/>
          <w:lang w:val="en-US"/>
        </w:rPr>
        <w:t>non-red cell</w:t>
      </w:r>
      <w:r w:rsidR="00654E72">
        <w:rPr>
          <w:rFonts w:ascii="Arial" w:eastAsia="Arial" w:hAnsi="Arial" w:cs="Arial"/>
          <w:sz w:val="22"/>
          <w:szCs w:val="22"/>
          <w:lang w:val="en-US"/>
        </w:rPr>
        <w:t xml:space="preserve"> blood products are now available</w:t>
      </w:r>
      <w:r w:rsidR="00AC5B0C">
        <w:rPr>
          <w:rFonts w:ascii="Arial" w:eastAsia="Arial" w:hAnsi="Arial" w:cs="Arial"/>
          <w:sz w:val="22"/>
          <w:szCs w:val="22"/>
          <w:lang w:val="en-US"/>
        </w:rPr>
        <w:t xml:space="preserve"> in Pathnet.</w:t>
      </w:r>
    </w:p>
    <w:p w:rsidR="00DA7F44" w:rsidRDefault="00DA7F44" w:rsidP="00B33135">
      <w:pPr>
        <w:spacing w:after="0"/>
        <w:ind w:left="1800"/>
        <w:jc w:val="both"/>
        <w:rPr>
          <w:rFonts w:ascii="Arial" w:eastAsia="Arial" w:hAnsi="Arial" w:cs="Arial"/>
          <w:sz w:val="22"/>
          <w:szCs w:val="22"/>
          <w:lang w:val="en-US"/>
        </w:rPr>
      </w:pP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For red cells to be updated to available</w:t>
      </w:r>
      <w:r w:rsidR="00AC5B0C">
        <w:rPr>
          <w:rFonts w:ascii="Arial" w:eastAsia="Arial" w:hAnsi="Arial" w:cs="Arial"/>
          <w:sz w:val="22"/>
          <w:szCs w:val="22"/>
          <w:lang w:val="en-US"/>
        </w:rPr>
        <w:t xml:space="preserve"> in Pathnet</w:t>
      </w:r>
      <w:r>
        <w:rPr>
          <w:rFonts w:ascii="Arial" w:eastAsia="Arial" w:hAnsi="Arial" w:cs="Arial"/>
          <w:sz w:val="22"/>
          <w:szCs w:val="22"/>
          <w:lang w:val="en-US"/>
        </w:rPr>
        <w:t xml:space="preserve"> a tile </w:t>
      </w:r>
      <w:r w:rsidR="00AC5B0C">
        <w:rPr>
          <w:rFonts w:ascii="Arial" w:eastAsia="Arial" w:hAnsi="Arial" w:cs="Arial"/>
          <w:sz w:val="22"/>
          <w:szCs w:val="22"/>
          <w:lang w:val="en-US"/>
        </w:rPr>
        <w:t xml:space="preserve">blood </w:t>
      </w:r>
      <w:r>
        <w:rPr>
          <w:rFonts w:ascii="Arial" w:eastAsia="Arial" w:hAnsi="Arial" w:cs="Arial"/>
          <w:sz w:val="22"/>
          <w:szCs w:val="22"/>
          <w:lang w:val="en-US"/>
        </w:rPr>
        <w:t>group must be performed and reported using</w:t>
      </w:r>
      <w:r w:rsidR="00AC5B0C">
        <w:rPr>
          <w:rFonts w:ascii="Arial" w:eastAsia="Arial" w:hAnsi="Arial" w:cs="Arial"/>
          <w:sz w:val="22"/>
          <w:szCs w:val="22"/>
          <w:lang w:val="en-US"/>
        </w:rPr>
        <w:t xml:space="preserve"> the following anti-sera</w:t>
      </w:r>
      <w:r>
        <w:rPr>
          <w:rFonts w:ascii="Arial" w:eastAsia="Arial" w:hAnsi="Arial" w:cs="Arial"/>
          <w:sz w:val="22"/>
          <w:szCs w:val="22"/>
          <w:lang w:val="en-US"/>
        </w:rPr>
        <w:t>:</w:t>
      </w:r>
    </w:p>
    <w:tbl>
      <w:tblPr>
        <w:tblW w:w="0" w:type="auto"/>
        <w:tblInd w:w="2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3210"/>
      </w:tblGrid>
      <w:tr w:rsidR="00AC5B0C" w:rsidTr="00B33135">
        <w:trPr>
          <w:trHeight w:val="327"/>
        </w:trPr>
        <w:tc>
          <w:tcPr>
            <w:tcW w:w="2014" w:type="dxa"/>
            <w:tcBorders>
              <w:top w:val="single" w:sz="4" w:space="0" w:color="auto"/>
              <w:left w:val="single" w:sz="4" w:space="0" w:color="auto"/>
            </w:tcBorders>
            <w:shd w:val="clear" w:color="auto" w:fill="auto"/>
          </w:tcPr>
          <w:p w:rsidR="00AC5B0C" w:rsidRDefault="00AC5B0C">
            <w:pPr>
              <w:rPr>
                <w:rFonts w:ascii="Arial" w:eastAsia="Arial" w:hAnsi="Arial" w:cs="Arial"/>
                <w:b/>
                <w:sz w:val="24"/>
                <w:szCs w:val="24"/>
              </w:rPr>
            </w:pPr>
            <w:r>
              <w:rPr>
                <w:rFonts w:ascii="Arial" w:eastAsia="Arial" w:hAnsi="Arial" w:cs="Arial"/>
                <w:b/>
                <w:sz w:val="24"/>
                <w:szCs w:val="24"/>
              </w:rPr>
              <w:t>Unit group</w:t>
            </w:r>
          </w:p>
        </w:tc>
        <w:tc>
          <w:tcPr>
            <w:tcW w:w="3210" w:type="dxa"/>
            <w:tcBorders>
              <w:top w:val="single" w:sz="4" w:space="0" w:color="auto"/>
              <w:right w:val="single" w:sz="4" w:space="0" w:color="auto"/>
            </w:tcBorders>
            <w:shd w:val="clear" w:color="auto" w:fill="auto"/>
          </w:tcPr>
          <w:p w:rsidR="00AC5B0C" w:rsidRDefault="00AC5B0C">
            <w:pPr>
              <w:jc w:val="center"/>
              <w:rPr>
                <w:rFonts w:ascii="Arial" w:eastAsia="Arial" w:hAnsi="Arial" w:cs="Arial"/>
                <w:b/>
                <w:sz w:val="24"/>
                <w:szCs w:val="24"/>
              </w:rPr>
            </w:pPr>
            <w:r>
              <w:rPr>
                <w:rFonts w:ascii="Arial" w:eastAsia="Arial" w:hAnsi="Arial" w:cs="Arial"/>
                <w:b/>
                <w:sz w:val="24"/>
                <w:szCs w:val="24"/>
              </w:rPr>
              <w:t>Anti-Sera</w:t>
            </w:r>
          </w:p>
        </w:tc>
      </w:tr>
      <w:tr w:rsidR="00AC5B0C" w:rsidTr="00B33135">
        <w:trPr>
          <w:trHeight w:val="312"/>
        </w:trPr>
        <w:tc>
          <w:tcPr>
            <w:tcW w:w="2014" w:type="dxa"/>
            <w:tcBorders>
              <w:left w:val="single" w:sz="4" w:space="0" w:color="auto"/>
            </w:tcBorders>
            <w:shd w:val="clear" w:color="auto" w:fill="auto"/>
          </w:tcPr>
          <w:p w:rsidR="00AC5B0C" w:rsidRDefault="00AC5B0C">
            <w:pPr>
              <w:rPr>
                <w:rFonts w:ascii="Arial" w:eastAsia="Arial" w:hAnsi="Arial" w:cs="Arial"/>
                <w:sz w:val="22"/>
                <w:szCs w:val="22"/>
              </w:rPr>
            </w:pPr>
            <w:r>
              <w:rPr>
                <w:rFonts w:ascii="Arial" w:eastAsia="Arial" w:hAnsi="Arial" w:cs="Arial"/>
                <w:sz w:val="22"/>
                <w:szCs w:val="22"/>
              </w:rPr>
              <w:t>Group O Pos</w:t>
            </w:r>
          </w:p>
        </w:tc>
        <w:tc>
          <w:tcPr>
            <w:tcW w:w="3210" w:type="dxa"/>
            <w:tcBorders>
              <w:right w:val="single" w:sz="4" w:space="0" w:color="auto"/>
            </w:tcBorders>
            <w:shd w:val="clear" w:color="auto" w:fill="auto"/>
          </w:tcPr>
          <w:p w:rsidR="00AC5B0C" w:rsidRDefault="00AC5B0C">
            <w:pPr>
              <w:jc w:val="center"/>
              <w:rPr>
                <w:rFonts w:ascii="Arial" w:eastAsia="Arial" w:hAnsi="Arial" w:cs="Arial"/>
                <w:sz w:val="22"/>
                <w:szCs w:val="22"/>
              </w:rPr>
            </w:pPr>
            <w:r>
              <w:rPr>
                <w:rFonts w:ascii="Arial" w:eastAsia="Arial" w:hAnsi="Arial" w:cs="Arial"/>
                <w:sz w:val="22"/>
                <w:szCs w:val="22"/>
              </w:rPr>
              <w:t>Anti-A, B</w:t>
            </w:r>
          </w:p>
        </w:tc>
      </w:tr>
      <w:tr w:rsidR="00AC5B0C" w:rsidTr="00B33135">
        <w:trPr>
          <w:trHeight w:val="297"/>
        </w:trPr>
        <w:tc>
          <w:tcPr>
            <w:tcW w:w="2014" w:type="dxa"/>
            <w:tcBorders>
              <w:left w:val="single" w:sz="4" w:space="0" w:color="auto"/>
            </w:tcBorders>
            <w:shd w:val="clear" w:color="auto" w:fill="auto"/>
          </w:tcPr>
          <w:p w:rsidR="00AC5B0C" w:rsidRDefault="00AC5B0C">
            <w:pPr>
              <w:rPr>
                <w:rFonts w:ascii="Arial" w:eastAsia="Arial" w:hAnsi="Arial" w:cs="Arial"/>
                <w:sz w:val="22"/>
                <w:szCs w:val="22"/>
              </w:rPr>
            </w:pPr>
            <w:r>
              <w:rPr>
                <w:rFonts w:ascii="Arial" w:eastAsia="Arial" w:hAnsi="Arial" w:cs="Arial"/>
                <w:sz w:val="22"/>
                <w:szCs w:val="22"/>
              </w:rPr>
              <w:t>Group A Pos</w:t>
            </w:r>
          </w:p>
        </w:tc>
        <w:tc>
          <w:tcPr>
            <w:tcW w:w="3210" w:type="dxa"/>
            <w:tcBorders>
              <w:right w:val="single" w:sz="4" w:space="0" w:color="auto"/>
            </w:tcBorders>
            <w:shd w:val="clear" w:color="auto" w:fill="auto"/>
          </w:tcPr>
          <w:p w:rsidR="00AC5B0C" w:rsidRDefault="00AC5B0C">
            <w:pPr>
              <w:jc w:val="center"/>
              <w:rPr>
                <w:rFonts w:ascii="Arial" w:eastAsia="Arial" w:hAnsi="Arial" w:cs="Arial"/>
                <w:sz w:val="22"/>
                <w:szCs w:val="22"/>
              </w:rPr>
            </w:pPr>
            <w:r>
              <w:rPr>
                <w:rFonts w:ascii="Arial" w:eastAsia="Arial" w:hAnsi="Arial" w:cs="Arial"/>
                <w:sz w:val="22"/>
                <w:szCs w:val="22"/>
              </w:rPr>
              <w:t>Anti-B</w:t>
            </w:r>
          </w:p>
        </w:tc>
      </w:tr>
      <w:tr w:rsidR="00AC5B0C" w:rsidTr="00B33135">
        <w:trPr>
          <w:trHeight w:val="312"/>
        </w:trPr>
        <w:tc>
          <w:tcPr>
            <w:tcW w:w="2014" w:type="dxa"/>
            <w:tcBorders>
              <w:left w:val="single" w:sz="4" w:space="0" w:color="auto"/>
            </w:tcBorders>
            <w:shd w:val="clear" w:color="auto" w:fill="auto"/>
          </w:tcPr>
          <w:p w:rsidR="00AC5B0C" w:rsidRDefault="00AC5B0C">
            <w:pPr>
              <w:rPr>
                <w:rFonts w:ascii="Arial" w:eastAsia="Arial" w:hAnsi="Arial" w:cs="Arial"/>
                <w:sz w:val="22"/>
                <w:szCs w:val="22"/>
              </w:rPr>
            </w:pPr>
            <w:r>
              <w:rPr>
                <w:rFonts w:ascii="Arial" w:eastAsia="Arial" w:hAnsi="Arial" w:cs="Arial"/>
                <w:sz w:val="22"/>
                <w:szCs w:val="22"/>
              </w:rPr>
              <w:t>Group B Pos</w:t>
            </w:r>
          </w:p>
        </w:tc>
        <w:tc>
          <w:tcPr>
            <w:tcW w:w="3210" w:type="dxa"/>
            <w:tcBorders>
              <w:right w:val="single" w:sz="4" w:space="0" w:color="auto"/>
            </w:tcBorders>
            <w:shd w:val="clear" w:color="auto" w:fill="auto"/>
          </w:tcPr>
          <w:p w:rsidR="00AC5B0C" w:rsidRDefault="00AC5B0C">
            <w:pPr>
              <w:jc w:val="center"/>
              <w:rPr>
                <w:rFonts w:ascii="Arial" w:eastAsia="Arial" w:hAnsi="Arial" w:cs="Arial"/>
                <w:sz w:val="22"/>
                <w:szCs w:val="22"/>
              </w:rPr>
            </w:pPr>
            <w:r>
              <w:rPr>
                <w:rFonts w:ascii="Arial" w:eastAsia="Arial" w:hAnsi="Arial" w:cs="Arial"/>
                <w:sz w:val="22"/>
                <w:szCs w:val="22"/>
              </w:rPr>
              <w:t>Anti-A</w:t>
            </w:r>
          </w:p>
        </w:tc>
      </w:tr>
      <w:tr w:rsidR="00AC5B0C" w:rsidTr="00B33135">
        <w:trPr>
          <w:trHeight w:val="1389"/>
        </w:trPr>
        <w:tc>
          <w:tcPr>
            <w:tcW w:w="2014" w:type="dxa"/>
            <w:tcBorders>
              <w:left w:val="single" w:sz="4" w:space="0" w:color="auto"/>
            </w:tcBorders>
            <w:shd w:val="clear" w:color="auto" w:fill="auto"/>
          </w:tcPr>
          <w:p w:rsidR="00AC5B0C" w:rsidRDefault="00AC5B0C">
            <w:pPr>
              <w:rPr>
                <w:rFonts w:ascii="Arial" w:eastAsia="Arial" w:hAnsi="Arial" w:cs="Arial"/>
                <w:sz w:val="22"/>
                <w:szCs w:val="22"/>
              </w:rPr>
            </w:pPr>
            <w:r>
              <w:rPr>
                <w:rFonts w:ascii="Arial" w:eastAsia="Arial" w:hAnsi="Arial" w:cs="Arial"/>
                <w:sz w:val="22"/>
                <w:szCs w:val="22"/>
              </w:rPr>
              <w:t>Group AB Pos</w:t>
            </w:r>
          </w:p>
        </w:tc>
        <w:tc>
          <w:tcPr>
            <w:tcW w:w="3210" w:type="dxa"/>
            <w:tcBorders>
              <w:right w:val="single" w:sz="4" w:space="0" w:color="auto"/>
            </w:tcBorders>
            <w:shd w:val="clear" w:color="auto" w:fill="auto"/>
          </w:tcPr>
          <w:p w:rsidR="00AC5B0C" w:rsidRDefault="00AC5B0C">
            <w:pPr>
              <w:jc w:val="center"/>
              <w:rPr>
                <w:rFonts w:ascii="Arial" w:eastAsia="Arial" w:hAnsi="Arial" w:cs="Arial"/>
                <w:sz w:val="22"/>
                <w:szCs w:val="22"/>
              </w:rPr>
            </w:pPr>
            <w:r>
              <w:rPr>
                <w:rFonts w:ascii="Arial" w:eastAsia="Arial" w:hAnsi="Arial" w:cs="Arial"/>
                <w:sz w:val="22"/>
                <w:szCs w:val="22"/>
              </w:rPr>
              <w:t>Anti A, Anti-B</w:t>
            </w:r>
          </w:p>
          <w:p w:rsidR="00AC5B0C" w:rsidRDefault="00AC5B0C">
            <w:pPr>
              <w:jc w:val="center"/>
              <w:rPr>
                <w:rFonts w:ascii="Arial" w:eastAsia="Arial" w:hAnsi="Arial" w:cs="Arial"/>
                <w:sz w:val="18"/>
                <w:szCs w:val="18"/>
              </w:rPr>
            </w:pPr>
            <w:r>
              <w:rPr>
                <w:rFonts w:ascii="Arial" w:eastAsia="Arial" w:hAnsi="Arial" w:cs="Arial"/>
                <w:sz w:val="18"/>
                <w:szCs w:val="18"/>
              </w:rPr>
              <w:t xml:space="preserve">Group AB units are ONLY for issue to group AB patients. The group confirmation is just confirming group of </w:t>
            </w:r>
            <w:proofErr w:type="gramStart"/>
            <w:r>
              <w:rPr>
                <w:rFonts w:ascii="Arial" w:eastAsia="Arial" w:hAnsi="Arial" w:cs="Arial"/>
                <w:sz w:val="18"/>
                <w:szCs w:val="18"/>
              </w:rPr>
              <w:t>A</w:t>
            </w:r>
            <w:proofErr w:type="gramEnd"/>
            <w:r>
              <w:rPr>
                <w:rFonts w:ascii="Arial" w:eastAsia="Arial" w:hAnsi="Arial" w:cs="Arial"/>
                <w:sz w:val="18"/>
                <w:szCs w:val="18"/>
              </w:rPr>
              <w:t>, B to identify any typing error so it can be referred to the Red Cross.</w:t>
            </w:r>
          </w:p>
        </w:tc>
      </w:tr>
      <w:tr w:rsidR="00EC3C8C" w:rsidTr="00B33135">
        <w:trPr>
          <w:trHeight w:val="1056"/>
        </w:trPr>
        <w:tc>
          <w:tcPr>
            <w:tcW w:w="5224" w:type="dxa"/>
            <w:gridSpan w:val="2"/>
            <w:tcBorders>
              <w:left w:val="single" w:sz="4" w:space="0" w:color="auto"/>
              <w:right w:val="single" w:sz="4" w:space="0" w:color="auto"/>
            </w:tcBorders>
            <w:shd w:val="clear" w:color="auto" w:fill="auto"/>
          </w:tcPr>
          <w:p w:rsidR="00EC3C8C" w:rsidRDefault="00654E72">
            <w:pPr>
              <w:rPr>
                <w:rFonts w:ascii="Arial" w:eastAsia="Arial" w:hAnsi="Arial" w:cs="Arial"/>
              </w:rPr>
            </w:pPr>
            <w:r>
              <w:rPr>
                <w:rFonts w:ascii="Arial" w:eastAsia="Arial" w:hAnsi="Arial" w:cs="Arial"/>
              </w:rPr>
              <w:t xml:space="preserve">If units are </w:t>
            </w:r>
            <w:r w:rsidRPr="00B33135">
              <w:rPr>
                <w:rFonts w:ascii="Arial" w:eastAsia="Arial" w:hAnsi="Arial" w:cs="Arial"/>
                <w:b/>
              </w:rPr>
              <w:t>Rh (D) Negative</w:t>
            </w:r>
            <w:r>
              <w:rPr>
                <w:rFonts w:ascii="Arial" w:eastAsia="Arial" w:hAnsi="Arial" w:cs="Arial"/>
              </w:rPr>
              <w:t xml:space="preserve"> in addition to confirming the ABO group as above, they are also typed with </w:t>
            </w:r>
            <w:r w:rsidRPr="00B33135">
              <w:rPr>
                <w:rFonts w:ascii="Arial" w:eastAsia="Arial" w:hAnsi="Arial" w:cs="Arial"/>
                <w:b/>
              </w:rPr>
              <w:t>Anti-D</w:t>
            </w:r>
            <w:r>
              <w:rPr>
                <w:rFonts w:ascii="Arial" w:eastAsia="Arial" w:hAnsi="Arial" w:cs="Arial"/>
              </w:rPr>
              <w:t xml:space="preserve"> to ensure no mistyping by </w:t>
            </w:r>
            <w:r w:rsidR="00AC5B0C">
              <w:rPr>
                <w:rFonts w:ascii="Arial" w:eastAsia="Arial" w:hAnsi="Arial" w:cs="Arial"/>
              </w:rPr>
              <w:t>Red Cross</w:t>
            </w:r>
            <w:r>
              <w:rPr>
                <w:rFonts w:ascii="Arial" w:eastAsia="Arial" w:hAnsi="Arial" w:cs="Arial"/>
              </w:rPr>
              <w:t xml:space="preserve"> would potentially immunize </w:t>
            </w:r>
            <w:r w:rsidR="00AC5B0C">
              <w:rPr>
                <w:rFonts w:ascii="Arial" w:eastAsia="Arial" w:hAnsi="Arial" w:cs="Arial"/>
              </w:rPr>
              <w:t>a</w:t>
            </w:r>
            <w:r>
              <w:rPr>
                <w:rFonts w:ascii="Arial" w:eastAsia="Arial" w:hAnsi="Arial" w:cs="Arial"/>
              </w:rPr>
              <w:t xml:space="preserve"> Rh (D) Negative recipient unexpectedly.</w:t>
            </w:r>
          </w:p>
        </w:tc>
      </w:tr>
    </w:tbl>
    <w:p w:rsidR="00EC3C8C" w:rsidRDefault="00EC3C8C">
      <w:pPr>
        <w:spacing w:after="0"/>
        <w:jc w:val="both"/>
        <w:rPr>
          <w:rFonts w:ascii="Arial" w:eastAsia="Arial" w:hAnsi="Arial" w:cs="Arial"/>
          <w:sz w:val="22"/>
          <w:szCs w:val="22"/>
        </w:rPr>
      </w:pPr>
    </w:p>
    <w:p w:rsidR="00EC3C8C" w:rsidRDefault="00654E72">
      <w:pPr>
        <w:numPr>
          <w:ilvl w:val="1"/>
          <w:numId w:val="20"/>
        </w:numPr>
        <w:spacing w:after="0"/>
        <w:jc w:val="both"/>
        <w:rPr>
          <w:rStyle w:val="Emphasis"/>
          <w:rFonts w:ascii="Arial" w:eastAsia="Arial" w:hAnsi="Arial" w:cs="Arial"/>
          <w:i w:val="0"/>
          <w:iCs w:val="0"/>
          <w:sz w:val="22"/>
          <w:szCs w:val="22"/>
          <w:lang w:val="en-US"/>
        </w:rPr>
      </w:pPr>
      <w:r w:rsidRPr="00B33135">
        <w:rPr>
          <w:rFonts w:ascii="Arial" w:eastAsia="Arial" w:hAnsi="Arial" w:cs="Arial"/>
          <w:b/>
          <w:sz w:val="22"/>
          <w:szCs w:val="22"/>
          <w:lang w:val="en-US"/>
        </w:rPr>
        <w:t>To</w:t>
      </w:r>
      <w:r>
        <w:rPr>
          <w:rFonts w:ascii="Arial" w:eastAsia="Arial" w:hAnsi="Arial" w:cs="Arial"/>
          <w:sz w:val="22"/>
          <w:szCs w:val="22"/>
          <w:lang w:val="en-US"/>
        </w:rPr>
        <w:t xml:space="preserve"> report the red cell confirmation group open “result entry” application </w:t>
      </w:r>
      <w:r>
        <w:rPr>
          <w:rFonts w:ascii="Arial" w:eastAsia="Arial" w:hAnsi="Arial" w:cs="Arial"/>
          <w:noProof/>
          <w:sz w:val="22"/>
          <w:szCs w:val="22"/>
        </w:rPr>
        <w:drawing>
          <wp:inline distT="0" distB="0" distL="0" distR="0" wp14:anchorId="47D526ED" wp14:editId="57431CA6">
            <wp:extent cx="323850" cy="323850"/>
            <wp:effectExtent l="0" t="0" r="0" b="0"/>
            <wp:docPr id="2"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323850" cy="323850"/>
                    </a:xfrm>
                    <a:prstGeom prst="rect">
                      <a:avLst/>
                    </a:prstGeom>
                  </pic:spPr>
                </pic:pic>
              </a:graphicData>
            </a:graphic>
          </wp:inline>
        </w:drawing>
      </w:r>
      <w:r>
        <w:rPr>
          <w:rFonts w:ascii="Arial" w:eastAsia="Arial" w:hAnsi="Arial" w:cs="Arial"/>
          <w:sz w:val="22"/>
          <w:szCs w:val="22"/>
          <w:lang w:val="en-US"/>
        </w:rPr>
        <w:t>.</w:t>
      </w:r>
      <w:r>
        <w:rPr>
          <w:rFonts w:ascii="Arial" w:eastAsia="Calibri" w:hAnsi="Arial" w:cs="Arial"/>
          <w:color w:val="FFFFFF"/>
        </w:rPr>
        <w:t xml:space="preserve"> </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Select “Product number” option.</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From “test Group” drop down menu select unit check and OK.</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Scan in the unit donation numbers into the Number field.</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Report confirmatory reactions and left click the blood group interpretation.</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When complete click on verify to save results. The blood group has now been reported and confirmed for the red cell units. These are now available for use.</w:t>
      </w:r>
    </w:p>
    <w:p w:rsidR="00AC5B0C" w:rsidRDefault="00AC5B0C" w:rsidP="00AC5B0C">
      <w:pPr>
        <w:spacing w:after="0"/>
        <w:jc w:val="both"/>
        <w:rPr>
          <w:rFonts w:ascii="Arial" w:eastAsia="Arial" w:hAnsi="Arial" w:cs="Arial"/>
          <w:sz w:val="22"/>
          <w:szCs w:val="22"/>
          <w:lang w:val="en-US"/>
        </w:rPr>
      </w:pPr>
    </w:p>
    <w:p w:rsidR="00FE2406" w:rsidRDefault="006524F2" w:rsidP="00AC5B0C">
      <w:pPr>
        <w:spacing w:after="0"/>
        <w:jc w:val="both"/>
        <w:rPr>
          <w:rFonts w:ascii="Arial" w:eastAsia="Arial" w:hAnsi="Arial" w:cs="Arial"/>
          <w:sz w:val="22"/>
          <w:szCs w:val="22"/>
          <w:lang w:val="en-US"/>
        </w:rPr>
      </w:pPr>
      <w:r>
        <w:rPr>
          <w:rFonts w:ascii="Arial" w:eastAsia="Arial" w:hAnsi="Arial" w:cs="Arial"/>
          <w:b/>
          <w:sz w:val="22"/>
          <w:szCs w:val="22"/>
          <w:lang w:val="en-US"/>
        </w:rPr>
        <w:t>Note</w:t>
      </w:r>
      <w:r w:rsidR="00AC5B0C">
        <w:rPr>
          <w:rFonts w:ascii="Arial" w:eastAsia="Arial" w:hAnsi="Arial" w:cs="Arial"/>
          <w:sz w:val="22"/>
          <w:szCs w:val="22"/>
          <w:lang w:val="en-US"/>
        </w:rPr>
        <w:t xml:space="preserve">: </w:t>
      </w:r>
    </w:p>
    <w:p w:rsidR="00B047F7" w:rsidRPr="00B33135" w:rsidRDefault="00AC5B0C" w:rsidP="00B33135">
      <w:pPr>
        <w:pStyle w:val="ListParagraph"/>
        <w:numPr>
          <w:ilvl w:val="0"/>
          <w:numId w:val="34"/>
        </w:numPr>
        <w:spacing w:after="0"/>
        <w:jc w:val="both"/>
        <w:rPr>
          <w:rFonts w:ascii="Arial" w:eastAsia="Arial" w:hAnsi="Arial" w:cs="Arial"/>
          <w:sz w:val="22"/>
          <w:szCs w:val="22"/>
          <w:lang w:val="en-US"/>
        </w:rPr>
      </w:pPr>
      <w:r w:rsidRPr="00B33135">
        <w:rPr>
          <w:rFonts w:ascii="Arial" w:eastAsia="Arial" w:hAnsi="Arial" w:cs="Arial"/>
          <w:sz w:val="22"/>
          <w:szCs w:val="22"/>
          <w:lang w:val="en-US"/>
        </w:rPr>
        <w:t>All modifications completed on red blood cells from Red Cross, example Irradiated packed cells, are scanned as part of the component barcode in receiving products and no not need to be manually modified in Pathnet.</w:t>
      </w:r>
    </w:p>
    <w:p w:rsidR="00B047F7" w:rsidRPr="00B33135" w:rsidRDefault="00B047F7" w:rsidP="00B33135">
      <w:pPr>
        <w:pStyle w:val="ListParagraph"/>
        <w:numPr>
          <w:ilvl w:val="0"/>
          <w:numId w:val="34"/>
        </w:numPr>
        <w:spacing w:after="0"/>
        <w:jc w:val="both"/>
        <w:rPr>
          <w:rFonts w:ascii="Arial" w:hAnsi="Arial" w:cs="Arial"/>
          <w:sz w:val="22"/>
          <w:szCs w:val="22"/>
        </w:rPr>
      </w:pPr>
      <w:r w:rsidRPr="00B33135">
        <w:rPr>
          <w:rFonts w:ascii="Arial" w:hAnsi="Arial" w:cs="Arial"/>
          <w:sz w:val="22"/>
          <w:szCs w:val="22"/>
        </w:rPr>
        <w:t xml:space="preserve">The blood components at the Alfred and Sandringham Blood Bank are identified using the ISBT 128 unique identifier. </w:t>
      </w:r>
    </w:p>
    <w:p w:rsidR="00B047F7" w:rsidRDefault="00FE2406" w:rsidP="00AC5B0C">
      <w:pPr>
        <w:spacing w:after="0"/>
        <w:jc w:val="both"/>
        <w:rPr>
          <w:rFonts w:ascii="Arial" w:eastAsia="Arial" w:hAnsi="Arial" w:cs="Arial"/>
          <w:sz w:val="22"/>
          <w:szCs w:val="22"/>
          <w:lang w:val="en-US"/>
        </w:rPr>
      </w:pPr>
      <w:r>
        <w:rPr>
          <w:rFonts w:ascii="Arial" w:eastAsia="Arial" w:hAnsi="Arial" w:cs="Arial"/>
          <w:sz w:val="22"/>
          <w:szCs w:val="22"/>
          <w:lang w:val="en-US"/>
        </w:rPr>
        <w:t xml:space="preserve">                 </w:t>
      </w:r>
      <w:r w:rsidR="00B047F7">
        <w:rPr>
          <w:noProof/>
        </w:rPr>
        <w:drawing>
          <wp:inline distT="0" distB="0" distL="0" distR="0" wp14:anchorId="44AF023E" wp14:editId="08F5DA9F">
            <wp:extent cx="4827905"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822" cy="1753876"/>
                    </a:xfrm>
                    <a:prstGeom prst="rect">
                      <a:avLst/>
                    </a:prstGeom>
                    <a:noFill/>
                    <a:ln>
                      <a:noFill/>
                    </a:ln>
                  </pic:spPr>
                </pic:pic>
              </a:graphicData>
            </a:graphic>
          </wp:inline>
        </w:drawing>
      </w:r>
    </w:p>
    <w:p w:rsidR="00AC5B0C" w:rsidRPr="00B33135" w:rsidRDefault="00B047F7" w:rsidP="00B33135">
      <w:pPr>
        <w:pStyle w:val="ListParagraph"/>
        <w:numPr>
          <w:ilvl w:val="0"/>
          <w:numId w:val="35"/>
        </w:numPr>
        <w:rPr>
          <w:rFonts w:ascii="Arial" w:hAnsi="Arial" w:cs="Arial"/>
          <w:sz w:val="22"/>
          <w:szCs w:val="22"/>
        </w:rPr>
      </w:pPr>
      <w:r w:rsidRPr="00B33135">
        <w:rPr>
          <w:rFonts w:ascii="Arial" w:eastAsia="Arial" w:hAnsi="Arial" w:cs="Arial"/>
          <w:sz w:val="22"/>
          <w:szCs w:val="22"/>
          <w:lang w:val="en-US"/>
        </w:rPr>
        <w:t xml:space="preserve">When recording the unit number, also known as the ISBT 128 DIN, </w:t>
      </w:r>
      <w:r w:rsidRPr="00B33135">
        <w:rPr>
          <w:rFonts w:ascii="Arial" w:hAnsi="Arial" w:cs="Arial"/>
          <w:sz w:val="22"/>
          <w:szCs w:val="22"/>
        </w:rPr>
        <w:t xml:space="preserve">record the 13 alphanumeric character DIN, which includes the facility identification number, the year, and 6-digit sequencer, </w:t>
      </w:r>
      <w:r w:rsidRPr="00B33135">
        <w:rPr>
          <w:rFonts w:ascii="Arial" w:hAnsi="Arial" w:cs="Arial"/>
          <w:b/>
          <w:sz w:val="22"/>
          <w:szCs w:val="22"/>
        </w:rPr>
        <w:t>as well as the manual check character</w:t>
      </w:r>
      <w:r w:rsidRPr="00B33135">
        <w:rPr>
          <w:rFonts w:ascii="Arial" w:hAnsi="Arial" w:cs="Arial"/>
          <w:sz w:val="22"/>
          <w:szCs w:val="22"/>
        </w:rPr>
        <w:t>.</w:t>
      </w:r>
      <w:r w:rsidRPr="00FE2406">
        <w:rPr>
          <w:rFonts w:ascii="Arial" w:hAnsi="Arial" w:cs="Arial"/>
          <w:sz w:val="22"/>
          <w:szCs w:val="22"/>
        </w:rPr>
        <w:t xml:space="preserve"> </w:t>
      </w:r>
      <w:r w:rsidRPr="00B33135">
        <w:rPr>
          <w:rFonts w:ascii="Arial" w:hAnsi="Arial" w:cs="Arial"/>
          <w:sz w:val="22"/>
          <w:szCs w:val="22"/>
        </w:rPr>
        <w:t xml:space="preserve">The manual entry check character </w:t>
      </w:r>
      <w:r w:rsidRPr="00B33135">
        <w:rPr>
          <w:rFonts w:ascii="Arial" w:hAnsi="Arial" w:cs="Arial"/>
          <w:b/>
          <w:bCs/>
          <w:sz w:val="22"/>
          <w:szCs w:val="22"/>
        </w:rPr>
        <w:t xml:space="preserve">must </w:t>
      </w:r>
      <w:r w:rsidRPr="00B33135">
        <w:rPr>
          <w:rFonts w:ascii="Arial" w:hAnsi="Arial" w:cs="Arial"/>
          <w:sz w:val="22"/>
          <w:szCs w:val="22"/>
        </w:rPr>
        <w:t xml:space="preserve">be recorded as part of the unique identification of the product for traceability purposes.  Flag characters, shown in the image above in purple, are not a part of the Donation Identification Number itself and are used only for process control by the blood service. </w:t>
      </w:r>
    </w:p>
    <w:p w:rsidR="00EC3C8C" w:rsidRDefault="00EC3C8C">
      <w:pPr>
        <w:spacing w:after="0"/>
        <w:jc w:val="both"/>
        <w:rPr>
          <w:rFonts w:ascii="Arial" w:eastAsia="Arial" w:hAnsi="Arial" w:cs="Arial"/>
          <w:sz w:val="24"/>
          <w:szCs w:val="24"/>
          <w:lang w:val="en-US"/>
        </w:rPr>
      </w:pPr>
    </w:p>
    <w:p w:rsidR="00EC3C8C" w:rsidRDefault="00654E72">
      <w:pPr>
        <w:numPr>
          <w:ilvl w:val="0"/>
          <w:numId w:val="20"/>
        </w:numPr>
        <w:spacing w:after="0"/>
        <w:jc w:val="both"/>
        <w:rPr>
          <w:rFonts w:ascii="Arial" w:eastAsia="Arial" w:hAnsi="Arial" w:cs="Arial"/>
          <w:b/>
          <w:sz w:val="24"/>
          <w:szCs w:val="24"/>
          <w:lang w:val="en-US"/>
        </w:rPr>
      </w:pPr>
      <w:r>
        <w:rPr>
          <w:rFonts w:ascii="Arial" w:eastAsia="Arial" w:hAnsi="Arial" w:cs="Arial"/>
          <w:b/>
          <w:sz w:val="24"/>
          <w:szCs w:val="24"/>
          <w:lang w:val="en-US"/>
        </w:rPr>
        <w:t>Derivatives</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From the visual inspection select OK from the drop-down menu (any other selection will quarantine the product).</w:t>
      </w:r>
    </w:p>
    <w:p w:rsidR="00EC3C8C" w:rsidRPr="000024ED"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 xml:space="preserve">Select supplier from the </w:t>
      </w:r>
      <w:r w:rsidR="000024ED">
        <w:rPr>
          <w:rFonts w:ascii="Arial" w:eastAsia="Arial" w:hAnsi="Arial" w:cs="Arial"/>
          <w:sz w:val="22"/>
          <w:szCs w:val="22"/>
          <w:lang w:val="en-US"/>
        </w:rPr>
        <w:t>Drop-down</w:t>
      </w:r>
      <w:r>
        <w:rPr>
          <w:rFonts w:ascii="Arial" w:eastAsia="Arial" w:hAnsi="Arial" w:cs="Arial"/>
          <w:sz w:val="22"/>
          <w:szCs w:val="22"/>
          <w:lang w:val="en-US"/>
        </w:rPr>
        <w:t xml:space="preserve"> menu</w:t>
      </w:r>
      <w:r w:rsidR="000024ED">
        <w:rPr>
          <w:rFonts w:ascii="Arial" w:eastAsia="Arial" w:hAnsi="Arial" w:cs="Arial"/>
          <w:sz w:val="22"/>
          <w:szCs w:val="22"/>
          <w:lang w:val="en-US"/>
        </w:rPr>
        <w:t>: Australian Red Cross Blood Service VIC/TAS.</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 xml:space="preserve">Scan the </w:t>
      </w:r>
      <w:r w:rsidR="000024ED" w:rsidRPr="00B33135">
        <w:rPr>
          <w:rFonts w:ascii="Arial" w:hAnsi="Arial" w:cs="Arial"/>
          <w:sz w:val="22"/>
          <w:szCs w:val="22"/>
        </w:rPr>
        <w:t>two-dimensional (2D) barcodes (2D Data Matrix)</w:t>
      </w:r>
      <w:r w:rsidR="000024ED">
        <w:rPr>
          <w:rFonts w:ascii="Arial" w:hAnsi="Arial" w:cs="Arial"/>
          <w:sz w:val="22"/>
          <w:szCs w:val="22"/>
        </w:rPr>
        <w:t xml:space="preserve"> </w:t>
      </w:r>
      <w:r w:rsidR="000024ED">
        <w:rPr>
          <w:rFonts w:ascii="Arial" w:eastAsia="Arial" w:hAnsi="Arial" w:cs="Arial"/>
          <w:sz w:val="22"/>
          <w:szCs w:val="22"/>
          <w:lang w:val="en-US"/>
        </w:rPr>
        <w:t xml:space="preserve">shown in the image below to automatically populate the derivative details of lot number, product type, manufacture and expiry date and time: </w:t>
      </w:r>
    </w:p>
    <w:p w:rsidR="006524F2" w:rsidRDefault="006524F2" w:rsidP="006524F2">
      <w:pPr>
        <w:spacing w:after="0"/>
        <w:ind w:left="1800"/>
        <w:jc w:val="both"/>
        <w:rPr>
          <w:rFonts w:ascii="Arial" w:eastAsia="Arial" w:hAnsi="Arial" w:cs="Arial"/>
          <w:sz w:val="22"/>
          <w:szCs w:val="22"/>
          <w:lang w:val="en-US"/>
        </w:rPr>
      </w:pPr>
      <w:r>
        <w:rPr>
          <w:rFonts w:ascii="Arial" w:eastAsia="Arial" w:hAnsi="Arial" w:cs="Arial"/>
          <w:noProof/>
          <w:sz w:val="22"/>
          <w:szCs w:val="22"/>
        </w:rPr>
        <w:drawing>
          <wp:inline distT="0" distB="0" distL="0" distR="0" wp14:anchorId="5AD0ADEC" wp14:editId="12AD1E5D">
            <wp:extent cx="2867025" cy="1295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3297" cy="1298234"/>
                    </a:xfrm>
                    <a:prstGeom prst="rect">
                      <a:avLst/>
                    </a:prstGeom>
                    <a:noFill/>
                    <a:ln>
                      <a:noFill/>
                    </a:ln>
                  </pic:spPr>
                </pic:pic>
              </a:graphicData>
            </a:graphic>
          </wp:inline>
        </w:drawing>
      </w:r>
    </w:p>
    <w:p w:rsidR="00DA7F44" w:rsidRDefault="00DA7F44" w:rsidP="00B33135">
      <w:pPr>
        <w:spacing w:after="0"/>
        <w:ind w:left="1800"/>
        <w:jc w:val="both"/>
        <w:rPr>
          <w:rFonts w:ascii="Arial" w:eastAsia="Arial" w:hAnsi="Arial" w:cs="Arial"/>
          <w:sz w:val="22"/>
          <w:szCs w:val="22"/>
          <w:lang w:val="en-US"/>
        </w:rPr>
      </w:pPr>
    </w:p>
    <w:p w:rsidR="00EC3C8C" w:rsidRDefault="006524F2" w:rsidP="00B33135">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lastRenderedPageBreak/>
        <w:t xml:space="preserve">Enter the Quantity of the product received. </w:t>
      </w:r>
    </w:p>
    <w:p w:rsidR="00EC3C8C" w:rsidRDefault="00654E72">
      <w:pPr>
        <w:numPr>
          <w:ilvl w:val="1"/>
          <w:numId w:val="20"/>
        </w:numPr>
        <w:spacing w:after="0"/>
        <w:jc w:val="both"/>
        <w:rPr>
          <w:rFonts w:ascii="Arial" w:eastAsia="Arial" w:hAnsi="Arial" w:cs="Arial"/>
          <w:sz w:val="22"/>
          <w:szCs w:val="22"/>
          <w:lang w:val="en-US"/>
        </w:rPr>
      </w:pPr>
      <w:r>
        <w:rPr>
          <w:rFonts w:ascii="Arial" w:eastAsia="Arial" w:hAnsi="Arial" w:cs="Arial"/>
          <w:sz w:val="22"/>
          <w:szCs w:val="22"/>
          <w:lang w:val="en-US"/>
        </w:rPr>
        <w:t>Left click on the “Add” tab</w:t>
      </w:r>
      <w:r w:rsidR="006524F2">
        <w:rPr>
          <w:rFonts w:ascii="Arial" w:eastAsia="Arial" w:hAnsi="Arial" w:cs="Arial"/>
          <w:sz w:val="22"/>
          <w:szCs w:val="22"/>
          <w:lang w:val="en-US"/>
        </w:rPr>
        <w:t xml:space="preserve">. </w:t>
      </w:r>
    </w:p>
    <w:p w:rsidR="00EC3C8C" w:rsidRDefault="00654E72">
      <w:pPr>
        <w:numPr>
          <w:ilvl w:val="1"/>
          <w:numId w:val="20"/>
        </w:numPr>
        <w:spacing w:after="0"/>
        <w:jc w:val="both"/>
        <w:rPr>
          <w:rFonts w:ascii="Arial" w:eastAsia="Arial" w:hAnsi="Arial" w:cs="Arial"/>
          <w:b/>
          <w:sz w:val="22"/>
          <w:szCs w:val="22"/>
          <w:lang w:val="en-US"/>
        </w:rPr>
      </w:pPr>
      <w:r>
        <w:rPr>
          <w:rFonts w:ascii="Arial" w:eastAsia="Arial" w:hAnsi="Arial" w:cs="Arial"/>
          <w:sz w:val="22"/>
          <w:szCs w:val="22"/>
          <w:lang w:val="en-US"/>
        </w:rPr>
        <w:t>When finished click on the save icon.</w:t>
      </w:r>
      <w:r w:rsidR="006524F2">
        <w:rPr>
          <w:rFonts w:ascii="Arial" w:eastAsia="Arial" w:hAnsi="Arial" w:cs="Arial"/>
          <w:sz w:val="22"/>
          <w:szCs w:val="22"/>
          <w:lang w:val="en-US"/>
        </w:rPr>
        <w:t xml:space="preserve"> </w:t>
      </w:r>
      <w:r w:rsidR="006524F2">
        <w:rPr>
          <w:rFonts w:ascii="Arial" w:eastAsia="Arial" w:hAnsi="Arial" w:cs="Arial"/>
          <w:noProof/>
          <w:sz w:val="22"/>
          <w:szCs w:val="22"/>
        </w:rPr>
        <w:drawing>
          <wp:inline distT="0" distB="0" distL="0" distR="0" wp14:anchorId="16729148" wp14:editId="443C332D">
            <wp:extent cx="2381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ascii="Arial" w:eastAsia="Arial" w:hAnsi="Arial" w:cs="Arial"/>
          <w:sz w:val="22"/>
          <w:szCs w:val="22"/>
          <w:lang w:val="en-US"/>
        </w:rPr>
        <w:t xml:space="preserve">  </w:t>
      </w:r>
    </w:p>
    <w:p w:rsidR="00EC3C8C" w:rsidRDefault="00654E72">
      <w:pPr>
        <w:numPr>
          <w:ilvl w:val="1"/>
          <w:numId w:val="20"/>
        </w:numPr>
        <w:spacing w:after="0"/>
        <w:jc w:val="both"/>
        <w:rPr>
          <w:rFonts w:ascii="Arial" w:eastAsia="Arial" w:hAnsi="Arial" w:cs="Arial"/>
          <w:b/>
          <w:sz w:val="22"/>
          <w:szCs w:val="22"/>
          <w:lang w:val="en-US"/>
        </w:rPr>
      </w:pPr>
      <w:r>
        <w:rPr>
          <w:rFonts w:ascii="Arial" w:eastAsia="Arial" w:hAnsi="Arial" w:cs="Arial"/>
          <w:sz w:val="22"/>
          <w:szCs w:val="22"/>
          <w:lang w:val="en-US"/>
        </w:rPr>
        <w:t>If the product has already been entered a message pops up to notify you. If correct Click to accept the entry.</w:t>
      </w:r>
    </w:p>
    <w:p w:rsidR="00EC3C8C" w:rsidRDefault="00EC3C8C">
      <w:pPr>
        <w:spacing w:after="0"/>
        <w:ind w:left="1440"/>
        <w:jc w:val="both"/>
        <w:rPr>
          <w:rFonts w:ascii="Arial" w:eastAsia="Arial" w:hAnsi="Arial" w:cs="Arial"/>
          <w:b/>
          <w:sz w:val="22"/>
          <w:szCs w:val="22"/>
          <w:lang w:val="en-US"/>
        </w:rPr>
      </w:pPr>
    </w:p>
    <w:p w:rsidR="00EC3C8C" w:rsidRDefault="00654E72">
      <w:pPr>
        <w:spacing w:after="0"/>
        <w:ind w:left="1440"/>
        <w:jc w:val="both"/>
        <w:rPr>
          <w:rFonts w:ascii="Arial" w:eastAsia="Arial" w:hAnsi="Arial" w:cs="Arial"/>
          <w:sz w:val="22"/>
          <w:szCs w:val="22"/>
          <w:lang w:val="en-US"/>
        </w:rPr>
      </w:pPr>
      <w:r>
        <w:rPr>
          <w:rFonts w:ascii="Arial" w:eastAsia="Arial" w:hAnsi="Arial" w:cs="Arial"/>
          <w:b/>
          <w:sz w:val="22"/>
          <w:szCs w:val="22"/>
          <w:lang w:val="en-US"/>
        </w:rPr>
        <w:t>Note</w:t>
      </w:r>
      <w:r>
        <w:rPr>
          <w:rFonts w:ascii="Arial" w:eastAsia="Arial" w:hAnsi="Arial" w:cs="Arial"/>
          <w:sz w:val="22"/>
          <w:szCs w:val="22"/>
          <w:lang w:val="en-US"/>
        </w:rPr>
        <w:t xml:space="preserve">: Derivatives that are received that are not part of the reserve, such as factor concentrates ordered by hemophilia are to be entered through receive products using the derivatives function. </w:t>
      </w:r>
    </w:p>
    <w:p w:rsidR="00B047F7" w:rsidRDefault="00B047F7">
      <w:pPr>
        <w:spacing w:after="0"/>
        <w:jc w:val="both"/>
        <w:rPr>
          <w:rFonts w:ascii="Arial" w:eastAsia="Arial" w:hAnsi="Arial" w:cs="Arial"/>
          <w:sz w:val="22"/>
          <w:szCs w:val="22"/>
          <w:lang w:val="en-US"/>
        </w:rPr>
      </w:pPr>
    </w:p>
    <w:p w:rsidR="00B047F7" w:rsidRDefault="00B047F7">
      <w:pPr>
        <w:spacing w:after="0"/>
        <w:jc w:val="both"/>
        <w:rPr>
          <w:rFonts w:ascii="Arial" w:eastAsia="Arial" w:hAnsi="Arial" w:cs="Arial"/>
          <w:sz w:val="22"/>
          <w:szCs w:val="22"/>
          <w:lang w:val="en-US"/>
        </w:rPr>
      </w:pPr>
    </w:p>
    <w:p w:rsidR="00EC3C8C" w:rsidRDefault="00654E72">
      <w:pPr>
        <w:pStyle w:val="ListParagraph"/>
        <w:numPr>
          <w:ilvl w:val="0"/>
          <w:numId w:val="20"/>
        </w:numPr>
        <w:spacing w:after="0"/>
        <w:jc w:val="both"/>
        <w:rPr>
          <w:rFonts w:ascii="Arial" w:eastAsia="Arial" w:hAnsi="Arial" w:cs="Arial"/>
          <w:b/>
          <w:sz w:val="24"/>
          <w:szCs w:val="24"/>
          <w:lang w:val="en-US"/>
        </w:rPr>
      </w:pPr>
      <w:r>
        <w:rPr>
          <w:rFonts w:ascii="Arial" w:eastAsia="Arial" w:hAnsi="Arial" w:cs="Arial"/>
          <w:b/>
          <w:sz w:val="24"/>
          <w:szCs w:val="24"/>
          <w:lang w:val="en-US"/>
        </w:rPr>
        <w:t>Correcting product entry errors</w:t>
      </w:r>
    </w:p>
    <w:p w:rsidR="00EC3C8C" w:rsidRDefault="006524F2">
      <w:pPr>
        <w:numPr>
          <w:ilvl w:val="0"/>
          <w:numId w:val="31"/>
        </w:numPr>
        <w:spacing w:after="0"/>
        <w:jc w:val="both"/>
        <w:rPr>
          <w:rStyle w:val="Emphasis"/>
          <w:rFonts w:ascii="Arial" w:eastAsia="Calibri" w:hAnsi="Arial" w:cs="Arial"/>
          <w:color w:val="FFFFFF"/>
          <w:sz w:val="22"/>
          <w:szCs w:val="22"/>
        </w:rPr>
      </w:pPr>
      <w:r>
        <w:rPr>
          <w:rFonts w:ascii="Arial" w:eastAsia="Arial" w:hAnsi="Arial" w:cs="Arial"/>
          <w:sz w:val="22"/>
          <w:szCs w:val="22"/>
          <w:lang w:val="en-US"/>
        </w:rPr>
        <w:t>Open</w:t>
      </w:r>
      <w:r w:rsidR="00654E72">
        <w:rPr>
          <w:rFonts w:ascii="Arial" w:eastAsia="Arial" w:hAnsi="Arial" w:cs="Arial"/>
          <w:sz w:val="22"/>
          <w:szCs w:val="22"/>
          <w:lang w:val="en-US"/>
        </w:rPr>
        <w:t xml:space="preserve"> the correct inventory application</w:t>
      </w:r>
      <w:r w:rsidR="00654E72">
        <w:rPr>
          <w:rFonts w:ascii="Arial" w:eastAsia="Arial" w:hAnsi="Arial" w:cs="Arial"/>
          <w:noProof/>
          <w:sz w:val="22"/>
          <w:szCs w:val="22"/>
        </w:rPr>
        <w:drawing>
          <wp:inline distT="0" distB="0" distL="0" distR="0">
            <wp:extent cx="333375" cy="323850"/>
            <wp:effectExtent l="0" t="0" r="9525" b="0"/>
            <wp:docPr id="3"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333375" cy="323850"/>
                    </a:xfrm>
                    <a:prstGeom prst="rect">
                      <a:avLst/>
                    </a:prstGeom>
                  </pic:spPr>
                </pic:pic>
              </a:graphicData>
            </a:graphic>
          </wp:inline>
        </w:drawing>
      </w:r>
      <w:r w:rsidR="00654E72">
        <w:rPr>
          <w:rFonts w:ascii="Arial" w:eastAsia="Arial" w:hAnsi="Arial" w:cs="Arial"/>
          <w:sz w:val="22"/>
          <w:szCs w:val="22"/>
          <w:lang w:val="en-US"/>
        </w:rPr>
        <w:t xml:space="preserve">. </w:t>
      </w:r>
    </w:p>
    <w:p w:rsidR="00EC3C8C" w:rsidRDefault="006524F2">
      <w:pPr>
        <w:numPr>
          <w:ilvl w:val="0"/>
          <w:numId w:val="31"/>
        </w:numPr>
        <w:spacing w:after="0"/>
        <w:jc w:val="both"/>
        <w:rPr>
          <w:rFonts w:ascii="Arial" w:eastAsia="Arial" w:hAnsi="Arial" w:cs="Arial"/>
          <w:sz w:val="22"/>
          <w:szCs w:val="22"/>
          <w:lang w:val="en-US"/>
        </w:rPr>
      </w:pPr>
      <w:r>
        <w:rPr>
          <w:rFonts w:ascii="Arial" w:eastAsia="Arial" w:hAnsi="Arial" w:cs="Arial"/>
          <w:sz w:val="22"/>
          <w:szCs w:val="22"/>
          <w:lang w:val="en-US"/>
        </w:rPr>
        <w:t>C</w:t>
      </w:r>
      <w:r w:rsidR="00654E72">
        <w:rPr>
          <w:rFonts w:ascii="Arial" w:eastAsia="Arial" w:hAnsi="Arial" w:cs="Arial"/>
          <w:sz w:val="22"/>
          <w:szCs w:val="22"/>
          <w:lang w:val="en-US"/>
        </w:rPr>
        <w:t>lick on the “Demographics” tab and scan in the blood product or derivative number.</w:t>
      </w:r>
    </w:p>
    <w:p w:rsidR="00EC3C8C" w:rsidRDefault="00654E72">
      <w:pPr>
        <w:numPr>
          <w:ilvl w:val="0"/>
          <w:numId w:val="31"/>
        </w:numPr>
        <w:spacing w:after="0"/>
        <w:jc w:val="both"/>
        <w:rPr>
          <w:rFonts w:ascii="Arial" w:eastAsia="Arial" w:hAnsi="Arial" w:cs="Arial"/>
          <w:sz w:val="22"/>
          <w:szCs w:val="22"/>
          <w:lang w:val="en-US"/>
        </w:rPr>
      </w:pPr>
      <w:r>
        <w:rPr>
          <w:rFonts w:ascii="Arial" w:eastAsia="Arial" w:hAnsi="Arial" w:cs="Arial"/>
          <w:sz w:val="22"/>
          <w:szCs w:val="22"/>
          <w:lang w:val="en-US"/>
        </w:rPr>
        <w:t xml:space="preserve">In the demographic that needs to be corrected open the drop-down menu and select the correct information. </w:t>
      </w:r>
    </w:p>
    <w:p w:rsidR="00EC3C8C" w:rsidRDefault="00654E72">
      <w:pPr>
        <w:numPr>
          <w:ilvl w:val="0"/>
          <w:numId w:val="31"/>
        </w:numPr>
        <w:spacing w:after="0"/>
        <w:jc w:val="both"/>
        <w:rPr>
          <w:rFonts w:ascii="Arial" w:eastAsia="Arial" w:hAnsi="Arial" w:cs="Arial"/>
          <w:sz w:val="22"/>
          <w:szCs w:val="22"/>
          <w:lang w:val="en-US"/>
        </w:rPr>
      </w:pPr>
      <w:r>
        <w:rPr>
          <w:rFonts w:ascii="Arial" w:eastAsia="Arial" w:hAnsi="Arial" w:cs="Arial"/>
          <w:sz w:val="22"/>
          <w:szCs w:val="22"/>
          <w:lang w:val="en-US"/>
        </w:rPr>
        <w:t>Once corrected click on “save”</w:t>
      </w:r>
      <w:r>
        <w:rPr>
          <w:rFonts w:ascii="Arial" w:eastAsia="Arial" w:hAnsi="Arial" w:cs="Arial"/>
          <w:sz w:val="22"/>
          <w:szCs w:val="22"/>
        </w:rPr>
        <w:t>.</w:t>
      </w:r>
    </w:p>
    <w:p w:rsidR="00EC3C8C" w:rsidRDefault="00654E72">
      <w:pPr>
        <w:numPr>
          <w:ilvl w:val="0"/>
          <w:numId w:val="31"/>
        </w:numPr>
        <w:spacing w:after="0"/>
        <w:jc w:val="both"/>
        <w:rPr>
          <w:rFonts w:ascii="Arial" w:eastAsia="Arial" w:hAnsi="Arial" w:cs="Arial"/>
          <w:sz w:val="22"/>
          <w:szCs w:val="22"/>
          <w:lang w:val="en-US"/>
        </w:rPr>
      </w:pPr>
      <w:r>
        <w:rPr>
          <w:rFonts w:ascii="Arial" w:eastAsia="Arial" w:hAnsi="Arial" w:cs="Arial"/>
          <w:sz w:val="22"/>
          <w:szCs w:val="22"/>
          <w:lang w:val="en-US"/>
        </w:rPr>
        <w:t>A pop up “correct inventory” message appears. Click “Ok”.</w:t>
      </w:r>
    </w:p>
    <w:p w:rsidR="00EC3C8C" w:rsidRDefault="00654E72">
      <w:pPr>
        <w:numPr>
          <w:ilvl w:val="0"/>
          <w:numId w:val="31"/>
        </w:numPr>
        <w:spacing w:after="0"/>
        <w:jc w:val="both"/>
        <w:rPr>
          <w:rFonts w:ascii="Arial" w:eastAsia="Arial" w:hAnsi="Arial" w:cs="Arial"/>
          <w:sz w:val="22"/>
          <w:szCs w:val="22"/>
          <w:lang w:val="en-US"/>
        </w:rPr>
      </w:pPr>
      <w:r>
        <w:rPr>
          <w:rFonts w:ascii="Arial" w:eastAsia="Arial" w:hAnsi="Arial" w:cs="Arial"/>
          <w:sz w:val="22"/>
          <w:szCs w:val="22"/>
          <w:lang w:val="en-US"/>
        </w:rPr>
        <w:t>In the “Save” box that is present select the reason for the change from the drop-down menu.  If any additional information is needed this is then typed into the “comments” field.  Once correct click “Ok” to update product information.</w:t>
      </w:r>
    </w:p>
    <w:p w:rsidR="00EC3C8C" w:rsidRDefault="00654E72">
      <w:pPr>
        <w:pStyle w:val="Heading1"/>
        <w:keepNext w:val="0"/>
        <w:keepLines w:val="0"/>
        <w:tabs>
          <w:tab w:val="left" w:pos="567"/>
        </w:tabs>
        <w:suppressAutoHyphens w:val="0"/>
        <w:spacing w:before="240" w:after="0" w:line="259" w:lineRule="auto"/>
        <w:ind w:left="420"/>
        <w:contextualSpacing/>
        <w:rPr>
          <w:rFonts w:cs="Arial"/>
        </w:rPr>
      </w:pPr>
      <w:r>
        <w:rPr>
          <w:rFonts w:cs="Arial"/>
        </w:rPr>
        <w:t>Related Documents</w:t>
      </w:r>
    </w:p>
    <w:p w:rsidR="00EC3C8C" w:rsidRDefault="00EC3C8C">
      <w:pPr>
        <w:spacing w:after="0"/>
        <w:jc w:val="both"/>
        <w:rPr>
          <w:rFonts w:ascii="Arial" w:eastAsia="Arial" w:hAnsi="Arial" w:cs="Arial"/>
          <w:sz w:val="22"/>
          <w:szCs w:val="22"/>
          <w:lang w:val="en-US"/>
        </w:rPr>
      </w:pPr>
    </w:p>
    <w:p w:rsidR="00EC3C8C" w:rsidRPr="00B33135" w:rsidRDefault="007A000D">
      <w:pPr>
        <w:pStyle w:val="ListParagraph"/>
        <w:numPr>
          <w:ilvl w:val="0"/>
          <w:numId w:val="27"/>
        </w:numPr>
        <w:rPr>
          <w:rStyle w:val="Hyperlink"/>
          <w:rFonts w:ascii="Arial" w:eastAsia="Arial" w:hAnsi="Arial" w:cs="Arial"/>
          <w:color w:val="auto"/>
          <w:sz w:val="22"/>
          <w:szCs w:val="22"/>
          <w:u w:val="none"/>
          <w:lang w:val="en-US"/>
        </w:rPr>
      </w:pPr>
      <w:hyperlink r:id="rId16" w:history="1">
        <w:r w:rsidR="00654E72" w:rsidRPr="00B33135">
          <w:rPr>
            <w:rStyle w:val="Hyperlink"/>
            <w:rFonts w:ascii="Arial" w:eastAsia="Arial" w:hAnsi="Arial" w:cs="Arial"/>
            <w:sz w:val="22"/>
            <w:szCs w:val="22"/>
            <w:lang w:val="en-US"/>
          </w:rPr>
          <w:t>BBK_CER_001</w:t>
        </w:r>
      </w:hyperlink>
    </w:p>
    <w:p w:rsidR="006524F2" w:rsidRDefault="007A000D">
      <w:pPr>
        <w:pStyle w:val="ListParagraph"/>
        <w:numPr>
          <w:ilvl w:val="0"/>
          <w:numId w:val="27"/>
        </w:numPr>
        <w:rPr>
          <w:rFonts w:ascii="Arial" w:eastAsia="Arial" w:hAnsi="Arial" w:cs="Arial"/>
          <w:sz w:val="22"/>
          <w:szCs w:val="22"/>
          <w:lang w:val="en-US"/>
        </w:rPr>
      </w:pPr>
      <w:hyperlink r:id="rId17" w:history="1">
        <w:r w:rsidR="006524F2" w:rsidRPr="00B33135">
          <w:rPr>
            <w:rStyle w:val="Hyperlink"/>
            <w:rFonts w:ascii="Arial" w:eastAsia="Arial" w:hAnsi="Arial" w:cs="Arial"/>
            <w:sz w:val="22"/>
            <w:szCs w:val="22"/>
            <w:lang w:val="en-US"/>
          </w:rPr>
          <w:t>CD_HA_0506</w:t>
        </w:r>
      </w:hyperlink>
    </w:p>
    <w:p w:rsidR="00EC3C8C" w:rsidRDefault="00EC3C8C">
      <w:pPr>
        <w:ind w:left="405"/>
        <w:rPr>
          <w:rFonts w:ascii="Arial" w:eastAsia="Arial" w:hAnsi="Arial" w:cs="Arial"/>
          <w:sz w:val="22"/>
          <w:szCs w:val="22"/>
          <w:lang w:val="en-US"/>
        </w:rPr>
      </w:pPr>
    </w:p>
    <w:p w:rsidR="00EC3C8C" w:rsidRDefault="00654E72">
      <w:pPr>
        <w:pStyle w:val="Heading1"/>
        <w:keepNext w:val="0"/>
        <w:keepLines w:val="0"/>
        <w:tabs>
          <w:tab w:val="left" w:pos="567"/>
        </w:tabs>
        <w:suppressAutoHyphens w:val="0"/>
        <w:spacing w:before="240" w:after="0" w:line="259" w:lineRule="auto"/>
        <w:ind w:left="420"/>
        <w:contextualSpacing/>
        <w:rPr>
          <w:rFonts w:cs="Arial"/>
        </w:rPr>
      </w:pPr>
      <w:r>
        <w:rPr>
          <w:rFonts w:cs="Arial"/>
        </w:rPr>
        <w:t>References</w:t>
      </w:r>
    </w:p>
    <w:p w:rsidR="00EC3C8C" w:rsidRDefault="00FE2406" w:rsidP="00B33135">
      <w:pPr>
        <w:pStyle w:val="Para1"/>
        <w:ind w:left="420" w:firstLine="15"/>
      </w:pPr>
      <w:r>
        <w:t xml:space="preserve">Australian Red Cross Blood Service, ISBT 128-Frequently Asked Questions, Laboratories November 2018. </w:t>
      </w:r>
    </w:p>
    <w:p w:rsidR="00EC3C8C" w:rsidRDefault="00EC3C8C">
      <w:pPr>
        <w:ind w:left="405"/>
        <w:rPr>
          <w:rFonts w:asciiTheme="minorHAnsi" w:eastAsia="Calibri" w:hAnsiTheme="minorHAnsi" w:cstheme="minorHAnsi"/>
          <w:sz w:val="22"/>
          <w:szCs w:val="22"/>
          <w:lang w:val="en-US"/>
        </w:rPr>
      </w:pPr>
    </w:p>
    <w:p w:rsidR="00EC3C8C" w:rsidRDefault="00EC3C8C">
      <w:pPr>
        <w:ind w:left="1418" w:hanging="1418"/>
      </w:pPr>
    </w:p>
    <w:p w:rsidR="00EC3C8C" w:rsidRDefault="00EC3C8C">
      <w:pPr>
        <w:ind w:left="1418" w:hanging="1418"/>
      </w:pPr>
    </w:p>
    <w:p w:rsidR="00EC3C8C" w:rsidRDefault="00EC3C8C">
      <w:pPr>
        <w:ind w:left="1418" w:hanging="1418"/>
      </w:pPr>
    </w:p>
    <w:p w:rsidR="00EC3C8C" w:rsidRDefault="00EC3C8C">
      <w:pPr>
        <w:ind w:left="1418" w:hanging="1418"/>
        <w:jc w:val="center"/>
      </w:pPr>
    </w:p>
    <w:p w:rsidR="00EC3C8C" w:rsidRDefault="00EC3C8C">
      <w:pPr>
        <w:tabs>
          <w:tab w:val="left" w:pos="3960"/>
          <w:tab w:val="center" w:pos="6660"/>
          <w:tab w:val="right" w:pos="7920"/>
        </w:tabs>
        <w:jc w:val="both"/>
        <w:rPr>
          <w:sz w:val="22"/>
          <w:szCs w:val="22"/>
        </w:rPr>
      </w:pPr>
    </w:p>
    <w:p w:rsidR="00EC3C8C" w:rsidRDefault="00EC3C8C">
      <w:pPr>
        <w:tabs>
          <w:tab w:val="left" w:pos="3960"/>
          <w:tab w:val="center" w:pos="6660"/>
          <w:tab w:val="right" w:pos="7920"/>
        </w:tabs>
        <w:jc w:val="both"/>
        <w:rPr>
          <w:sz w:val="22"/>
          <w:szCs w:val="22"/>
        </w:rPr>
      </w:pPr>
    </w:p>
    <w:p w:rsidR="00EC3C8C" w:rsidRDefault="00EC3C8C">
      <w:pPr>
        <w:tabs>
          <w:tab w:val="left" w:pos="3960"/>
          <w:tab w:val="center" w:pos="6660"/>
          <w:tab w:val="right" w:pos="7920"/>
        </w:tabs>
        <w:jc w:val="both"/>
        <w:rPr>
          <w:sz w:val="22"/>
          <w:szCs w:val="22"/>
        </w:rPr>
      </w:pPr>
    </w:p>
    <w:p w:rsidR="00EC3C8C" w:rsidRDefault="00EC3C8C">
      <w:pPr>
        <w:tabs>
          <w:tab w:val="left" w:pos="3960"/>
          <w:tab w:val="center" w:pos="6660"/>
          <w:tab w:val="right" w:pos="7920"/>
        </w:tabs>
        <w:jc w:val="both"/>
        <w:rPr>
          <w:sz w:val="22"/>
          <w:szCs w:val="22"/>
        </w:rPr>
      </w:pPr>
    </w:p>
    <w:p w:rsidR="00EC3C8C" w:rsidRDefault="00EC3C8C">
      <w:pPr>
        <w:tabs>
          <w:tab w:val="left" w:pos="3960"/>
          <w:tab w:val="center" w:pos="6660"/>
          <w:tab w:val="right" w:pos="7920"/>
        </w:tabs>
        <w:jc w:val="both"/>
        <w:rPr>
          <w:sz w:val="22"/>
          <w:szCs w:val="22"/>
        </w:rPr>
      </w:pPr>
    </w:p>
    <w:p w:rsidR="00EC3C8C" w:rsidRDefault="00EC3C8C">
      <w:pPr>
        <w:tabs>
          <w:tab w:val="left" w:pos="3960"/>
          <w:tab w:val="center" w:pos="6660"/>
          <w:tab w:val="right" w:pos="7920"/>
        </w:tabs>
        <w:jc w:val="both"/>
        <w:rPr>
          <w:sz w:val="22"/>
          <w:szCs w:val="22"/>
        </w:rPr>
      </w:pPr>
    </w:p>
    <w:p w:rsidR="00EC3C8C" w:rsidRDefault="00EC3C8C">
      <w:pPr>
        <w:tabs>
          <w:tab w:val="left" w:pos="3960"/>
          <w:tab w:val="center" w:pos="6660"/>
          <w:tab w:val="right" w:pos="7920"/>
        </w:tabs>
        <w:jc w:val="both"/>
        <w:rPr>
          <w:sz w:val="22"/>
          <w:szCs w:val="22"/>
        </w:rPr>
      </w:pPr>
    </w:p>
    <w:p w:rsidR="00EC3C8C" w:rsidRDefault="00EC3C8C">
      <w:pPr>
        <w:tabs>
          <w:tab w:val="left" w:pos="3960"/>
          <w:tab w:val="center" w:pos="6660"/>
          <w:tab w:val="right" w:pos="7920"/>
        </w:tabs>
        <w:jc w:val="both"/>
        <w:rPr>
          <w:sz w:val="22"/>
          <w:szCs w:val="22"/>
        </w:rPr>
      </w:pPr>
    </w:p>
    <w:sectPr w:rsidR="00EC3C8C">
      <w:headerReference w:type="default" r:id="rId18"/>
      <w:footerReference w:type="default" r:id="rId19"/>
      <w:pgSz w:w="11907" w:h="16840"/>
      <w:pgMar w:top="1247" w:right="1247" w:bottom="1247" w:left="1247" w:header="680" w:footer="397" w:gutter="0"/>
      <w:pgBorders w:offsetFrom="page">
        <w:top w:val="single" w:sz="4" w:space="20" w:color="auto"/>
        <w:left w:val="single" w:sz="4" w:space="20" w:color="auto"/>
        <w:bottom w:val="single" w:sz="4" w:space="20" w:color="auto"/>
        <w:right w:val="single" w:sz="4" w:space="2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120" w:rsidRDefault="009C3120">
      <w:pPr>
        <w:spacing w:after="0"/>
      </w:pPr>
      <w:r>
        <w:separator/>
      </w:r>
    </w:p>
  </w:endnote>
  <w:endnote w:type="continuationSeparator" w:id="0">
    <w:p w:rsidR="009C3120" w:rsidRDefault="009C31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686"/>
      <w:gridCol w:w="3123"/>
    </w:tblGrid>
    <w:tr w:rsidR="00EC3C8C">
      <w:trPr>
        <w:trHeight w:val="135"/>
        <w:jc w:val="center"/>
      </w:trPr>
      <w:tc>
        <w:tcPr>
          <w:tcW w:w="3539" w:type="dxa"/>
          <w:shd w:val="clear" w:color="auto" w:fill="auto"/>
          <w:vAlign w:val="center"/>
        </w:tcPr>
        <w:p w:rsidR="00EC3C8C" w:rsidRDefault="00654E72">
          <w:pPr>
            <w:pStyle w:val="Header"/>
            <w:spacing w:after="0"/>
            <w:rPr>
              <w:rFonts w:cs="Arial"/>
            </w:rPr>
          </w:pPr>
          <w:r>
            <w:rPr>
              <w:rFonts w:cs="Arial"/>
            </w:rPr>
            <w:t>Haematology</w:t>
          </w:r>
        </w:p>
      </w:tc>
      <w:tc>
        <w:tcPr>
          <w:tcW w:w="3686" w:type="dxa"/>
          <w:shd w:val="clear" w:color="auto" w:fill="auto"/>
          <w:vAlign w:val="center"/>
        </w:tcPr>
        <w:p w:rsidR="00EC3C8C" w:rsidRDefault="00654E72">
          <w:pPr>
            <w:pStyle w:val="Header"/>
            <w:tabs>
              <w:tab w:val="left" w:pos="0"/>
              <w:tab w:val="right" w:pos="9356"/>
            </w:tabs>
            <w:spacing w:after="0"/>
            <w:rPr>
              <w:rFonts w:cs="Arial"/>
            </w:rPr>
          </w:pPr>
          <w:r>
            <w:rPr>
              <w:rFonts w:cs="Arial"/>
            </w:rPr>
            <w:t>Routine Blood Bank</w:t>
          </w:r>
        </w:p>
      </w:tc>
      <w:tc>
        <w:tcPr>
          <w:tcW w:w="3123" w:type="dxa"/>
          <w:shd w:val="clear" w:color="auto" w:fill="auto"/>
          <w:vAlign w:val="center"/>
        </w:tcPr>
        <w:p w:rsidR="00EC3C8C" w:rsidRDefault="00654E72">
          <w:pPr>
            <w:pStyle w:val="Header"/>
            <w:tabs>
              <w:tab w:val="left" w:pos="0"/>
              <w:tab w:val="right" w:pos="9356"/>
            </w:tabs>
            <w:spacing w:after="0"/>
            <w:jc w:val="right"/>
            <w:rPr>
              <w:rFonts w:cs="Arial"/>
              <w:sz w:val="18"/>
            </w:rPr>
          </w:pPr>
          <w:r>
            <w:rPr>
              <w:rFonts w:cs="Arial"/>
            </w:rPr>
            <w:t xml:space="preserve">Page </w:t>
          </w:r>
          <w:r>
            <w:rPr>
              <w:rFonts w:cs="Arial"/>
              <w:b/>
            </w:rPr>
            <w:fldChar w:fldCharType="begin"/>
          </w:r>
          <w:r>
            <w:rPr>
              <w:rFonts w:cs="Arial"/>
              <w:b/>
            </w:rPr>
            <w:instrText xml:space="preserve"> PAGE  \* Arabic  \* MERGEFORMAT </w:instrText>
          </w:r>
          <w:r>
            <w:rPr>
              <w:rFonts w:cs="Arial"/>
              <w:b/>
            </w:rPr>
            <w:fldChar w:fldCharType="separate"/>
          </w:r>
          <w:r w:rsidR="0037376A">
            <w:rPr>
              <w:rFonts w:cs="Arial"/>
              <w:b/>
              <w:noProof/>
            </w:rPr>
            <w:t>1</w:t>
          </w:r>
          <w:r>
            <w:rPr>
              <w:rFonts w:cs="Arial"/>
              <w:b/>
            </w:rPr>
            <w:fldChar w:fldCharType="end"/>
          </w:r>
          <w:r>
            <w:rPr>
              <w:rFonts w:cs="Arial"/>
            </w:rPr>
            <w:t xml:space="preserve"> of </w:t>
          </w:r>
          <w:r>
            <w:rPr>
              <w:rFonts w:cs="Arial"/>
              <w:b/>
            </w:rPr>
            <w:fldChar w:fldCharType="begin"/>
          </w:r>
          <w:r>
            <w:rPr>
              <w:rFonts w:cs="Arial"/>
              <w:b/>
            </w:rPr>
            <w:instrText xml:space="preserve"> NUMPAGES  \* Arabic  \* MERGEFORMAT </w:instrText>
          </w:r>
          <w:r>
            <w:rPr>
              <w:rFonts w:cs="Arial"/>
              <w:b/>
            </w:rPr>
            <w:fldChar w:fldCharType="separate"/>
          </w:r>
          <w:r w:rsidR="0037376A">
            <w:rPr>
              <w:rFonts w:cs="Arial"/>
              <w:b/>
              <w:noProof/>
            </w:rPr>
            <w:t>4</w:t>
          </w:r>
          <w:r>
            <w:rPr>
              <w:rFonts w:cs="Arial"/>
              <w:b/>
            </w:rPr>
            <w:fldChar w:fldCharType="end"/>
          </w:r>
        </w:p>
      </w:tc>
    </w:tr>
    <w:tr w:rsidR="00EC3C8C">
      <w:trPr>
        <w:trHeight w:val="215"/>
        <w:jc w:val="center"/>
      </w:trPr>
      <w:tc>
        <w:tcPr>
          <w:tcW w:w="10348" w:type="dxa"/>
          <w:gridSpan w:val="3"/>
          <w:shd w:val="clear" w:color="auto" w:fill="D9D9D9"/>
          <w:vAlign w:val="center"/>
        </w:tcPr>
        <w:p w:rsidR="00EC3C8C" w:rsidRDefault="00654E72">
          <w:pPr>
            <w:pStyle w:val="Header"/>
            <w:spacing w:after="0"/>
            <w:jc w:val="center"/>
            <w:rPr>
              <w:rFonts w:cs="Arial"/>
              <w:b/>
              <w:i/>
              <w:sz w:val="18"/>
            </w:rPr>
          </w:pPr>
          <w:r>
            <w:rPr>
              <w:rFonts w:cs="Arial"/>
              <w:b/>
              <w:i/>
            </w:rPr>
            <w:t xml:space="preserve">**Printed copy may not be the current version. Please refer to Fast Track Library for the current </w:t>
          </w:r>
          <w:proofErr w:type="gramStart"/>
          <w:r>
            <w:rPr>
              <w:rFonts w:cs="Arial"/>
              <w:b/>
              <w:i/>
            </w:rPr>
            <w:t>issue.*</w:t>
          </w:r>
          <w:proofErr w:type="gramEnd"/>
          <w:r>
            <w:rPr>
              <w:rFonts w:cs="Arial"/>
              <w:b/>
              <w:i/>
            </w:rPr>
            <w:t>*</w:t>
          </w:r>
        </w:p>
      </w:tc>
    </w:tr>
  </w:tbl>
  <w:p w:rsidR="00EC3C8C" w:rsidRDefault="00EC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120" w:rsidRDefault="009C3120">
      <w:pPr>
        <w:spacing w:after="0"/>
      </w:pPr>
      <w:r>
        <w:separator/>
      </w:r>
    </w:p>
  </w:footnote>
  <w:footnote w:type="continuationSeparator" w:id="0">
    <w:p w:rsidR="009C3120" w:rsidRDefault="009C31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1558"/>
      <w:gridCol w:w="2552"/>
      <w:gridCol w:w="1417"/>
      <w:gridCol w:w="2552"/>
    </w:tblGrid>
    <w:tr w:rsidR="00EC3C8C">
      <w:trPr>
        <w:cantSplit/>
        <w:trHeight w:val="227"/>
        <w:jc w:val="center"/>
      </w:trPr>
      <w:tc>
        <w:tcPr>
          <w:tcW w:w="2689" w:type="dxa"/>
          <w:vMerge w:val="restart"/>
          <w:tcBorders>
            <w:left w:val="single" w:sz="4" w:space="0" w:color="auto"/>
          </w:tcBorders>
          <w:vAlign w:val="center"/>
        </w:tcPr>
        <w:p w:rsidR="00EC3C8C" w:rsidRDefault="00654E72">
          <w:pPr>
            <w:pStyle w:val="Header"/>
            <w:spacing w:after="0"/>
            <w:jc w:val="center"/>
            <w:rPr>
              <w:rFonts w:cs="Arial"/>
              <w:szCs w:val="16"/>
            </w:rPr>
          </w:pPr>
          <w:proofErr w:type="spellStart"/>
          <w:r>
            <w:rPr>
              <w:b/>
              <w:color w:val="CC0000"/>
              <w:spacing w:val="-4"/>
              <w:sz w:val="40"/>
              <w:szCs w:val="44"/>
            </w:rPr>
            <w:t>Alfred</w:t>
          </w:r>
          <w:r>
            <w:rPr>
              <w:b/>
              <w:spacing w:val="-4"/>
              <w:sz w:val="40"/>
              <w:szCs w:val="44"/>
            </w:rPr>
            <w:t>H</w:t>
          </w:r>
          <w:r>
            <w:rPr>
              <w:b/>
              <w:sz w:val="40"/>
              <w:szCs w:val="44"/>
            </w:rPr>
            <w:t>ealth</w:t>
          </w:r>
          <w:proofErr w:type="spellEnd"/>
        </w:p>
      </w:tc>
      <w:tc>
        <w:tcPr>
          <w:tcW w:w="8079" w:type="dxa"/>
          <w:gridSpan w:val="4"/>
          <w:tcBorders>
            <w:left w:val="single" w:sz="4" w:space="0" w:color="auto"/>
            <w:bottom w:val="nil"/>
            <w:right w:val="single" w:sz="4" w:space="0" w:color="auto"/>
          </w:tcBorders>
          <w:shd w:val="clear" w:color="auto" w:fill="D9D9D9"/>
        </w:tcPr>
        <w:p w:rsidR="00EC3C8C" w:rsidRDefault="00654E72">
          <w:pPr>
            <w:pStyle w:val="Header"/>
            <w:spacing w:after="0"/>
            <w:jc w:val="center"/>
            <w:rPr>
              <w:rFonts w:cs="Arial"/>
              <w:b/>
              <w:szCs w:val="16"/>
            </w:rPr>
          </w:pPr>
          <w:r>
            <w:rPr>
              <w:rFonts w:cs="Arial"/>
              <w:b/>
              <w:sz w:val="24"/>
              <w:szCs w:val="16"/>
            </w:rPr>
            <w:t>Alfred Pathology Services</w:t>
          </w:r>
        </w:p>
      </w:tc>
    </w:tr>
    <w:tr w:rsidR="00EC3C8C">
      <w:trPr>
        <w:cantSplit/>
        <w:trHeight w:val="272"/>
        <w:jc w:val="center"/>
      </w:trPr>
      <w:tc>
        <w:tcPr>
          <w:tcW w:w="2689" w:type="dxa"/>
          <w:vMerge/>
          <w:tcBorders>
            <w:left w:val="single" w:sz="4" w:space="0" w:color="auto"/>
          </w:tcBorders>
        </w:tcPr>
        <w:p w:rsidR="00EC3C8C" w:rsidRDefault="00EC3C8C">
          <w:pPr>
            <w:pStyle w:val="Header"/>
            <w:spacing w:after="0"/>
            <w:rPr>
              <w:rFonts w:cs="Arial"/>
              <w:szCs w:val="16"/>
            </w:rPr>
          </w:pPr>
        </w:p>
      </w:tc>
      <w:tc>
        <w:tcPr>
          <w:tcW w:w="1558" w:type="dxa"/>
          <w:tcBorders>
            <w:left w:val="single" w:sz="4" w:space="0" w:color="auto"/>
            <w:bottom w:val="nil"/>
          </w:tcBorders>
          <w:vAlign w:val="center"/>
        </w:tcPr>
        <w:p w:rsidR="00EC3C8C" w:rsidRDefault="00654E72">
          <w:pPr>
            <w:pStyle w:val="Footer"/>
            <w:spacing w:after="0"/>
            <w:jc w:val="right"/>
            <w:rPr>
              <w:rFonts w:ascii="Arial" w:eastAsia="Arial" w:hAnsi="Arial" w:cs="Arial"/>
              <w:b/>
              <w:szCs w:val="16"/>
            </w:rPr>
          </w:pPr>
          <w:r>
            <w:rPr>
              <w:rFonts w:ascii="Arial" w:eastAsia="Arial" w:hAnsi="Arial" w:cs="Arial"/>
              <w:b/>
              <w:szCs w:val="16"/>
            </w:rPr>
            <w:t xml:space="preserve">Document No: </w:t>
          </w:r>
        </w:p>
      </w:tc>
      <w:tc>
        <w:tcPr>
          <w:tcW w:w="2552" w:type="dxa"/>
          <w:vAlign w:val="center"/>
        </w:tcPr>
        <w:p w:rsidR="00EC3C8C" w:rsidRDefault="00654E72">
          <w:pPr>
            <w:pStyle w:val="Header"/>
            <w:spacing w:after="0"/>
            <w:rPr>
              <w:rFonts w:cs="Arial"/>
              <w:szCs w:val="16"/>
            </w:rPr>
          </w:pPr>
          <w:r>
            <w:rPr>
              <w:rFonts w:cs="Arial"/>
              <w:szCs w:val="16"/>
            </w:rPr>
            <w:t xml:space="preserve"> CD_HA_0591</w:t>
          </w:r>
        </w:p>
      </w:tc>
      <w:tc>
        <w:tcPr>
          <w:tcW w:w="1417" w:type="dxa"/>
          <w:tcBorders>
            <w:right w:val="single" w:sz="4" w:space="0" w:color="auto"/>
          </w:tcBorders>
          <w:vAlign w:val="center"/>
        </w:tcPr>
        <w:p w:rsidR="00EC3C8C" w:rsidRDefault="00654E72">
          <w:pPr>
            <w:pStyle w:val="Footer"/>
            <w:spacing w:after="0"/>
            <w:jc w:val="right"/>
            <w:rPr>
              <w:rFonts w:ascii="Arial" w:eastAsia="Arial" w:hAnsi="Arial" w:cs="Arial"/>
              <w:b/>
              <w:szCs w:val="16"/>
            </w:rPr>
          </w:pPr>
          <w:r>
            <w:rPr>
              <w:rFonts w:ascii="Arial" w:eastAsia="Arial" w:hAnsi="Arial" w:cs="Arial"/>
              <w:b/>
              <w:szCs w:val="16"/>
            </w:rPr>
            <w:t>Authorised By:</w:t>
          </w:r>
        </w:p>
      </w:tc>
      <w:tc>
        <w:tcPr>
          <w:tcW w:w="2552" w:type="dxa"/>
          <w:tcBorders>
            <w:right w:val="single" w:sz="4" w:space="0" w:color="auto"/>
          </w:tcBorders>
          <w:vAlign w:val="center"/>
        </w:tcPr>
        <w:p w:rsidR="00EC3C8C" w:rsidRDefault="00654E72">
          <w:pPr>
            <w:pStyle w:val="Header"/>
            <w:spacing w:after="0"/>
            <w:rPr>
              <w:rFonts w:cs="Arial"/>
              <w:szCs w:val="16"/>
            </w:rPr>
          </w:pPr>
          <w:r>
            <w:rPr>
              <w:rFonts w:cs="Arial"/>
              <w:szCs w:val="16"/>
            </w:rPr>
            <w:t xml:space="preserve"> Andrew Webb</w:t>
          </w:r>
        </w:p>
      </w:tc>
    </w:tr>
    <w:tr w:rsidR="00EC3C8C">
      <w:trPr>
        <w:cantSplit/>
        <w:trHeight w:val="120"/>
        <w:jc w:val="center"/>
      </w:trPr>
      <w:tc>
        <w:tcPr>
          <w:tcW w:w="2689" w:type="dxa"/>
          <w:vMerge/>
          <w:tcBorders>
            <w:left w:val="single" w:sz="4" w:space="0" w:color="auto"/>
            <w:bottom w:val="nil"/>
          </w:tcBorders>
        </w:tcPr>
        <w:p w:rsidR="00EC3C8C" w:rsidRDefault="00EC3C8C">
          <w:pPr>
            <w:pStyle w:val="Header"/>
            <w:spacing w:after="0"/>
            <w:rPr>
              <w:rFonts w:cs="Arial"/>
              <w:szCs w:val="16"/>
            </w:rPr>
          </w:pPr>
        </w:p>
      </w:tc>
      <w:tc>
        <w:tcPr>
          <w:tcW w:w="1558" w:type="dxa"/>
          <w:tcBorders>
            <w:left w:val="single" w:sz="4" w:space="0" w:color="auto"/>
            <w:bottom w:val="nil"/>
          </w:tcBorders>
          <w:vAlign w:val="center"/>
        </w:tcPr>
        <w:p w:rsidR="00EC3C8C" w:rsidRDefault="00654E72">
          <w:pPr>
            <w:pStyle w:val="Header"/>
            <w:spacing w:after="0"/>
            <w:jc w:val="right"/>
            <w:rPr>
              <w:rFonts w:cs="Arial"/>
              <w:szCs w:val="16"/>
            </w:rPr>
          </w:pPr>
          <w:r>
            <w:rPr>
              <w:rFonts w:cs="Arial"/>
              <w:b/>
              <w:szCs w:val="16"/>
            </w:rPr>
            <w:t>Version No:</w:t>
          </w:r>
        </w:p>
      </w:tc>
      <w:tc>
        <w:tcPr>
          <w:tcW w:w="2552" w:type="dxa"/>
          <w:tcBorders>
            <w:bottom w:val="nil"/>
          </w:tcBorders>
          <w:vAlign w:val="center"/>
        </w:tcPr>
        <w:p w:rsidR="00EC3C8C" w:rsidRDefault="00654E72">
          <w:pPr>
            <w:pStyle w:val="Header"/>
            <w:spacing w:after="0"/>
            <w:rPr>
              <w:rFonts w:cs="Arial"/>
              <w:szCs w:val="16"/>
            </w:rPr>
          </w:pPr>
          <w:r>
            <w:rPr>
              <w:rFonts w:cs="Arial"/>
              <w:szCs w:val="16"/>
            </w:rPr>
            <w:t xml:space="preserve"> 2.2</w:t>
          </w:r>
        </w:p>
      </w:tc>
      <w:tc>
        <w:tcPr>
          <w:tcW w:w="1417" w:type="dxa"/>
          <w:tcBorders>
            <w:bottom w:val="nil"/>
            <w:right w:val="single" w:sz="4" w:space="0" w:color="auto"/>
          </w:tcBorders>
          <w:vAlign w:val="center"/>
        </w:tcPr>
        <w:p w:rsidR="00EC3C8C" w:rsidRDefault="00654E72">
          <w:pPr>
            <w:pStyle w:val="Footer"/>
            <w:spacing w:after="0"/>
            <w:jc w:val="right"/>
            <w:rPr>
              <w:rFonts w:ascii="Arial" w:eastAsia="Arial" w:hAnsi="Arial" w:cs="Arial"/>
              <w:b/>
              <w:szCs w:val="16"/>
            </w:rPr>
          </w:pPr>
          <w:r>
            <w:rPr>
              <w:rFonts w:ascii="Arial" w:eastAsia="Arial" w:hAnsi="Arial" w:cs="Arial"/>
              <w:b/>
              <w:szCs w:val="16"/>
            </w:rPr>
            <w:t>Issue Date:</w:t>
          </w:r>
        </w:p>
      </w:tc>
      <w:tc>
        <w:tcPr>
          <w:tcW w:w="2552" w:type="dxa"/>
          <w:tcBorders>
            <w:bottom w:val="nil"/>
            <w:right w:val="single" w:sz="4" w:space="0" w:color="auto"/>
          </w:tcBorders>
          <w:vAlign w:val="center"/>
        </w:tcPr>
        <w:p w:rsidR="00EC3C8C" w:rsidRDefault="00654E72">
          <w:pPr>
            <w:pStyle w:val="Header"/>
            <w:spacing w:after="0"/>
            <w:rPr>
              <w:rFonts w:cs="Arial"/>
              <w:szCs w:val="16"/>
            </w:rPr>
          </w:pPr>
          <w:r>
            <w:rPr>
              <w:rFonts w:cs="Arial"/>
              <w:szCs w:val="16"/>
            </w:rPr>
            <w:t xml:space="preserve"> 06/02/2019</w:t>
          </w:r>
        </w:p>
      </w:tc>
    </w:tr>
    <w:tr w:rsidR="00EC3C8C">
      <w:trPr>
        <w:cantSplit/>
        <w:jc w:val="center"/>
      </w:trPr>
      <w:tc>
        <w:tcPr>
          <w:tcW w:w="10768" w:type="dxa"/>
          <w:gridSpan w:val="5"/>
          <w:tcBorders>
            <w:left w:val="nil"/>
            <w:bottom w:val="single" w:sz="12" w:space="0" w:color="auto"/>
            <w:right w:val="nil"/>
          </w:tcBorders>
        </w:tcPr>
        <w:p w:rsidR="00EC3C8C" w:rsidRDefault="00654E72">
          <w:pPr>
            <w:pStyle w:val="RunningTitle"/>
            <w:tabs>
              <w:tab w:val="right" w:pos="9350"/>
            </w:tabs>
            <w:spacing w:after="0"/>
            <w:rPr>
              <w:rFonts w:cs="Arial"/>
              <w:color w:val="0000FF"/>
              <w:sz w:val="16"/>
              <w:szCs w:val="16"/>
            </w:rPr>
          </w:pPr>
          <w:r>
            <w:rPr>
              <w:rFonts w:cs="Arial"/>
              <w:color w:val="0000FF"/>
              <w:szCs w:val="16"/>
            </w:rPr>
            <w:t>Entry of Reserve Products</w:t>
          </w:r>
        </w:p>
      </w:tc>
    </w:tr>
  </w:tbl>
  <w:p w:rsidR="00EC3C8C" w:rsidRDefault="00EC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7.25pt;visibility:visible;mso-wrap-style:square" o:bullet="t">
        <v:imagedata r:id="rId1" o:title=""/>
      </v:shape>
    </w:pict>
  </w:numPicBullet>
  <w:abstractNum w:abstractNumId="0" w15:restartNumberingAfterBreak="0">
    <w:nsid w:val="0A5F0CD6"/>
    <w:multiLevelType w:val="multilevel"/>
    <w:tmpl w:val="5E58C3CC"/>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27B2A"/>
    <w:multiLevelType w:val="multilevel"/>
    <w:tmpl w:val="E454296E"/>
    <w:lvl w:ilvl="0">
      <w:start w:val="5"/>
      <w:numFmt w:val="decimal"/>
      <w:lvlText w:val="%1)"/>
      <w:lvlJc w:val="left"/>
      <w:pPr>
        <w:tabs>
          <w:tab w:val="num" w:pos="540"/>
        </w:tabs>
        <w:ind w:left="540" w:hanging="54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378C9"/>
    <w:multiLevelType w:val="multilevel"/>
    <w:tmpl w:val="BFB04B10"/>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C1FFB"/>
    <w:multiLevelType w:val="multilevel"/>
    <w:tmpl w:val="2EB07C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9677E"/>
    <w:multiLevelType w:val="multilevel"/>
    <w:tmpl w:val="20BC3D14"/>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B288F"/>
    <w:multiLevelType w:val="hybridMultilevel"/>
    <w:tmpl w:val="515A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4723F"/>
    <w:multiLevelType w:val="multilevel"/>
    <w:tmpl w:val="A1629E7E"/>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776F2"/>
    <w:multiLevelType w:val="multilevel"/>
    <w:tmpl w:val="EB92E78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7FB7EC7"/>
    <w:multiLevelType w:val="multilevel"/>
    <w:tmpl w:val="77E878F4"/>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2753C6"/>
    <w:multiLevelType w:val="multilevel"/>
    <w:tmpl w:val="C012E53C"/>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15:restartNumberingAfterBreak="0">
    <w:nsid w:val="33C838FD"/>
    <w:multiLevelType w:val="multilevel"/>
    <w:tmpl w:val="ABDCBC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3B2395"/>
    <w:multiLevelType w:val="multilevel"/>
    <w:tmpl w:val="570CEEB4"/>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7C5BFF"/>
    <w:multiLevelType w:val="multilevel"/>
    <w:tmpl w:val="EED277D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15:restartNumberingAfterBreak="0">
    <w:nsid w:val="3E0C09CF"/>
    <w:multiLevelType w:val="multilevel"/>
    <w:tmpl w:val="62BE8064"/>
    <w:lvl w:ilvl="0">
      <w:start w:val="1"/>
      <w:numFmt w:val="decimal"/>
      <w:lvlText w:val="%1)"/>
      <w:lvlJc w:val="left"/>
      <w:pPr>
        <w:tabs>
          <w:tab w:val="num" w:pos="540"/>
        </w:tabs>
        <w:ind w:left="540" w:hanging="54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A27C8C"/>
    <w:multiLevelType w:val="multilevel"/>
    <w:tmpl w:val="04800E5C"/>
    <w:lvl w:ilvl="0">
      <w:start w:val="1"/>
      <w:numFmt w:val="bullet"/>
      <w:pStyle w:val="SubH3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60A26"/>
    <w:multiLevelType w:val="multilevel"/>
    <w:tmpl w:val="4176A29E"/>
    <w:lvl w:ilvl="0">
      <w:start w:val="4"/>
      <w:numFmt w:val="decimal"/>
      <w:lvlText w:val="%1"/>
      <w:lvlJc w:val="left"/>
      <w:pPr>
        <w:ind w:left="420" w:hanging="420"/>
      </w:pPr>
      <w:rPr>
        <w:rFonts w:hint="default"/>
      </w:rPr>
    </w:lvl>
    <w:lvl w:ilvl="1">
      <w:start w:val="4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FF8414D"/>
    <w:multiLevelType w:val="multilevel"/>
    <w:tmpl w:val="2E5011EC"/>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7" w15:restartNumberingAfterBreak="0">
    <w:nsid w:val="4124509D"/>
    <w:multiLevelType w:val="multilevel"/>
    <w:tmpl w:val="F1A4ACC6"/>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4414B5"/>
    <w:multiLevelType w:val="multilevel"/>
    <w:tmpl w:val="DB54B7BC"/>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960A9D"/>
    <w:multiLevelType w:val="multilevel"/>
    <w:tmpl w:val="2C3E901C"/>
    <w:lvl w:ilvl="0">
      <w:start w:val="1"/>
      <w:numFmt w:val="bullet"/>
      <w:lvlText w:val="o"/>
      <w:lvlJc w:val="left"/>
      <w:pPr>
        <w:tabs>
          <w:tab w:val="num" w:pos="2221"/>
        </w:tabs>
        <w:ind w:left="2221" w:hanging="360"/>
      </w:pPr>
      <w:rPr>
        <w:rFonts w:ascii="Courier New" w:eastAsia="Courier New" w:hAnsi="Courier New" w:cs="Courier New" w:hint="default"/>
      </w:rPr>
    </w:lvl>
    <w:lvl w:ilvl="1">
      <w:start w:val="1"/>
      <w:numFmt w:val="bullet"/>
      <w:lvlText w:val="o"/>
      <w:lvlJc w:val="left"/>
      <w:pPr>
        <w:tabs>
          <w:tab w:val="num" w:pos="2941"/>
        </w:tabs>
        <w:ind w:left="2941" w:hanging="360"/>
      </w:pPr>
      <w:rPr>
        <w:rFonts w:ascii="Courier New" w:eastAsia="Courier New" w:hAnsi="Courier New" w:cs="Courier New" w:hint="default"/>
      </w:rPr>
    </w:lvl>
    <w:lvl w:ilvl="2">
      <w:start w:val="1"/>
      <w:numFmt w:val="bullet"/>
      <w:lvlText w:val=""/>
      <w:lvlJc w:val="left"/>
      <w:pPr>
        <w:tabs>
          <w:tab w:val="num" w:pos="3661"/>
        </w:tabs>
        <w:ind w:left="3661" w:hanging="360"/>
      </w:pPr>
      <w:rPr>
        <w:rFonts w:ascii="Wingdings" w:eastAsia="Wingdings" w:hAnsi="Wingdings" w:hint="default"/>
      </w:rPr>
    </w:lvl>
    <w:lvl w:ilvl="3">
      <w:start w:val="1"/>
      <w:numFmt w:val="bullet"/>
      <w:lvlText w:val=""/>
      <w:lvlJc w:val="left"/>
      <w:pPr>
        <w:tabs>
          <w:tab w:val="num" w:pos="4381"/>
        </w:tabs>
        <w:ind w:left="4381" w:hanging="360"/>
      </w:pPr>
      <w:rPr>
        <w:rFonts w:ascii="Symbol" w:eastAsia="Symbol" w:hAnsi="Symbol" w:hint="default"/>
      </w:rPr>
    </w:lvl>
    <w:lvl w:ilvl="4">
      <w:start w:val="1"/>
      <w:numFmt w:val="bullet"/>
      <w:lvlText w:val="o"/>
      <w:lvlJc w:val="left"/>
      <w:pPr>
        <w:tabs>
          <w:tab w:val="num" w:pos="5101"/>
        </w:tabs>
        <w:ind w:left="5101" w:hanging="360"/>
      </w:pPr>
      <w:rPr>
        <w:rFonts w:ascii="Courier New" w:eastAsia="Courier New" w:hAnsi="Courier New" w:cs="Courier New" w:hint="default"/>
      </w:rPr>
    </w:lvl>
    <w:lvl w:ilvl="5">
      <w:start w:val="1"/>
      <w:numFmt w:val="bullet"/>
      <w:lvlText w:val=""/>
      <w:lvlJc w:val="left"/>
      <w:pPr>
        <w:tabs>
          <w:tab w:val="num" w:pos="5821"/>
        </w:tabs>
        <w:ind w:left="5821" w:hanging="360"/>
      </w:pPr>
      <w:rPr>
        <w:rFonts w:ascii="Wingdings" w:eastAsia="Wingdings" w:hAnsi="Wingdings" w:hint="default"/>
      </w:rPr>
    </w:lvl>
    <w:lvl w:ilvl="6">
      <w:start w:val="1"/>
      <w:numFmt w:val="bullet"/>
      <w:lvlText w:val=""/>
      <w:lvlJc w:val="left"/>
      <w:pPr>
        <w:tabs>
          <w:tab w:val="num" w:pos="6541"/>
        </w:tabs>
        <w:ind w:left="6541" w:hanging="360"/>
      </w:pPr>
      <w:rPr>
        <w:rFonts w:ascii="Symbol" w:eastAsia="Symbol" w:hAnsi="Symbol" w:hint="default"/>
      </w:rPr>
    </w:lvl>
    <w:lvl w:ilvl="7">
      <w:start w:val="1"/>
      <w:numFmt w:val="bullet"/>
      <w:lvlText w:val="o"/>
      <w:lvlJc w:val="left"/>
      <w:pPr>
        <w:tabs>
          <w:tab w:val="num" w:pos="7261"/>
        </w:tabs>
        <w:ind w:left="7261" w:hanging="360"/>
      </w:pPr>
      <w:rPr>
        <w:rFonts w:ascii="Courier New" w:eastAsia="Courier New" w:hAnsi="Courier New" w:cs="Courier New" w:hint="default"/>
      </w:rPr>
    </w:lvl>
    <w:lvl w:ilvl="8">
      <w:start w:val="1"/>
      <w:numFmt w:val="bullet"/>
      <w:lvlText w:val=""/>
      <w:lvlJc w:val="left"/>
      <w:pPr>
        <w:tabs>
          <w:tab w:val="num" w:pos="7981"/>
        </w:tabs>
        <w:ind w:left="7981" w:hanging="360"/>
      </w:pPr>
      <w:rPr>
        <w:rFonts w:ascii="Wingdings" w:eastAsia="Wingdings" w:hAnsi="Wingdings" w:hint="default"/>
      </w:rPr>
    </w:lvl>
  </w:abstractNum>
  <w:abstractNum w:abstractNumId="20" w15:restartNumberingAfterBreak="0">
    <w:nsid w:val="45662735"/>
    <w:multiLevelType w:val="multilevel"/>
    <w:tmpl w:val="FF98137A"/>
    <w:lvl w:ilvl="0">
      <w:start w:val="1"/>
      <w:numFmt w:val="lowerLetter"/>
      <w:lvlText w:val="%1)"/>
      <w:lvlJc w:val="left"/>
      <w:pPr>
        <w:tabs>
          <w:tab w:val="num" w:pos="1080"/>
        </w:tabs>
        <w:ind w:left="1080" w:hanging="360"/>
      </w:pPr>
      <w:rPr>
        <w:rFonts w:hint="default"/>
        <w:b/>
      </w:rPr>
    </w:lvl>
    <w:lvl w:ilvl="1">
      <w:start w:val="1"/>
      <w:numFmt w:val="lowerRoman"/>
      <w:lvlText w:val="%2."/>
      <w:lvlJc w:val="right"/>
      <w:pPr>
        <w:tabs>
          <w:tab w:val="num" w:pos="1800"/>
        </w:tabs>
        <w:ind w:left="1800" w:hanging="36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A6D705C"/>
    <w:multiLevelType w:val="multilevel"/>
    <w:tmpl w:val="9822E0AC"/>
    <w:lvl w:ilvl="0">
      <w:start w:val="1"/>
      <w:numFmt w:val="decimal"/>
      <w:pStyle w:val="ListNum1"/>
      <w:lvlText w:val="%1."/>
      <w:lvlJc w:val="left"/>
      <w:pPr>
        <w:tabs>
          <w:tab w:val="num" w:pos="720"/>
        </w:tabs>
        <w:ind w:left="360" w:hanging="360"/>
      </w:pPr>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6411E5"/>
    <w:multiLevelType w:val="multilevel"/>
    <w:tmpl w:val="B4A0047E"/>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482192"/>
    <w:multiLevelType w:val="multilevel"/>
    <w:tmpl w:val="B9A0C77E"/>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51A86DB2"/>
    <w:multiLevelType w:val="multilevel"/>
    <w:tmpl w:val="A3FC63F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F8580E"/>
    <w:multiLevelType w:val="multilevel"/>
    <w:tmpl w:val="6B66A89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55A71CB7"/>
    <w:multiLevelType w:val="multilevel"/>
    <w:tmpl w:val="935A8E44"/>
    <w:lvl w:ilvl="0">
      <w:start w:val="1"/>
      <w:numFmt w:val="decimal"/>
      <w:lvlText w:val="%1)"/>
      <w:lvlJc w:val="left"/>
      <w:pPr>
        <w:tabs>
          <w:tab w:val="num" w:pos="537"/>
        </w:tabs>
        <w:ind w:left="537" w:hanging="48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FB614B"/>
    <w:multiLevelType w:val="multilevel"/>
    <w:tmpl w:val="27F4352C"/>
    <w:lvl w:ilvl="0">
      <w:start w:val="1"/>
      <w:numFmt w:val="bullet"/>
      <w:lvlText w:val=""/>
      <w:lvlJc w:val="left"/>
      <w:pPr>
        <w:ind w:left="765" w:hanging="360"/>
      </w:pPr>
      <w:rPr>
        <w:rFonts w:ascii="Symbol" w:eastAsia="Symbol" w:hAnsi="Symbol" w:hint="default"/>
      </w:rPr>
    </w:lvl>
    <w:lvl w:ilvl="1">
      <w:start w:val="1"/>
      <w:numFmt w:val="bullet"/>
      <w:lvlText w:val="o"/>
      <w:lvlJc w:val="left"/>
      <w:pPr>
        <w:ind w:left="1485" w:hanging="360"/>
      </w:pPr>
      <w:rPr>
        <w:rFonts w:ascii="Courier New" w:eastAsia="Courier New" w:hAnsi="Courier New" w:cs="Courier New" w:hint="default"/>
      </w:rPr>
    </w:lvl>
    <w:lvl w:ilvl="2">
      <w:start w:val="1"/>
      <w:numFmt w:val="bullet"/>
      <w:lvlText w:val=""/>
      <w:lvlJc w:val="left"/>
      <w:pPr>
        <w:ind w:left="2205" w:hanging="360"/>
      </w:pPr>
      <w:rPr>
        <w:rFonts w:ascii="Wingdings" w:eastAsia="Wingdings" w:hAnsi="Wingdings" w:hint="default"/>
      </w:rPr>
    </w:lvl>
    <w:lvl w:ilvl="3">
      <w:start w:val="1"/>
      <w:numFmt w:val="bullet"/>
      <w:lvlText w:val=""/>
      <w:lvlJc w:val="left"/>
      <w:pPr>
        <w:ind w:left="2925" w:hanging="360"/>
      </w:pPr>
      <w:rPr>
        <w:rFonts w:ascii="Symbol" w:eastAsia="Symbol" w:hAnsi="Symbol" w:hint="default"/>
      </w:rPr>
    </w:lvl>
    <w:lvl w:ilvl="4">
      <w:start w:val="1"/>
      <w:numFmt w:val="bullet"/>
      <w:lvlText w:val="o"/>
      <w:lvlJc w:val="left"/>
      <w:pPr>
        <w:ind w:left="3645" w:hanging="360"/>
      </w:pPr>
      <w:rPr>
        <w:rFonts w:ascii="Courier New" w:eastAsia="Courier New" w:hAnsi="Courier New" w:cs="Courier New" w:hint="default"/>
      </w:rPr>
    </w:lvl>
    <w:lvl w:ilvl="5">
      <w:start w:val="1"/>
      <w:numFmt w:val="bullet"/>
      <w:lvlText w:val=""/>
      <w:lvlJc w:val="left"/>
      <w:pPr>
        <w:ind w:left="4365" w:hanging="360"/>
      </w:pPr>
      <w:rPr>
        <w:rFonts w:ascii="Wingdings" w:eastAsia="Wingdings" w:hAnsi="Wingdings" w:hint="default"/>
      </w:rPr>
    </w:lvl>
    <w:lvl w:ilvl="6">
      <w:start w:val="1"/>
      <w:numFmt w:val="bullet"/>
      <w:lvlText w:val=""/>
      <w:lvlJc w:val="left"/>
      <w:pPr>
        <w:ind w:left="5085" w:hanging="360"/>
      </w:pPr>
      <w:rPr>
        <w:rFonts w:ascii="Symbol" w:eastAsia="Symbol" w:hAnsi="Symbol" w:hint="default"/>
      </w:rPr>
    </w:lvl>
    <w:lvl w:ilvl="7">
      <w:start w:val="1"/>
      <w:numFmt w:val="bullet"/>
      <w:lvlText w:val="o"/>
      <w:lvlJc w:val="left"/>
      <w:pPr>
        <w:ind w:left="5805" w:hanging="360"/>
      </w:pPr>
      <w:rPr>
        <w:rFonts w:ascii="Courier New" w:eastAsia="Courier New" w:hAnsi="Courier New" w:cs="Courier New" w:hint="default"/>
      </w:rPr>
    </w:lvl>
    <w:lvl w:ilvl="8">
      <w:start w:val="1"/>
      <w:numFmt w:val="bullet"/>
      <w:lvlText w:val=""/>
      <w:lvlJc w:val="left"/>
      <w:pPr>
        <w:ind w:left="6525" w:hanging="360"/>
      </w:pPr>
      <w:rPr>
        <w:rFonts w:ascii="Wingdings" w:eastAsia="Wingdings" w:hAnsi="Wingdings" w:hint="default"/>
      </w:rPr>
    </w:lvl>
  </w:abstractNum>
  <w:abstractNum w:abstractNumId="28" w15:restartNumberingAfterBreak="0">
    <w:nsid w:val="5D5D1141"/>
    <w:multiLevelType w:val="multilevel"/>
    <w:tmpl w:val="55F4FA70"/>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8370A"/>
    <w:multiLevelType w:val="multilevel"/>
    <w:tmpl w:val="43C8E4EC"/>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9E528B"/>
    <w:multiLevelType w:val="multilevel"/>
    <w:tmpl w:val="DE88916A"/>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1" w15:restartNumberingAfterBreak="0">
    <w:nsid w:val="6E5E5167"/>
    <w:multiLevelType w:val="multilevel"/>
    <w:tmpl w:val="387AEE1C"/>
    <w:lvl w:ilvl="0">
      <w:start w:val="1"/>
      <w:numFmt w:val="lowerRoman"/>
      <w:lvlText w:val="%1."/>
      <w:lvlJc w:val="right"/>
      <w:pPr>
        <w:tabs>
          <w:tab w:val="num" w:pos="1080"/>
        </w:tabs>
        <w:ind w:left="1080" w:hanging="360"/>
      </w:pPr>
      <w:rPr>
        <w:rFonts w:hint="default"/>
        <w:b/>
        <w:i w:val="0"/>
        <w:color w:val="auto"/>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52A1E0C"/>
    <w:multiLevelType w:val="hybridMultilevel"/>
    <w:tmpl w:val="BBEE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06514"/>
    <w:multiLevelType w:val="multilevel"/>
    <w:tmpl w:val="CCAA10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BB94BAA"/>
    <w:multiLevelType w:val="multilevel"/>
    <w:tmpl w:val="57F25290"/>
    <w:lvl w:ilvl="0">
      <w:start w:val="1"/>
      <w:numFmt w:val="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3"/>
  </w:num>
  <w:num w:numId="33">
    <w:abstractNumId w:val="34"/>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8C"/>
    <w:rsid w:val="000024ED"/>
    <w:rsid w:val="0037376A"/>
    <w:rsid w:val="003A258C"/>
    <w:rsid w:val="006524F2"/>
    <w:rsid w:val="00654E72"/>
    <w:rsid w:val="007A000D"/>
    <w:rsid w:val="009C3120"/>
    <w:rsid w:val="00AC5B0C"/>
    <w:rsid w:val="00AF6305"/>
    <w:rsid w:val="00B047F7"/>
    <w:rsid w:val="00B33135"/>
    <w:rsid w:val="00DA7F44"/>
    <w:rsid w:val="00EC3C8C"/>
    <w:rsid w:val="00F44E3C"/>
    <w:rsid w:val="00FE2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2382F37-6D38-4CC7-99C2-C87B740D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0"/>
    </w:pPr>
  </w:style>
  <w:style w:type="paragraph" w:styleId="Heading1">
    <w:name w:val="heading 1"/>
    <w:basedOn w:val="Normal"/>
    <w:next w:val="Normal"/>
    <w:qFormat/>
    <w:pPr>
      <w:keepNext/>
      <w:keepLines/>
      <w:suppressAutoHyphens/>
      <w:spacing w:before="120"/>
      <w:outlineLvl w:val="0"/>
    </w:pPr>
    <w:rPr>
      <w:rFonts w:ascii="Arial" w:eastAsia="Arial" w:hAnsi="Arial"/>
      <w:b/>
      <w:sz w:val="28"/>
    </w:rPr>
  </w:style>
  <w:style w:type="paragraph" w:styleId="Heading2">
    <w:name w:val="heading 2"/>
    <w:basedOn w:val="Normal"/>
    <w:next w:val="SubH2"/>
    <w:qFormat/>
    <w:pPr>
      <w:keepNext/>
      <w:keepLines/>
      <w:suppressAutoHyphens/>
      <w:spacing w:before="120"/>
      <w:ind w:left="426"/>
      <w:outlineLvl w:val="1"/>
    </w:pPr>
    <w:rPr>
      <w:rFonts w:ascii="Arial" w:eastAsia="Arial" w:hAnsi="Arial"/>
      <w:b/>
      <w:sz w:val="24"/>
    </w:rPr>
  </w:style>
  <w:style w:type="paragraph" w:styleId="Heading3">
    <w:name w:val="heading 3"/>
    <w:basedOn w:val="Normal"/>
    <w:next w:val="Normal"/>
    <w:qFormat/>
    <w:pPr>
      <w:keepNext/>
      <w:keepLines/>
      <w:suppressAutoHyphens/>
      <w:spacing w:before="120"/>
      <w:outlineLvl w:val="2"/>
    </w:pPr>
    <w:rPr>
      <w:rFonts w:ascii="Arial" w:eastAsia="Arial" w:hAnsi="Arial"/>
      <w:b/>
    </w:rPr>
  </w:style>
  <w:style w:type="paragraph" w:styleId="Heading4">
    <w:name w:val="heading 4"/>
    <w:basedOn w:val="Normal"/>
    <w:next w:val="Normal"/>
    <w:qFormat/>
    <w:pPr>
      <w:keepNext/>
      <w:numPr>
        <w:ilvl w:val="3"/>
        <w:numId w:val="25"/>
      </w:numPr>
      <w:spacing w:before="240"/>
      <w:outlineLvl w:val="3"/>
    </w:pPr>
    <w:rPr>
      <w:rFonts w:ascii="Arial" w:eastAsia="Arial" w:hAnsi="Arial"/>
      <w:b/>
      <w:sz w:val="24"/>
    </w:rPr>
  </w:style>
  <w:style w:type="paragraph" w:styleId="Heading5">
    <w:name w:val="heading 5"/>
    <w:basedOn w:val="Normal"/>
    <w:next w:val="Normal"/>
    <w:qFormat/>
    <w:pPr>
      <w:numPr>
        <w:ilvl w:val="4"/>
        <w:numId w:val="25"/>
      </w:numPr>
      <w:spacing w:before="240"/>
      <w:outlineLvl w:val="4"/>
    </w:pPr>
  </w:style>
  <w:style w:type="paragraph" w:styleId="Heading6">
    <w:name w:val="heading 6"/>
    <w:basedOn w:val="Normal"/>
    <w:next w:val="Normal"/>
    <w:qFormat/>
    <w:pPr>
      <w:numPr>
        <w:ilvl w:val="5"/>
        <w:numId w:val="25"/>
      </w:numPr>
      <w:spacing w:before="240"/>
      <w:outlineLvl w:val="5"/>
    </w:pPr>
    <w:rPr>
      <w:i/>
    </w:rPr>
  </w:style>
  <w:style w:type="paragraph" w:styleId="Heading7">
    <w:name w:val="heading 7"/>
    <w:basedOn w:val="Normal"/>
    <w:next w:val="Normal"/>
    <w:qFormat/>
    <w:pPr>
      <w:numPr>
        <w:ilvl w:val="6"/>
        <w:numId w:val="25"/>
      </w:numPr>
      <w:spacing w:before="240"/>
      <w:outlineLvl w:val="6"/>
    </w:pPr>
    <w:rPr>
      <w:rFonts w:ascii="Arial" w:eastAsia="Arial" w:hAnsi="Arial"/>
    </w:rPr>
  </w:style>
  <w:style w:type="paragraph" w:styleId="Heading8">
    <w:name w:val="heading 8"/>
    <w:basedOn w:val="Normal"/>
    <w:next w:val="Normal"/>
    <w:qFormat/>
    <w:pPr>
      <w:numPr>
        <w:ilvl w:val="7"/>
        <w:numId w:val="25"/>
      </w:numPr>
      <w:spacing w:before="240"/>
      <w:outlineLvl w:val="7"/>
    </w:pPr>
    <w:rPr>
      <w:rFonts w:ascii="Arial" w:eastAsia="Arial" w:hAnsi="Arial"/>
      <w:i/>
    </w:rPr>
  </w:style>
  <w:style w:type="paragraph" w:styleId="Heading9">
    <w:name w:val="heading 9"/>
    <w:basedOn w:val="Normal"/>
    <w:next w:val="Normal"/>
    <w:qFormat/>
    <w:pPr>
      <w:numPr>
        <w:ilvl w:val="8"/>
        <w:numId w:val="25"/>
      </w:numPr>
      <w:spacing w:before="240"/>
      <w:outlineLvl w:val="8"/>
    </w:pPr>
    <w:rPr>
      <w:rFonts w:ascii="Arial" w:eastAsia="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1">
    <w:name w:val="Sub_H1"/>
    <w:basedOn w:val="Normal"/>
    <w:rPr>
      <w:sz w:val="22"/>
    </w:rPr>
  </w:style>
  <w:style w:type="paragraph" w:styleId="Header">
    <w:name w:val="header"/>
    <w:basedOn w:val="Normal"/>
    <w:link w:val="HeaderChar"/>
    <w:pPr>
      <w:tabs>
        <w:tab w:val="center" w:pos="4320"/>
        <w:tab w:val="right" w:pos="8640"/>
      </w:tabs>
    </w:pPr>
    <w:rPr>
      <w:rFonts w:ascii="Arial" w:eastAsia="Arial" w:hAnsi="Arial"/>
      <w:sz w:val="16"/>
    </w:rPr>
  </w:style>
  <w:style w:type="paragraph" w:styleId="Footer">
    <w:name w:val="footer"/>
    <w:basedOn w:val="Normal"/>
    <w:link w:val="FooterChar"/>
    <w:uiPriority w:val="99"/>
    <w:pPr>
      <w:tabs>
        <w:tab w:val="center" w:pos="4320"/>
        <w:tab w:val="right" w:pos="8640"/>
      </w:tabs>
      <w:spacing w:before="60"/>
    </w:pPr>
    <w:rPr>
      <w:sz w:val="16"/>
    </w:rPr>
  </w:style>
  <w:style w:type="paragraph" w:customStyle="1" w:styleId="SubH2Bullet">
    <w:name w:val="Sub_H2_Bullet"/>
    <w:basedOn w:val="Normal"/>
    <w:pPr>
      <w:tabs>
        <w:tab w:val="num" w:pos="709"/>
      </w:tabs>
      <w:ind w:left="709" w:hanging="283"/>
    </w:pPr>
    <w:rPr>
      <w:sz w:val="22"/>
    </w:rPr>
  </w:style>
  <w:style w:type="paragraph" w:customStyle="1" w:styleId="DocHistCont">
    <w:name w:val="Doc_Hist_Cont"/>
    <w:basedOn w:val="Normal"/>
    <w:pPr>
      <w:keepNext/>
      <w:keepLines/>
      <w:suppressLineNumbers/>
      <w:suppressAutoHyphens/>
      <w:spacing w:before="40" w:after="40"/>
    </w:pPr>
    <w:rPr>
      <w:sz w:val="16"/>
    </w:rPr>
  </w:style>
  <w:style w:type="paragraph" w:customStyle="1" w:styleId="SubH2">
    <w:name w:val="Sub_H2"/>
    <w:basedOn w:val="Normal"/>
    <w:pPr>
      <w:ind w:left="426"/>
    </w:pPr>
    <w:rPr>
      <w:sz w:val="22"/>
    </w:rPr>
  </w:style>
  <w:style w:type="table" w:styleId="TableGrid">
    <w:name w:val="Table Grid"/>
    <w:basedOn w:val="TableNormal"/>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1Bullet">
    <w:name w:val="Sub_H1_Bullet"/>
    <w:basedOn w:val="SubH1"/>
    <w:pPr>
      <w:tabs>
        <w:tab w:val="num" w:pos="284"/>
      </w:tabs>
      <w:ind w:left="284" w:hanging="284"/>
    </w:pPr>
  </w:style>
  <w:style w:type="paragraph" w:customStyle="1" w:styleId="SubH3">
    <w:name w:val="Sub_H3"/>
    <w:basedOn w:val="Normal"/>
    <w:pPr>
      <w:ind w:left="851"/>
    </w:pPr>
    <w:rPr>
      <w:sz w:val="22"/>
    </w:rPr>
  </w:style>
  <w:style w:type="paragraph" w:customStyle="1" w:styleId="SubH3Bullet">
    <w:name w:val="Sub_H3_Bullet"/>
    <w:basedOn w:val="SubH1Bullet"/>
    <w:pPr>
      <w:numPr>
        <w:numId w:val="14"/>
      </w:numPr>
      <w:tabs>
        <w:tab w:val="clear" w:pos="360"/>
        <w:tab w:val="num" w:pos="1134"/>
      </w:tabs>
      <w:ind w:left="1134" w:hanging="283"/>
    </w:pPr>
  </w:style>
  <w:style w:type="paragraph" w:styleId="BalloonText">
    <w:name w:val="Balloon Text"/>
    <w:basedOn w:val="Normal"/>
    <w:semiHidden/>
    <w:rPr>
      <w:rFonts w:ascii="Tahoma" w:eastAsia="Tahoma" w:hAnsi="Tahoma" w:cs="Tahoma"/>
      <w:sz w:val="16"/>
      <w:szCs w:val="16"/>
    </w:rPr>
  </w:style>
  <w:style w:type="paragraph" w:customStyle="1" w:styleId="RunningTitle">
    <w:name w:val="Running Title"/>
    <w:basedOn w:val="Normal"/>
    <w:pPr>
      <w:keepLines/>
      <w:suppressAutoHyphens/>
      <w:spacing w:before="120" w:after="120"/>
      <w:jc w:val="center"/>
    </w:pPr>
    <w:rPr>
      <w:rFonts w:ascii="Arial" w:eastAsia="Arial" w:hAnsi="Arial"/>
      <w:b/>
      <w:smallCaps/>
      <w:sz w:val="28"/>
    </w:rPr>
  </w:style>
  <w:style w:type="paragraph" w:customStyle="1" w:styleId="ListNum1">
    <w:name w:val="ListNum1"/>
    <w:basedOn w:val="Normal"/>
    <w:link w:val="ListNum1CharChar"/>
    <w:qFormat/>
    <w:pPr>
      <w:numPr>
        <w:numId w:val="21"/>
      </w:numPr>
      <w:tabs>
        <w:tab w:val="left" w:pos="360"/>
      </w:tabs>
      <w:spacing w:before="60" w:line="300" w:lineRule="atLeast"/>
    </w:pPr>
    <w:rPr>
      <w:sz w:val="22"/>
    </w:rPr>
  </w:style>
  <w:style w:type="character" w:customStyle="1" w:styleId="ListNum1CharChar">
    <w:name w:val="ListNum1 Char Char"/>
    <w:basedOn w:val="DefaultParagraphFont"/>
    <w:link w:val="ListNum1"/>
    <w:rPr>
      <w:sz w:val="22"/>
      <w:lang w:val="en-AU" w:eastAsia="en-AU" w:bidi="ar-SA"/>
    </w:rPr>
  </w:style>
  <w:style w:type="character" w:styleId="Emphasis">
    <w:name w:val="Emphasis"/>
    <w:basedOn w:val="DefaultParagraphFont"/>
    <w:qFormat/>
    <w:rPr>
      <w:i/>
      <w:iCs/>
    </w:rPr>
  </w:style>
  <w:style w:type="character" w:customStyle="1" w:styleId="FooterChar">
    <w:name w:val="Footer Char"/>
    <w:basedOn w:val="DefaultParagraphFont"/>
    <w:link w:val="Footer"/>
    <w:uiPriority w:val="99"/>
    <w:rPr>
      <w:sz w:val="16"/>
    </w:rPr>
  </w:style>
  <w:style w:type="character" w:customStyle="1" w:styleId="HeaderChar">
    <w:name w:val="Header Char"/>
    <w:basedOn w:val="DefaultParagraphFont"/>
    <w:link w:val="Header"/>
    <w:rPr>
      <w:rFonts w:ascii="Arial" w:eastAsia="Arial" w:hAnsi="Arial"/>
      <w:sz w:val="16"/>
    </w:rPr>
  </w:style>
  <w:style w:type="paragraph" w:styleId="ListParagraph">
    <w:name w:val="List Paragraph"/>
    <w:basedOn w:val="Normal"/>
    <w:uiPriority w:val="34"/>
    <w:qFormat/>
    <w:pPr>
      <w:ind w:left="720"/>
      <w:contextualSpacing/>
    </w:pPr>
  </w:style>
  <w:style w:type="paragraph" w:customStyle="1" w:styleId="Para1">
    <w:name w:val="Para 1"/>
    <w:basedOn w:val="Normal"/>
    <w:link w:val="Para1Char"/>
    <w:qFormat/>
    <w:pPr>
      <w:spacing w:before="120" w:after="0" w:line="259" w:lineRule="auto"/>
      <w:ind w:left="567"/>
    </w:pPr>
    <w:rPr>
      <w:rFonts w:ascii="Arial" w:eastAsia="Calibri" w:hAnsi="Arial" w:cs="Arial"/>
      <w:sz w:val="22"/>
      <w:szCs w:val="22"/>
      <w:lang w:eastAsia="en-US"/>
    </w:rPr>
  </w:style>
  <w:style w:type="character" w:customStyle="1" w:styleId="Para1Char">
    <w:name w:val="Para 1 Char"/>
    <w:basedOn w:val="DefaultParagraphFont"/>
    <w:link w:val="Para1"/>
    <w:rPr>
      <w:rFonts w:ascii="Arial" w:eastAsia="Calibri" w:hAnsi="Arial" w:cs="Arial"/>
      <w:sz w:val="22"/>
      <w:szCs w:val="22"/>
      <w:lang w:eastAsia="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HSHAREDAPP02/Fasttrack/Portal/CD_HA_0506.docx" TargetMode="External"/><Relationship Id="rId12" Type="http://schemas.openxmlformats.org/officeDocument/2006/relationships/image" Target="media/image6.png"/><Relationship Id="rId17" Type="http://schemas.openxmlformats.org/officeDocument/2006/relationships/hyperlink" Target="http://AHSHAREDAPP02/Fasttrack/Portal/CD_HA_0506.docx" TargetMode="External"/><Relationship Id="rId2" Type="http://schemas.openxmlformats.org/officeDocument/2006/relationships/styles" Target="styles.xml"/><Relationship Id="rId16" Type="http://schemas.openxmlformats.org/officeDocument/2006/relationships/hyperlink" Target="http://AHSHAREDAPP02/Fasttrack/Portal/BBK_CER_00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A_Quality\CD_Field9_Tpl.do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CD_Field9_Tpl</Template>
  <TotalTime>1</TotalTime>
  <Pages>4</Pages>
  <Words>945</Words>
  <Characters>5088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CD_Field_Template</vt:lpstr>
    </vt:vector>
  </TitlesOfParts>
  <Company>The Alfred Hospital</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CD_Field_Template</dc:title>
  <dc:subject/>
  <dc:creator>Robert Leonard</dc:creator>
  <cp:keywords/>
  <cp:lastModifiedBy>Veljanovski, Teodora</cp:lastModifiedBy>
  <cp:revision>2</cp:revision>
  <cp:lastPrinted>2016-10-07T03:10:00Z</cp:lastPrinted>
  <dcterms:created xsi:type="dcterms:W3CDTF">2021-06-29T09:08:00Z</dcterms:created>
  <dcterms:modified xsi:type="dcterms:W3CDTF">2021-06-29T09:08:00Z</dcterms:modified>
</cp:coreProperties>
</file>