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CASE STUDY: HA-MO-21-04</w:t>
      </w:r>
    </w:p>
    <w:p w:rsidR="006C6288" w:rsidRDefault="006C6288" w:rsidP="006C6288">
      <w:pPr>
        <w:shd w:val="clear" w:color="auto" w:fill="FFFFFF"/>
        <w:spacing w:after="0" w:line="240" w:lineRule="auto"/>
        <w:rPr>
          <w:rFonts w:ascii="Arial" w:eastAsia="Times New Roman" w:hAnsi="Arial" w:cs="Arial"/>
          <w:sz w:val="26"/>
          <w:szCs w:val="26"/>
          <w:lang w:eastAsia="en-AU"/>
        </w:rPr>
      </w:pPr>
    </w:p>
    <w:p w:rsidR="006C6288" w:rsidRDefault="006C6288" w:rsidP="006C6288">
      <w:pPr>
        <w:shd w:val="clear" w:color="auto" w:fill="FFFFFF"/>
        <w:spacing w:after="0" w:line="240" w:lineRule="auto"/>
        <w:rPr>
          <w:rFonts w:ascii="Arial" w:eastAsia="Times New Roman" w:hAnsi="Arial" w:cs="Arial"/>
          <w:sz w:val="26"/>
          <w:szCs w:val="26"/>
          <w:lang w:eastAsia="en-AU"/>
        </w:rPr>
      </w:pPr>
      <w:r>
        <w:rPr>
          <w:rFonts w:ascii="Arial" w:hAnsi="Arial" w:cs="Arial"/>
          <w:sz w:val="26"/>
          <w:szCs w:val="26"/>
        </w:rPr>
        <w:t>Acute Myelomonocytic Leukaemia</w:t>
      </w:r>
    </w:p>
    <w:p w:rsidR="006C6288" w:rsidRDefault="006C6288" w:rsidP="006C6288">
      <w:pPr>
        <w:shd w:val="clear" w:color="auto" w:fill="FFFFFF"/>
        <w:spacing w:after="0" w:line="240" w:lineRule="auto"/>
        <w:rPr>
          <w:rFonts w:ascii="Arial" w:eastAsia="Times New Roman" w:hAnsi="Arial" w:cs="Arial"/>
          <w:sz w:val="26"/>
          <w:szCs w:val="26"/>
          <w:lang w:eastAsia="en-AU"/>
        </w:rPr>
      </w:pPr>
    </w:p>
    <w:p w:rsidR="006C6288" w:rsidRDefault="006C6288" w:rsidP="006C6288">
      <w:pPr>
        <w:shd w:val="clear" w:color="auto" w:fill="FFFFFF"/>
        <w:spacing w:after="0" w:line="240" w:lineRule="auto"/>
        <w:rPr>
          <w:rFonts w:ascii="Arial" w:eastAsia="Times New Roman" w:hAnsi="Arial" w:cs="Arial"/>
          <w:sz w:val="26"/>
          <w:szCs w:val="26"/>
          <w:lang w:eastAsia="en-AU"/>
        </w:rPr>
      </w:pPr>
      <w:proofErr w:type="gramStart"/>
      <w:r w:rsidRPr="006C6288">
        <w:rPr>
          <w:rFonts w:ascii="Arial" w:eastAsia="Times New Roman" w:hAnsi="Arial" w:cs="Arial"/>
          <w:sz w:val="26"/>
          <w:szCs w:val="26"/>
          <w:lang w:eastAsia="en-AU"/>
        </w:rPr>
        <w:t>45 year old</w:t>
      </w:r>
      <w:proofErr w:type="gramEnd"/>
      <w:r w:rsidRPr="006C6288">
        <w:rPr>
          <w:rFonts w:ascii="Arial" w:eastAsia="Times New Roman" w:hAnsi="Arial" w:cs="Arial"/>
          <w:sz w:val="26"/>
          <w:szCs w:val="26"/>
          <w:lang w:eastAsia="en-AU"/>
        </w:rPr>
        <w:t xml:space="preserve"> female with fatigue, fever and </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WCC: 69.1 x10</w:t>
      </w:r>
      <w:r w:rsidRPr="006C6288">
        <w:rPr>
          <w:rFonts w:ascii="Arial" w:eastAsia="Times New Roman" w:hAnsi="Arial" w:cs="Arial"/>
          <w:sz w:val="17"/>
          <w:szCs w:val="17"/>
          <w:lang w:eastAsia="en-AU"/>
        </w:rPr>
        <w:t>9</w:t>
      </w:r>
      <w:r w:rsidRPr="006C6288">
        <w:rPr>
          <w:rFonts w:ascii="Arial" w:eastAsia="Times New Roman" w:hAnsi="Arial" w:cs="Arial"/>
          <w:sz w:val="26"/>
          <w:szCs w:val="26"/>
          <w:lang w:eastAsia="en-AU"/>
        </w:rPr>
        <w:t xml:space="preserve">/L </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RCC: 3.00 x10</w:t>
      </w:r>
      <w:r w:rsidRPr="006C6288">
        <w:rPr>
          <w:rFonts w:ascii="Arial" w:eastAsia="Times New Roman" w:hAnsi="Arial" w:cs="Arial"/>
          <w:sz w:val="17"/>
          <w:szCs w:val="17"/>
          <w:lang w:eastAsia="en-AU"/>
        </w:rPr>
        <w:t>12</w:t>
      </w:r>
      <w:r w:rsidRPr="006C6288">
        <w:rPr>
          <w:rFonts w:ascii="Arial" w:eastAsia="Times New Roman" w:hAnsi="Arial" w:cs="Arial"/>
          <w:sz w:val="26"/>
          <w:szCs w:val="26"/>
          <w:lang w:eastAsia="en-AU"/>
        </w:rPr>
        <w:t>/L</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HB: 94 g/L</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 xml:space="preserve">MCV: 91.7 </w:t>
      </w:r>
      <w:proofErr w:type="spellStart"/>
      <w:r w:rsidRPr="006C6288">
        <w:rPr>
          <w:rFonts w:ascii="Arial" w:eastAsia="Times New Roman" w:hAnsi="Arial" w:cs="Arial"/>
          <w:sz w:val="26"/>
          <w:szCs w:val="26"/>
          <w:lang w:eastAsia="en-AU"/>
        </w:rPr>
        <w:t>fL</w:t>
      </w:r>
      <w:proofErr w:type="spellEnd"/>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 xml:space="preserve">MCH: 31.2 </w:t>
      </w:r>
      <w:proofErr w:type="spellStart"/>
      <w:r w:rsidRPr="006C6288">
        <w:rPr>
          <w:rFonts w:ascii="Arial" w:eastAsia="Times New Roman" w:hAnsi="Arial" w:cs="Arial"/>
          <w:sz w:val="26"/>
          <w:szCs w:val="26"/>
          <w:lang w:eastAsia="en-AU"/>
        </w:rPr>
        <w:t>pg</w:t>
      </w:r>
      <w:proofErr w:type="spellEnd"/>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 xml:space="preserve">MCHC: 341 g/L </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PLT: 89 x10</w:t>
      </w:r>
      <w:r w:rsidRPr="006C6288">
        <w:rPr>
          <w:rFonts w:ascii="Arial" w:eastAsia="Times New Roman" w:hAnsi="Arial" w:cs="Arial"/>
          <w:sz w:val="17"/>
          <w:szCs w:val="17"/>
          <w:lang w:eastAsia="en-AU"/>
        </w:rPr>
        <w:t>9</w:t>
      </w:r>
      <w:r w:rsidRPr="006C6288">
        <w:rPr>
          <w:rFonts w:ascii="Arial" w:eastAsia="Times New Roman" w:hAnsi="Arial" w:cs="Arial"/>
          <w:sz w:val="26"/>
          <w:szCs w:val="26"/>
          <w:lang w:eastAsia="en-AU"/>
        </w:rPr>
        <w:t>/L</w:t>
      </w:r>
    </w:p>
    <w:p w:rsidR="006C6288"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 xml:space="preserve">The most significant feature of the film was the marked leucocytosis with a proliferation of neutrophil and monocyte precursors. The </w:t>
      </w:r>
      <w:proofErr w:type="spellStart"/>
      <w:r w:rsidRPr="006C6288">
        <w:rPr>
          <w:rFonts w:ascii="Arial" w:eastAsia="Times New Roman" w:hAnsi="Arial" w:cs="Arial"/>
          <w:sz w:val="26"/>
          <w:szCs w:val="26"/>
          <w:lang w:eastAsia="en-AU"/>
        </w:rPr>
        <w:t>monoblasts</w:t>
      </w:r>
      <w:proofErr w:type="spellEnd"/>
      <w:r w:rsidRPr="006C6288">
        <w:rPr>
          <w:rFonts w:ascii="Arial" w:eastAsia="Times New Roman" w:hAnsi="Arial" w:cs="Arial"/>
          <w:sz w:val="26"/>
          <w:szCs w:val="26"/>
          <w:lang w:eastAsia="en-AU"/>
        </w:rPr>
        <w:t xml:space="preserve"> were large with abundant basophilic cytoplasm, with some showing scattered fine azurophilic granules, vacuoles and occasional cells with Auer rods. The nuclei were round with open chromatin and one or more large prominent nucleoli. The promonocytes had a more irregular and convoluted nuclear configuration, with less basophilic cytoplasm and sometimes more granulation and vacuolation. An increased number of monocytic cells were present in this case. The red cells showed increased polychromasia, tear drop cells and occasional nucleated RBCs, and the platelets were essentially normal. These features were highly suggestive of acute myelomonocytic leukemia (AMML).</w:t>
      </w:r>
    </w:p>
    <w:p w:rsidR="006C6288" w:rsidRDefault="006C6288" w:rsidP="006C6288">
      <w:pPr>
        <w:shd w:val="clear" w:color="auto" w:fill="FFFFFF"/>
        <w:spacing w:after="0" w:line="240" w:lineRule="auto"/>
        <w:rPr>
          <w:rFonts w:ascii="Arial" w:eastAsia="Times New Roman" w:hAnsi="Arial" w:cs="Arial"/>
          <w:sz w:val="26"/>
          <w:szCs w:val="26"/>
          <w:lang w:eastAsia="en-AU"/>
        </w:rPr>
      </w:pPr>
    </w:p>
    <w:p w:rsidR="006C6288" w:rsidRDefault="006C6288" w:rsidP="002900F8">
      <w:pPr>
        <w:shd w:val="clear" w:color="auto" w:fill="FFFFFF"/>
        <w:spacing w:after="0" w:line="240" w:lineRule="auto"/>
        <w:rPr>
          <w:rFonts w:ascii="Arial" w:eastAsia="Times New Roman" w:hAnsi="Arial" w:cs="Arial"/>
          <w:sz w:val="26"/>
          <w:szCs w:val="26"/>
          <w:lang w:eastAsia="en-AU"/>
        </w:rPr>
      </w:pPr>
      <w:r>
        <w:rPr>
          <w:noProof/>
        </w:rPr>
        <w:drawing>
          <wp:inline distT="0" distB="0" distL="0" distR="0" wp14:anchorId="6E22312B" wp14:editId="30F718FC">
            <wp:extent cx="6288405" cy="3181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00722" cy="3187451"/>
                    </a:xfrm>
                    <a:prstGeom prst="rect">
                      <a:avLst/>
                    </a:prstGeom>
                  </pic:spPr>
                </pic:pic>
              </a:graphicData>
            </a:graphic>
          </wp:inline>
        </w:drawing>
      </w:r>
    </w:p>
    <w:p w:rsidR="006C6288" w:rsidRDefault="006C6288" w:rsidP="006C6288">
      <w:pPr>
        <w:shd w:val="clear" w:color="auto" w:fill="FFFFFF"/>
        <w:spacing w:after="0" w:line="240" w:lineRule="auto"/>
        <w:rPr>
          <w:rFonts w:ascii="Arial" w:eastAsia="Times New Roman" w:hAnsi="Arial" w:cs="Arial"/>
          <w:sz w:val="26"/>
          <w:szCs w:val="26"/>
          <w:lang w:eastAsia="en-AU"/>
        </w:rPr>
      </w:pPr>
    </w:p>
    <w:p w:rsidR="006C6288" w:rsidRDefault="005E2B5C" w:rsidP="006C6288">
      <w:pPr>
        <w:shd w:val="clear" w:color="auto" w:fill="FFFFFF"/>
        <w:spacing w:after="0" w:line="240" w:lineRule="auto"/>
        <w:rPr>
          <w:rFonts w:ascii="Arial" w:eastAsia="Times New Roman" w:hAnsi="Arial" w:cs="Arial"/>
          <w:sz w:val="26"/>
          <w:szCs w:val="26"/>
          <w:lang w:eastAsia="en-AU"/>
        </w:rPr>
      </w:pPr>
      <w:r>
        <w:rPr>
          <w:noProof/>
        </w:rPr>
        <w:lastRenderedPageBreak/>
        <w:drawing>
          <wp:inline distT="0" distB="0" distL="0" distR="0" wp14:anchorId="1EDBDBE8" wp14:editId="011CE8A4">
            <wp:extent cx="5731510" cy="32873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87395"/>
                    </a:xfrm>
                    <a:prstGeom prst="rect">
                      <a:avLst/>
                    </a:prstGeom>
                  </pic:spPr>
                </pic:pic>
              </a:graphicData>
            </a:graphic>
          </wp:inline>
        </w:drawing>
      </w:r>
      <w:r w:rsidR="006C6288">
        <w:rPr>
          <w:noProof/>
        </w:rPr>
        <w:drawing>
          <wp:inline distT="0" distB="0" distL="0" distR="0" wp14:anchorId="073F74C9" wp14:editId="3FBBE530">
            <wp:extent cx="1628775" cy="1511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31769" cy="1514570"/>
                    </a:xfrm>
                    <a:prstGeom prst="rect">
                      <a:avLst/>
                    </a:prstGeom>
                  </pic:spPr>
                </pic:pic>
              </a:graphicData>
            </a:graphic>
          </wp:inline>
        </w:drawing>
      </w:r>
    </w:p>
    <w:p w:rsidR="00144C54"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 xml:space="preserve">The majority of participants reported the blasts, </w:t>
      </w:r>
      <w:proofErr w:type="spellStart"/>
      <w:r w:rsidRPr="006C6288">
        <w:rPr>
          <w:rFonts w:ascii="Arial" w:eastAsia="Times New Roman" w:hAnsi="Arial" w:cs="Arial"/>
          <w:sz w:val="26"/>
          <w:szCs w:val="26"/>
          <w:lang w:eastAsia="en-AU"/>
        </w:rPr>
        <w:t>monocytosis</w:t>
      </w:r>
      <w:proofErr w:type="spellEnd"/>
      <w:r w:rsidRPr="006C6288">
        <w:rPr>
          <w:rFonts w:ascii="Arial" w:eastAsia="Times New Roman" w:hAnsi="Arial" w:cs="Arial"/>
          <w:sz w:val="26"/>
          <w:szCs w:val="26"/>
          <w:lang w:eastAsia="en-AU"/>
        </w:rPr>
        <w:t xml:space="preserve"> and left shift, which were considered essential diagnostic features of the film and scored 10. The Auer rods were considered a major feature and scored 5. Features indicating the presence of mild dysplasia were scored accordingly and the minor red cell changes previously described were scored similarly. The overall normal platelet morphology was acknowledged in the scoring.</w:t>
      </w:r>
    </w:p>
    <w:p w:rsidR="00144C54" w:rsidRDefault="00144C54" w:rsidP="006C6288">
      <w:pPr>
        <w:shd w:val="clear" w:color="auto" w:fill="FFFFFF"/>
        <w:spacing w:after="0" w:line="240" w:lineRule="auto"/>
        <w:rPr>
          <w:rFonts w:ascii="Arial" w:eastAsia="Times New Roman" w:hAnsi="Arial" w:cs="Arial"/>
          <w:sz w:val="26"/>
          <w:szCs w:val="26"/>
          <w:lang w:eastAsia="en-AU"/>
        </w:rPr>
      </w:pPr>
    </w:p>
    <w:p w:rsidR="006C6288" w:rsidRPr="006C6288" w:rsidRDefault="006C6288" w:rsidP="006C6288">
      <w:pPr>
        <w:shd w:val="clear" w:color="auto" w:fill="FFFFFF"/>
        <w:spacing w:after="0" w:line="240" w:lineRule="auto"/>
        <w:rPr>
          <w:rFonts w:ascii="Times New Roman" w:eastAsia="Times New Roman" w:hAnsi="Times New Roman" w:cs="Times New Roman"/>
          <w:sz w:val="15"/>
          <w:szCs w:val="15"/>
          <w:lang w:eastAsia="en-AU"/>
        </w:rPr>
      </w:pPr>
      <w:r w:rsidRPr="006C6288">
        <w:rPr>
          <w:rFonts w:ascii="Arial" w:eastAsia="Times New Roman" w:hAnsi="Arial" w:cs="Arial"/>
          <w:sz w:val="26"/>
          <w:szCs w:val="26"/>
          <w:lang w:eastAsia="en-AU"/>
        </w:rPr>
        <w:t>AMML is an acute leukaemia characterised by a proliferation of neutrophil and monocyte precursors. The peripheral blood or bone marrow has ≥20% blasts (including promonocytes)</w:t>
      </w:r>
      <w:r w:rsidRPr="006C6288">
        <w:rPr>
          <w:rFonts w:ascii="Arial" w:eastAsia="Times New Roman" w:hAnsi="Arial" w:cs="Arial"/>
          <w:sz w:val="17"/>
          <w:szCs w:val="17"/>
          <w:lang w:eastAsia="en-AU"/>
        </w:rPr>
        <w:t>1</w:t>
      </w:r>
      <w:r w:rsidRPr="006C6288">
        <w:rPr>
          <w:rFonts w:ascii="Arial" w:eastAsia="Times New Roman" w:hAnsi="Arial" w:cs="Arial"/>
          <w:sz w:val="26"/>
          <w:szCs w:val="26"/>
          <w:lang w:eastAsia="en-AU"/>
        </w:rPr>
        <w:t xml:space="preserve">. This case was also used for the corresponding Blood Film differential survey (HA-BF- 21-03) where the median count of the combined blasts and promonocytes was 32%. Neutrophils and their precursors and monocytes and their precursors each constitute ≥20% of bone marrow cells. This conventional minimal limit of 20% monocytes and their precursors distinguishes AMML from cases of acute myeloid leukaemia (AML) with or without maturation, in which some monocytes may be present. AMML accounts for 5-10% of AML cases. It occurs in all age groups but is more common in older individuals. Patients typically present with anaemia and thrombocytopenia, fever and fatigue. The WBC count may be high, with numerous blasts and promonocytes. Considering the morphological features described, and the median count of the combined blasts and promonocytes as </w:t>
      </w:r>
      <w:r w:rsidRPr="006C6288">
        <w:rPr>
          <w:rFonts w:ascii="Arial" w:eastAsia="Times New Roman" w:hAnsi="Arial" w:cs="Arial"/>
          <w:sz w:val="26"/>
          <w:szCs w:val="26"/>
          <w:lang w:eastAsia="en-AU"/>
        </w:rPr>
        <w:lastRenderedPageBreak/>
        <w:t>shown by the corresponding Blood Film differential survey, the most likely diagnosis was considered to be AMML and allocated a score of 5. 'AML' and 'acute monoblastic/monocytic leukaemia' were considered diagnoses 'with the majority of the expected features' and were scored 4. Other submitted diagnoses which indicated minor myeloid and /or monocytic features were scored accordingly.</w:t>
      </w:r>
    </w:p>
    <w:p w:rsidR="00144C54" w:rsidRDefault="00144C54" w:rsidP="006C6288">
      <w:pPr>
        <w:shd w:val="clear" w:color="auto" w:fill="FFFFFF"/>
        <w:spacing w:after="0" w:line="240" w:lineRule="auto"/>
        <w:rPr>
          <w:rFonts w:ascii="Arial" w:eastAsia="Times New Roman" w:hAnsi="Arial" w:cs="Arial"/>
          <w:sz w:val="19"/>
          <w:szCs w:val="19"/>
          <w:lang w:eastAsia="en-AU"/>
        </w:rPr>
      </w:pPr>
    </w:p>
    <w:p w:rsidR="00144C54" w:rsidRDefault="006C6288" w:rsidP="006C6288">
      <w:pPr>
        <w:shd w:val="clear" w:color="auto" w:fill="FFFFFF"/>
        <w:spacing w:after="0" w:line="240" w:lineRule="auto"/>
        <w:rPr>
          <w:rFonts w:ascii="Arial" w:eastAsia="Times New Roman" w:hAnsi="Arial" w:cs="Arial"/>
          <w:sz w:val="26"/>
          <w:szCs w:val="26"/>
          <w:lang w:eastAsia="en-AU"/>
        </w:rPr>
      </w:pPr>
      <w:r w:rsidRPr="006C6288">
        <w:rPr>
          <w:rFonts w:ascii="Arial" w:eastAsia="Times New Roman" w:hAnsi="Arial" w:cs="Arial"/>
          <w:sz w:val="26"/>
          <w:szCs w:val="26"/>
          <w:lang w:eastAsia="en-AU"/>
        </w:rPr>
        <w:t>This patient's immunophenotype showed a heterogeneous myeloid/monocytic blast population which was CD11b+ (partial), CD13+, CD33+, CD34+, CD64+, CD38+, CD117+(partial) HLADR+ and MPO+. FLT3-ITD was detected in the bone marrow aspirate. These results are consistent with the presence of an AML with both immature monocytic and myeloid components.</w:t>
      </w:r>
    </w:p>
    <w:p w:rsidR="00144C54" w:rsidRDefault="00144C54" w:rsidP="006C6288">
      <w:pPr>
        <w:shd w:val="clear" w:color="auto" w:fill="FFFFFF"/>
        <w:spacing w:after="0" w:line="240" w:lineRule="auto"/>
        <w:rPr>
          <w:rFonts w:ascii="Arial" w:eastAsia="Times New Roman" w:hAnsi="Arial" w:cs="Arial"/>
          <w:sz w:val="26"/>
          <w:szCs w:val="26"/>
          <w:lang w:eastAsia="en-AU"/>
        </w:rPr>
      </w:pPr>
    </w:p>
    <w:p w:rsidR="006C6288" w:rsidRPr="006C6288" w:rsidRDefault="006C6288" w:rsidP="006C6288">
      <w:pPr>
        <w:shd w:val="clear" w:color="auto" w:fill="FFFFFF"/>
        <w:spacing w:after="0" w:line="240" w:lineRule="auto"/>
        <w:rPr>
          <w:rFonts w:ascii="Times New Roman" w:eastAsia="Times New Roman" w:hAnsi="Times New Roman" w:cs="Times New Roman"/>
          <w:sz w:val="15"/>
          <w:szCs w:val="15"/>
          <w:lang w:eastAsia="en-AU"/>
        </w:rPr>
      </w:pPr>
      <w:r w:rsidRPr="006C6288">
        <w:rPr>
          <w:rFonts w:ascii="Arial" w:eastAsia="Times New Roman" w:hAnsi="Arial" w:cs="Arial"/>
          <w:sz w:val="26"/>
          <w:szCs w:val="26"/>
          <w:lang w:eastAsia="en-AU"/>
        </w:rPr>
        <w:t xml:space="preserve">1.WHO Classification of Tumours of Haematopoietic and Lymphoid Tissues, </w:t>
      </w:r>
      <w:proofErr w:type="spellStart"/>
      <w:r w:rsidRPr="006C6288">
        <w:rPr>
          <w:rFonts w:ascii="Arial" w:eastAsia="Times New Roman" w:hAnsi="Arial" w:cs="Arial"/>
          <w:sz w:val="26"/>
          <w:szCs w:val="26"/>
          <w:lang w:eastAsia="en-AU"/>
        </w:rPr>
        <w:t>Swerdlow</w:t>
      </w:r>
      <w:proofErr w:type="spellEnd"/>
      <w:r w:rsidRPr="006C6288">
        <w:rPr>
          <w:rFonts w:ascii="Arial" w:eastAsia="Times New Roman" w:hAnsi="Arial" w:cs="Arial"/>
          <w:sz w:val="26"/>
          <w:szCs w:val="26"/>
          <w:lang w:eastAsia="en-AU"/>
        </w:rPr>
        <w:t>, S et al, revised 4</w:t>
      </w:r>
      <w:r w:rsidRPr="006C6288">
        <w:rPr>
          <w:rFonts w:ascii="Arial" w:eastAsia="Times New Roman" w:hAnsi="Arial" w:cs="Arial"/>
          <w:sz w:val="17"/>
          <w:szCs w:val="17"/>
          <w:lang w:eastAsia="en-AU"/>
        </w:rPr>
        <w:t>th</w:t>
      </w:r>
      <w:r w:rsidRPr="006C6288">
        <w:rPr>
          <w:rFonts w:ascii="Arial" w:eastAsia="Times New Roman" w:hAnsi="Arial" w:cs="Arial"/>
          <w:sz w:val="26"/>
          <w:szCs w:val="26"/>
          <w:lang w:eastAsia="en-AU"/>
        </w:rPr>
        <w:t xml:space="preserve"> edition, 2017</w:t>
      </w:r>
    </w:p>
    <w:p w:rsidR="00144C54" w:rsidRDefault="00144C54">
      <w:pPr>
        <w:sectPr w:rsidR="00144C54">
          <w:pgSz w:w="11906" w:h="16838"/>
          <w:pgMar w:top="1440" w:right="1440" w:bottom="1440" w:left="1440" w:header="708" w:footer="708" w:gutter="0"/>
          <w:cols w:space="708"/>
          <w:docGrid w:linePitch="360"/>
        </w:sectPr>
      </w:pPr>
    </w:p>
    <w:tbl>
      <w:tblPr>
        <w:tblW w:w="16386" w:type="dxa"/>
        <w:tblInd w:w="-431" w:type="dxa"/>
        <w:tblLook w:val="04A0" w:firstRow="1" w:lastRow="0" w:firstColumn="1" w:lastColumn="0" w:noHBand="0" w:noVBand="1"/>
      </w:tblPr>
      <w:tblGrid>
        <w:gridCol w:w="436"/>
        <w:gridCol w:w="387"/>
        <w:gridCol w:w="1133"/>
        <w:gridCol w:w="299"/>
        <w:gridCol w:w="1221"/>
        <w:gridCol w:w="210"/>
        <w:gridCol w:w="1310"/>
        <w:gridCol w:w="121"/>
        <w:gridCol w:w="1399"/>
        <w:gridCol w:w="18"/>
        <w:gridCol w:w="1425"/>
        <w:gridCol w:w="77"/>
        <w:gridCol w:w="1354"/>
        <w:gridCol w:w="1435"/>
        <w:gridCol w:w="1268"/>
        <w:gridCol w:w="1433"/>
        <w:gridCol w:w="1431"/>
        <w:gridCol w:w="1429"/>
      </w:tblGrid>
      <w:tr w:rsidR="00B7323B" w:rsidRPr="00B7323B" w:rsidTr="00B7323B">
        <w:trPr>
          <w:trHeight w:val="1035"/>
        </w:trPr>
        <w:tc>
          <w:tcPr>
            <w:tcW w:w="823" w:type="dxa"/>
            <w:gridSpan w:val="2"/>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lastRenderedPageBreak/>
              <w:t>RBC Features</w:t>
            </w:r>
          </w:p>
        </w:tc>
        <w:tc>
          <w:tcPr>
            <w:tcW w:w="1432" w:type="dxa"/>
            <w:gridSpan w:val="2"/>
            <w:tcBorders>
              <w:top w:val="single" w:sz="8" w:space="0" w:color="auto"/>
              <w:left w:val="single" w:sz="8" w:space="0" w:color="auto"/>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17"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2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35" w:type="dxa"/>
            <w:tcBorders>
              <w:top w:val="single" w:sz="8" w:space="0" w:color="auto"/>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Irregularly contracted cells</w:t>
            </w:r>
          </w:p>
        </w:tc>
        <w:tc>
          <w:tcPr>
            <w:tcW w:w="1268" w:type="dxa"/>
            <w:tcBorders>
              <w:top w:val="single" w:sz="8" w:space="0" w:color="auto"/>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No significant morphological red blood cell abnormality</w:t>
            </w:r>
          </w:p>
        </w:tc>
        <w:tc>
          <w:tcPr>
            <w:tcW w:w="1433"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3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29"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r>
      <w:tr w:rsidR="00B7323B" w:rsidRPr="00B7323B" w:rsidTr="00B7323B">
        <w:trPr>
          <w:trHeight w:val="1035"/>
        </w:trPr>
        <w:tc>
          <w:tcPr>
            <w:tcW w:w="823"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Dimorphism / Dimorphic red blood cells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417"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Rouleaux</w:t>
            </w: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5"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Spherocytes</w:t>
            </w:r>
          </w:p>
        </w:tc>
        <w:tc>
          <w:tcPr>
            <w:tcW w:w="1268"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33"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Hypochromia</w:t>
            </w:r>
          </w:p>
        </w:tc>
        <w:tc>
          <w:tcPr>
            <w:tcW w:w="143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Spherocytes</w:t>
            </w:r>
          </w:p>
        </w:tc>
        <w:tc>
          <w:tcPr>
            <w:tcW w:w="1429"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r>
      <w:tr w:rsidR="00B7323B" w:rsidRPr="00B7323B" w:rsidTr="00B7323B">
        <w:trPr>
          <w:trHeight w:val="525"/>
        </w:trPr>
        <w:tc>
          <w:tcPr>
            <w:tcW w:w="823"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Spherocytes</w:t>
            </w: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Schistocytes</w:t>
            </w: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17"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25"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Rouleaux</w:t>
            </w:r>
          </w:p>
        </w:tc>
        <w:tc>
          <w:tcPr>
            <w:tcW w:w="1435"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268"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3"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1"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29"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r>
      <w:tr w:rsidR="00B7323B" w:rsidRPr="00B7323B" w:rsidTr="00B7323B">
        <w:trPr>
          <w:trHeight w:val="300"/>
        </w:trPr>
        <w:tc>
          <w:tcPr>
            <w:tcW w:w="823"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17"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3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268"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3"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29"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r>
      <w:tr w:rsidR="00B7323B" w:rsidRPr="00B7323B" w:rsidTr="00B7323B">
        <w:trPr>
          <w:trHeight w:val="780"/>
        </w:trPr>
        <w:tc>
          <w:tcPr>
            <w:tcW w:w="823" w:type="dxa"/>
            <w:gridSpan w:val="2"/>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WBC Features</w:t>
            </w:r>
          </w:p>
        </w:tc>
        <w:tc>
          <w:tcPr>
            <w:tcW w:w="1432" w:type="dxa"/>
            <w:gridSpan w:val="2"/>
            <w:tcBorders>
              <w:top w:val="single" w:sz="8" w:space="0" w:color="auto"/>
              <w:left w:val="single" w:sz="8" w:space="0" w:color="auto"/>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17"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2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5" w:type="dxa"/>
            <w:tcBorders>
              <w:top w:val="single" w:sz="8" w:space="0" w:color="auto"/>
              <w:left w:val="nil"/>
              <w:bottom w:val="nil"/>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color w:val="BF8F00"/>
                <w:sz w:val="18"/>
                <w:szCs w:val="20"/>
                <w:lang w:eastAsia="en-AU"/>
              </w:rPr>
            </w:pPr>
            <w:r w:rsidRPr="00B7323B">
              <w:rPr>
                <w:rFonts w:ascii="Calibri" w:eastAsia="Times New Roman" w:hAnsi="Calibri" w:cs="Calibri"/>
                <w:color w:val="BF8F00"/>
                <w:sz w:val="18"/>
                <w:szCs w:val="20"/>
                <w:lang w:eastAsia="en-AU"/>
              </w:rPr>
              <w:t>Dysplastic changes</w:t>
            </w:r>
          </w:p>
        </w:tc>
        <w:tc>
          <w:tcPr>
            <w:tcW w:w="1268"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3"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29"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r>
      <w:tr w:rsidR="00B7323B" w:rsidRPr="00B7323B" w:rsidTr="00B7323B">
        <w:trPr>
          <w:trHeight w:val="780"/>
        </w:trPr>
        <w:tc>
          <w:tcPr>
            <w:tcW w:w="823"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17"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25" w:type="dxa"/>
            <w:tcBorders>
              <w:top w:val="nil"/>
              <w:left w:val="nil"/>
              <w:bottom w:val="nil"/>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color w:val="BF8F00"/>
                <w:sz w:val="18"/>
                <w:szCs w:val="20"/>
                <w:lang w:eastAsia="en-AU"/>
              </w:rPr>
            </w:pPr>
            <w:r w:rsidRPr="00B7323B">
              <w:rPr>
                <w:rFonts w:ascii="Calibri" w:eastAsia="Times New Roman" w:hAnsi="Calibri" w:cs="Calibri"/>
                <w:color w:val="BF8F00"/>
                <w:sz w:val="18"/>
                <w:szCs w:val="20"/>
                <w:lang w:eastAsia="en-AU"/>
              </w:rPr>
              <w:t>Dysplastic changes</w:t>
            </w:r>
          </w:p>
        </w:tc>
        <w:tc>
          <w:tcPr>
            <w:tcW w:w="1431" w:type="dxa"/>
            <w:gridSpan w:val="2"/>
            <w:tcBorders>
              <w:top w:val="nil"/>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268"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3" w:type="dxa"/>
            <w:tcBorders>
              <w:top w:val="nil"/>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1" w:type="dxa"/>
            <w:tcBorders>
              <w:top w:val="nil"/>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29"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r>
      <w:tr w:rsidR="00B7323B" w:rsidRPr="00B7323B" w:rsidTr="00B7323B">
        <w:trPr>
          <w:trHeight w:val="780"/>
        </w:trPr>
        <w:tc>
          <w:tcPr>
            <w:tcW w:w="823"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gridSpan w:val="2"/>
            <w:tcBorders>
              <w:top w:val="nil"/>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17"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1" w:type="dxa"/>
            <w:gridSpan w:val="2"/>
            <w:tcBorders>
              <w:top w:val="nil"/>
              <w:left w:val="nil"/>
              <w:bottom w:val="nil"/>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color w:val="BF8F00"/>
                <w:sz w:val="18"/>
                <w:szCs w:val="20"/>
                <w:lang w:eastAsia="en-AU"/>
              </w:rPr>
            </w:pPr>
            <w:r w:rsidRPr="00B7323B">
              <w:rPr>
                <w:rFonts w:ascii="Calibri" w:eastAsia="Times New Roman" w:hAnsi="Calibri" w:cs="Calibri"/>
                <w:color w:val="BF8F00"/>
                <w:sz w:val="18"/>
                <w:szCs w:val="20"/>
                <w:lang w:eastAsia="en-AU"/>
              </w:rPr>
              <w:t>Dysplastic changes</w:t>
            </w:r>
          </w:p>
        </w:tc>
        <w:tc>
          <w:tcPr>
            <w:tcW w:w="143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268"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433"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29"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r>
      <w:tr w:rsidR="00B7323B" w:rsidRPr="00B7323B" w:rsidTr="00B7323B">
        <w:trPr>
          <w:trHeight w:val="795"/>
        </w:trPr>
        <w:tc>
          <w:tcPr>
            <w:tcW w:w="823"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17"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268"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3"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29"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r>
      <w:tr w:rsidR="00B7323B" w:rsidRPr="00B7323B" w:rsidTr="00B7323B">
        <w:trPr>
          <w:trHeight w:val="1515"/>
        </w:trPr>
        <w:tc>
          <w:tcPr>
            <w:tcW w:w="823" w:type="dxa"/>
            <w:gridSpan w:val="2"/>
            <w:tcBorders>
              <w:top w:val="nil"/>
              <w:left w:val="single" w:sz="4" w:space="0" w:color="auto"/>
              <w:bottom w:val="single" w:sz="4" w:space="0" w:color="auto"/>
              <w:right w:val="single" w:sz="4" w:space="0" w:color="auto"/>
            </w:tcBorders>
            <w:shd w:val="clear" w:color="000000" w:fill="D6DCE4"/>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Platelet Features</w:t>
            </w:r>
          </w:p>
        </w:tc>
        <w:tc>
          <w:tcPr>
            <w:tcW w:w="1432" w:type="dxa"/>
            <w:gridSpan w:val="2"/>
            <w:tcBorders>
              <w:top w:val="single" w:sz="8" w:space="0" w:color="auto"/>
              <w:left w:val="single" w:sz="8" w:space="0" w:color="auto"/>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1"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17"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25"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1"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5"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268"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3"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Platelet clumps</w:t>
            </w:r>
          </w:p>
        </w:tc>
        <w:tc>
          <w:tcPr>
            <w:tcW w:w="1429"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r>
      <w:tr w:rsidR="00B7323B" w:rsidRPr="00B7323B" w:rsidTr="00B7323B">
        <w:trPr>
          <w:trHeight w:val="1290"/>
        </w:trPr>
        <w:tc>
          <w:tcPr>
            <w:tcW w:w="823" w:type="dxa"/>
            <w:gridSpan w:val="2"/>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xml:space="preserve">Primary Diagnosis </w:t>
            </w:r>
          </w:p>
        </w:tc>
        <w:tc>
          <w:tcPr>
            <w:tcW w:w="1432" w:type="dxa"/>
            <w:gridSpan w:val="2"/>
            <w:tcBorders>
              <w:top w:val="single" w:sz="8" w:space="0" w:color="auto"/>
              <w:left w:val="single" w:sz="8" w:space="0" w:color="auto"/>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17" w:type="dxa"/>
            <w:gridSpan w:val="2"/>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Acute monoblastic / monocytic leukaemia</w:t>
            </w:r>
          </w:p>
        </w:tc>
        <w:tc>
          <w:tcPr>
            <w:tcW w:w="1425" w:type="dxa"/>
            <w:tcBorders>
              <w:top w:val="single" w:sz="8" w:space="0" w:color="auto"/>
              <w:left w:val="nil"/>
              <w:bottom w:val="nil"/>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sz w:val="18"/>
                <w:szCs w:val="20"/>
                <w:lang w:eastAsia="en-AU"/>
              </w:rPr>
            </w:pPr>
            <w:r w:rsidRPr="00B7323B">
              <w:rPr>
                <w:rFonts w:ascii="Calibri" w:eastAsia="Times New Roman" w:hAnsi="Calibri" w:cs="Calibri"/>
                <w:sz w:val="18"/>
                <w:szCs w:val="20"/>
                <w:lang w:eastAsia="en-AU"/>
              </w:rPr>
              <w:t>Acute leukaemia</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268" w:type="dxa"/>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Acute monoblastic / monocytic leukaemia</w:t>
            </w:r>
          </w:p>
        </w:tc>
        <w:tc>
          <w:tcPr>
            <w:tcW w:w="1433"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29" w:type="dxa"/>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Acute monoblastic / monocytic leukaemia</w:t>
            </w:r>
          </w:p>
        </w:tc>
      </w:tr>
      <w:tr w:rsidR="00B7323B" w:rsidRPr="00B7323B" w:rsidTr="00B7323B">
        <w:trPr>
          <w:trHeight w:val="238"/>
        </w:trPr>
        <w:tc>
          <w:tcPr>
            <w:tcW w:w="823"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2" w:type="dxa"/>
            <w:gridSpan w:val="2"/>
            <w:tcBorders>
              <w:top w:val="nil"/>
              <w:left w:val="single" w:sz="8" w:space="0" w:color="auto"/>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17"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268"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3"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9"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r>
      <w:tr w:rsidR="00B7323B" w:rsidRPr="00533EA0" w:rsidTr="00B7323B">
        <w:trPr>
          <w:gridBefore w:val="1"/>
          <w:gridAfter w:val="6"/>
          <w:wBefore w:w="436" w:type="dxa"/>
          <w:wAfter w:w="8350" w:type="dxa"/>
          <w:trHeight w:val="780"/>
        </w:trPr>
        <w:tc>
          <w:tcPr>
            <w:tcW w:w="1520"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B7323B" w:rsidRPr="00533EA0" w:rsidRDefault="00B7323B" w:rsidP="0071708F">
            <w:pPr>
              <w:spacing w:after="0" w:line="240" w:lineRule="auto"/>
              <w:jc w:val="center"/>
              <w:rPr>
                <w:rFonts w:ascii="Calibri" w:eastAsia="Times New Roman" w:hAnsi="Calibri" w:cs="Calibri"/>
                <w:color w:val="006100"/>
                <w:sz w:val="20"/>
                <w:szCs w:val="20"/>
                <w:lang w:eastAsia="en-AU"/>
              </w:rPr>
            </w:pPr>
            <w:bookmarkStart w:id="0" w:name="_Hlk78973016"/>
            <w:r w:rsidRPr="00533EA0">
              <w:rPr>
                <w:rFonts w:ascii="Calibri" w:eastAsia="Times New Roman" w:hAnsi="Calibri" w:cs="Calibri"/>
                <w:color w:val="006100"/>
                <w:sz w:val="20"/>
                <w:szCs w:val="20"/>
                <w:lang w:eastAsia="en-AU"/>
              </w:rPr>
              <w:t>High scoring response</w:t>
            </w:r>
          </w:p>
        </w:tc>
        <w:tc>
          <w:tcPr>
            <w:tcW w:w="1520"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B7323B" w:rsidRPr="00533EA0" w:rsidRDefault="00B7323B" w:rsidP="0071708F">
            <w:pPr>
              <w:spacing w:after="0" w:line="240" w:lineRule="auto"/>
              <w:jc w:val="center"/>
              <w:rPr>
                <w:rFonts w:ascii="Calibri" w:eastAsia="Times New Roman" w:hAnsi="Calibri" w:cs="Calibri"/>
                <w:color w:val="9C5700"/>
                <w:sz w:val="20"/>
                <w:szCs w:val="20"/>
                <w:lang w:eastAsia="en-AU"/>
              </w:rPr>
            </w:pPr>
            <w:r w:rsidRPr="00533EA0">
              <w:rPr>
                <w:rFonts w:ascii="Calibri" w:eastAsia="Times New Roman" w:hAnsi="Calibri" w:cs="Calibri"/>
                <w:color w:val="9C5700"/>
                <w:sz w:val="20"/>
                <w:szCs w:val="20"/>
                <w:lang w:eastAsia="en-AU"/>
              </w:rPr>
              <w:t>Moderate scoring response</w:t>
            </w:r>
          </w:p>
        </w:tc>
        <w:tc>
          <w:tcPr>
            <w:tcW w:w="1520" w:type="dxa"/>
            <w:gridSpan w:val="2"/>
            <w:tcBorders>
              <w:top w:val="single" w:sz="8" w:space="0" w:color="auto"/>
              <w:left w:val="nil"/>
              <w:bottom w:val="single" w:sz="8" w:space="0" w:color="auto"/>
              <w:right w:val="single" w:sz="8" w:space="0" w:color="auto"/>
            </w:tcBorders>
            <w:shd w:val="clear" w:color="000000" w:fill="FFF2CC"/>
            <w:vAlign w:val="center"/>
            <w:hideMark/>
          </w:tcPr>
          <w:p w:rsidR="00B7323B" w:rsidRPr="00533EA0" w:rsidRDefault="00B7323B" w:rsidP="0071708F">
            <w:pPr>
              <w:spacing w:after="0" w:line="240" w:lineRule="auto"/>
              <w:jc w:val="center"/>
              <w:rPr>
                <w:rFonts w:ascii="Calibri" w:eastAsia="Times New Roman" w:hAnsi="Calibri" w:cs="Calibri"/>
                <w:color w:val="BF8F00"/>
                <w:sz w:val="20"/>
                <w:szCs w:val="20"/>
                <w:lang w:eastAsia="en-AU"/>
              </w:rPr>
            </w:pPr>
            <w:r w:rsidRPr="00533EA0">
              <w:rPr>
                <w:rFonts w:ascii="Calibri" w:eastAsia="Times New Roman" w:hAnsi="Calibri" w:cs="Calibri"/>
                <w:color w:val="BF8F00"/>
                <w:sz w:val="20"/>
                <w:szCs w:val="20"/>
                <w:lang w:eastAsia="en-AU"/>
              </w:rPr>
              <w:t xml:space="preserve">Low scoring response </w:t>
            </w:r>
          </w:p>
        </w:tc>
        <w:tc>
          <w:tcPr>
            <w:tcW w:w="1520"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B7323B" w:rsidRPr="00533EA0" w:rsidRDefault="00B7323B" w:rsidP="0071708F">
            <w:pPr>
              <w:spacing w:after="0" w:line="240" w:lineRule="auto"/>
              <w:jc w:val="center"/>
              <w:rPr>
                <w:rFonts w:ascii="Calibri" w:eastAsia="Times New Roman" w:hAnsi="Calibri" w:cs="Calibri"/>
                <w:sz w:val="20"/>
                <w:szCs w:val="20"/>
                <w:lang w:eastAsia="en-AU"/>
              </w:rPr>
            </w:pPr>
            <w:r w:rsidRPr="00533EA0">
              <w:rPr>
                <w:rFonts w:ascii="Calibri" w:eastAsia="Times New Roman" w:hAnsi="Calibri" w:cs="Calibri"/>
                <w:sz w:val="20"/>
                <w:szCs w:val="20"/>
                <w:lang w:eastAsia="en-AU"/>
              </w:rPr>
              <w:t xml:space="preserve">Lowest scoring response </w:t>
            </w:r>
          </w:p>
        </w:tc>
        <w:tc>
          <w:tcPr>
            <w:tcW w:w="1520" w:type="dxa"/>
            <w:gridSpan w:val="3"/>
            <w:tcBorders>
              <w:top w:val="single" w:sz="8" w:space="0" w:color="auto"/>
              <w:left w:val="nil"/>
              <w:bottom w:val="single" w:sz="8" w:space="0" w:color="auto"/>
              <w:right w:val="single" w:sz="8" w:space="0" w:color="auto"/>
            </w:tcBorders>
            <w:shd w:val="clear" w:color="auto" w:fill="auto"/>
            <w:vAlign w:val="center"/>
            <w:hideMark/>
          </w:tcPr>
          <w:p w:rsidR="00B7323B" w:rsidRPr="00533EA0" w:rsidRDefault="00B7323B" w:rsidP="0071708F">
            <w:pPr>
              <w:spacing w:after="0" w:line="240" w:lineRule="auto"/>
              <w:jc w:val="center"/>
              <w:rPr>
                <w:rFonts w:ascii="Calibri" w:eastAsia="Times New Roman" w:hAnsi="Calibri" w:cs="Calibri"/>
                <w:color w:val="000000"/>
                <w:sz w:val="20"/>
                <w:szCs w:val="20"/>
                <w:lang w:eastAsia="en-AU"/>
              </w:rPr>
            </w:pPr>
            <w:r w:rsidRPr="00533EA0">
              <w:rPr>
                <w:rFonts w:ascii="Calibri" w:eastAsia="Times New Roman" w:hAnsi="Calibri" w:cs="Calibri"/>
                <w:color w:val="000000"/>
                <w:sz w:val="20"/>
                <w:szCs w:val="20"/>
                <w:lang w:eastAsia="en-AU"/>
              </w:rPr>
              <w:t xml:space="preserve">Response given no score </w:t>
            </w:r>
          </w:p>
        </w:tc>
      </w:tr>
      <w:bookmarkEnd w:id="0"/>
    </w:tbl>
    <w:p w:rsidR="00D74FEB" w:rsidRDefault="00D74FEB"/>
    <w:tbl>
      <w:tblPr>
        <w:tblW w:w="15877" w:type="dxa"/>
        <w:tblInd w:w="-431" w:type="dxa"/>
        <w:tblLook w:val="04A0" w:firstRow="1" w:lastRow="0" w:firstColumn="1" w:lastColumn="0" w:noHBand="0" w:noVBand="1"/>
      </w:tblPr>
      <w:tblGrid>
        <w:gridCol w:w="436"/>
        <w:gridCol w:w="151"/>
        <w:gridCol w:w="1369"/>
        <w:gridCol w:w="62"/>
        <w:gridCol w:w="1431"/>
        <w:gridCol w:w="27"/>
        <w:gridCol w:w="1407"/>
        <w:gridCol w:w="113"/>
        <w:gridCol w:w="1318"/>
        <w:gridCol w:w="202"/>
        <w:gridCol w:w="1231"/>
        <w:gridCol w:w="289"/>
        <w:gridCol w:w="1142"/>
        <w:gridCol w:w="1425"/>
        <w:gridCol w:w="1425"/>
        <w:gridCol w:w="1581"/>
        <w:gridCol w:w="2268"/>
      </w:tblGrid>
      <w:tr w:rsidR="00C75793" w:rsidRPr="00B7323B" w:rsidTr="00C75793">
        <w:trPr>
          <w:trHeight w:val="1035"/>
        </w:trPr>
        <w:tc>
          <w:tcPr>
            <w:tcW w:w="587" w:type="dxa"/>
            <w:gridSpan w:val="2"/>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lastRenderedPageBreak/>
              <w:t>RBC Features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1" w:type="dxa"/>
            <w:tcBorders>
              <w:top w:val="single" w:sz="8" w:space="0" w:color="auto"/>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Schistocytes</w:t>
            </w:r>
          </w:p>
        </w:tc>
        <w:tc>
          <w:tcPr>
            <w:tcW w:w="1434" w:type="dxa"/>
            <w:gridSpan w:val="2"/>
            <w:tcBorders>
              <w:top w:val="single" w:sz="8" w:space="0" w:color="auto"/>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3"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2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42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Nucleated red blood cells</w:t>
            </w:r>
          </w:p>
        </w:tc>
        <w:tc>
          <w:tcPr>
            <w:tcW w:w="158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2268" w:type="dxa"/>
            <w:tcBorders>
              <w:top w:val="single" w:sz="8" w:space="0" w:color="auto"/>
              <w:left w:val="nil"/>
              <w:bottom w:val="nil"/>
              <w:right w:val="single" w:sz="8" w:space="0" w:color="auto"/>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Rouleaux</w:t>
            </w:r>
          </w:p>
        </w:tc>
      </w:tr>
      <w:tr w:rsidR="00C75793" w:rsidRPr="00B7323B" w:rsidTr="00C75793">
        <w:trPr>
          <w:trHeight w:val="1035"/>
        </w:trPr>
        <w:tc>
          <w:tcPr>
            <w:tcW w:w="587"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3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No significant morphological red blood cell abnormality</w:t>
            </w:r>
          </w:p>
        </w:tc>
        <w:tc>
          <w:tcPr>
            <w:tcW w:w="1434"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Rouleaux</w:t>
            </w:r>
          </w:p>
        </w:tc>
        <w:tc>
          <w:tcPr>
            <w:tcW w:w="1433"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c>
          <w:tcPr>
            <w:tcW w:w="1425"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58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2268" w:type="dxa"/>
            <w:tcBorders>
              <w:top w:val="nil"/>
              <w:left w:val="nil"/>
              <w:bottom w:val="nil"/>
              <w:right w:val="single" w:sz="8" w:space="0" w:color="auto"/>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Microcytes</w:t>
            </w:r>
          </w:p>
        </w:tc>
      </w:tr>
      <w:tr w:rsidR="00C75793" w:rsidRPr="00B7323B" w:rsidTr="00C75793">
        <w:trPr>
          <w:trHeight w:val="525"/>
        </w:trPr>
        <w:tc>
          <w:tcPr>
            <w:tcW w:w="587"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3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4"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1433"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Rouleaux</w:t>
            </w: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c>
          <w:tcPr>
            <w:tcW w:w="1425"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58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Times New Roman" w:eastAsia="Times New Roman" w:hAnsi="Times New Roman" w:cs="Times New Roman"/>
                <w:sz w:val="18"/>
                <w:szCs w:val="20"/>
                <w:lang w:eastAsia="en-AU"/>
              </w:rPr>
            </w:pPr>
          </w:p>
        </w:tc>
        <w:tc>
          <w:tcPr>
            <w:tcW w:w="2268" w:type="dxa"/>
            <w:tcBorders>
              <w:top w:val="nil"/>
              <w:left w:val="nil"/>
              <w:bottom w:val="nil"/>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Polychromasia increased</w:t>
            </w:r>
          </w:p>
        </w:tc>
      </w:tr>
      <w:tr w:rsidR="00C75793" w:rsidRPr="00B7323B" w:rsidTr="00C75793">
        <w:trPr>
          <w:trHeight w:val="300"/>
        </w:trPr>
        <w:tc>
          <w:tcPr>
            <w:tcW w:w="587" w:type="dxa"/>
            <w:gridSpan w:val="2"/>
            <w:vMerge/>
            <w:tcBorders>
              <w:top w:val="single" w:sz="4" w:space="0" w:color="auto"/>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4"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3"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Spherocytes</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58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2268" w:type="dxa"/>
            <w:tcBorders>
              <w:top w:val="nil"/>
              <w:left w:val="nil"/>
              <w:bottom w:val="single" w:sz="8" w:space="0" w:color="auto"/>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Tear drop cells</w:t>
            </w:r>
          </w:p>
        </w:tc>
      </w:tr>
      <w:tr w:rsidR="00C75793" w:rsidRPr="00B7323B" w:rsidTr="00C75793">
        <w:trPr>
          <w:trHeight w:val="780"/>
        </w:trPr>
        <w:tc>
          <w:tcPr>
            <w:tcW w:w="587" w:type="dxa"/>
            <w:gridSpan w:val="2"/>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WBC Features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4" w:type="dxa"/>
            <w:gridSpan w:val="2"/>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3" w:type="dxa"/>
            <w:gridSpan w:val="2"/>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25" w:type="dxa"/>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25"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58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2268" w:type="dxa"/>
            <w:tcBorders>
              <w:top w:val="single" w:sz="8" w:space="0" w:color="auto"/>
              <w:left w:val="nil"/>
              <w:bottom w:val="nil"/>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r>
      <w:tr w:rsidR="00C75793" w:rsidRPr="00B7323B" w:rsidTr="00C75793">
        <w:trPr>
          <w:trHeight w:val="780"/>
        </w:trPr>
        <w:tc>
          <w:tcPr>
            <w:tcW w:w="587"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1"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4"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3"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581"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2268" w:type="dxa"/>
            <w:tcBorders>
              <w:top w:val="nil"/>
              <w:left w:val="nil"/>
              <w:bottom w:val="nil"/>
              <w:right w:val="single" w:sz="8" w:space="0" w:color="auto"/>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r>
      <w:tr w:rsidR="00C75793" w:rsidRPr="00B7323B" w:rsidTr="00C75793">
        <w:trPr>
          <w:trHeight w:val="780"/>
        </w:trPr>
        <w:tc>
          <w:tcPr>
            <w:tcW w:w="587"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c>
          <w:tcPr>
            <w:tcW w:w="1434"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3"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31" w:type="dxa"/>
            <w:gridSpan w:val="2"/>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425" w:type="dxa"/>
            <w:tcBorders>
              <w:top w:val="nil"/>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Promyelocytes / metamyelocytes / myelocytes</w:t>
            </w:r>
          </w:p>
        </w:tc>
        <w:tc>
          <w:tcPr>
            <w:tcW w:w="1581" w:type="dxa"/>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Band form neutrophils</w:t>
            </w:r>
          </w:p>
        </w:tc>
        <w:tc>
          <w:tcPr>
            <w:tcW w:w="2268" w:type="dxa"/>
            <w:tcBorders>
              <w:top w:val="nil"/>
              <w:left w:val="nil"/>
              <w:bottom w:val="nil"/>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Blast cells</w:t>
            </w:r>
          </w:p>
        </w:tc>
      </w:tr>
      <w:tr w:rsidR="00C75793" w:rsidRPr="00B7323B" w:rsidTr="00C75793">
        <w:trPr>
          <w:trHeight w:val="795"/>
        </w:trPr>
        <w:tc>
          <w:tcPr>
            <w:tcW w:w="587"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Eosinophilia</w:t>
            </w:r>
          </w:p>
        </w:tc>
        <w:tc>
          <w:tcPr>
            <w:tcW w:w="143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4"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33" w:type="dxa"/>
            <w:gridSpan w:val="2"/>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31" w:type="dxa"/>
            <w:gridSpan w:val="2"/>
            <w:tcBorders>
              <w:top w:val="nil"/>
              <w:left w:val="nil"/>
              <w:bottom w:val="single" w:sz="8" w:space="0" w:color="auto"/>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Auer rods</w:t>
            </w:r>
          </w:p>
        </w:tc>
        <w:tc>
          <w:tcPr>
            <w:tcW w:w="1425" w:type="dxa"/>
            <w:tcBorders>
              <w:top w:val="nil"/>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58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xml:space="preserve">Neutrophils - </w:t>
            </w:r>
            <w:proofErr w:type="spellStart"/>
            <w:r w:rsidRPr="00B7323B">
              <w:rPr>
                <w:rFonts w:ascii="Calibri" w:eastAsia="Times New Roman" w:hAnsi="Calibri" w:cs="Calibri"/>
                <w:color w:val="000000"/>
                <w:sz w:val="18"/>
                <w:szCs w:val="20"/>
                <w:lang w:eastAsia="en-AU"/>
              </w:rPr>
              <w:t>hypergranulation</w:t>
            </w:r>
            <w:proofErr w:type="spellEnd"/>
          </w:p>
        </w:tc>
        <w:tc>
          <w:tcPr>
            <w:tcW w:w="2268" w:type="dxa"/>
            <w:tcBorders>
              <w:top w:val="nil"/>
              <w:left w:val="nil"/>
              <w:bottom w:val="single" w:sz="8" w:space="0" w:color="auto"/>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proofErr w:type="spellStart"/>
            <w:r w:rsidRPr="00B7323B">
              <w:rPr>
                <w:rFonts w:ascii="Calibri" w:eastAsia="Times New Roman" w:hAnsi="Calibri" w:cs="Calibri"/>
                <w:color w:val="006100"/>
                <w:sz w:val="18"/>
                <w:szCs w:val="20"/>
                <w:lang w:eastAsia="en-AU"/>
              </w:rPr>
              <w:t>Monocytosis</w:t>
            </w:r>
            <w:proofErr w:type="spellEnd"/>
          </w:p>
        </w:tc>
      </w:tr>
      <w:tr w:rsidR="00C75793" w:rsidRPr="00B7323B" w:rsidTr="00C75793">
        <w:trPr>
          <w:trHeight w:val="1515"/>
        </w:trPr>
        <w:tc>
          <w:tcPr>
            <w:tcW w:w="587" w:type="dxa"/>
            <w:gridSpan w:val="2"/>
            <w:tcBorders>
              <w:top w:val="nil"/>
              <w:left w:val="single" w:sz="4" w:space="0" w:color="auto"/>
              <w:bottom w:val="single" w:sz="4" w:space="0" w:color="auto"/>
              <w:right w:val="single" w:sz="4" w:space="0" w:color="auto"/>
            </w:tcBorders>
            <w:shd w:val="clear" w:color="000000" w:fill="D6DCE4"/>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Platelet Features</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4"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3"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31" w:type="dxa"/>
            <w:gridSpan w:val="2"/>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Giant platelets / significant numbers of large platelets. *ICSH definition</w:t>
            </w:r>
          </w:p>
        </w:tc>
        <w:tc>
          <w:tcPr>
            <w:tcW w:w="1425"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1581" w:type="dxa"/>
            <w:tcBorders>
              <w:top w:val="single" w:sz="8" w:space="0" w:color="auto"/>
              <w:left w:val="nil"/>
              <w:bottom w:val="single" w:sz="8" w:space="0" w:color="auto"/>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c>
          <w:tcPr>
            <w:tcW w:w="2268" w:type="dxa"/>
            <w:tcBorders>
              <w:top w:val="single" w:sz="8" w:space="0" w:color="auto"/>
              <w:left w:val="nil"/>
              <w:bottom w:val="single" w:sz="8" w:space="0" w:color="auto"/>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No significant morphological platelet abnormality</w:t>
            </w:r>
          </w:p>
        </w:tc>
      </w:tr>
      <w:tr w:rsidR="00C75793" w:rsidRPr="00B7323B" w:rsidTr="00C75793">
        <w:trPr>
          <w:trHeight w:val="678"/>
        </w:trPr>
        <w:tc>
          <w:tcPr>
            <w:tcW w:w="587" w:type="dxa"/>
            <w:gridSpan w:val="2"/>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xml:space="preserve">Primary Diagnosis </w:t>
            </w:r>
          </w:p>
        </w:tc>
        <w:tc>
          <w:tcPr>
            <w:tcW w:w="1431"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4" w:type="dxa"/>
            <w:gridSpan w:val="2"/>
            <w:tcBorders>
              <w:top w:val="nil"/>
              <w:left w:val="nil"/>
              <w:bottom w:val="nil"/>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3"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31" w:type="dxa"/>
            <w:gridSpan w:val="2"/>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1425" w:type="dxa"/>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Acute monoblastic / monocytic leukaemia</w:t>
            </w:r>
          </w:p>
        </w:tc>
        <w:tc>
          <w:tcPr>
            <w:tcW w:w="1425" w:type="dxa"/>
            <w:tcBorders>
              <w:top w:val="single" w:sz="8" w:space="0" w:color="auto"/>
              <w:left w:val="nil"/>
              <w:bottom w:val="nil"/>
              <w:right w:val="nil"/>
            </w:tcBorders>
            <w:shd w:val="clear" w:color="000000" w:fill="FFEB9C"/>
            <w:vAlign w:val="bottom"/>
            <w:hideMark/>
          </w:tcPr>
          <w:p w:rsidR="00B7323B" w:rsidRPr="00B7323B" w:rsidRDefault="00B7323B" w:rsidP="00B7323B">
            <w:pPr>
              <w:spacing w:after="0" w:line="240" w:lineRule="auto"/>
              <w:jc w:val="center"/>
              <w:rPr>
                <w:rFonts w:ascii="Calibri" w:eastAsia="Times New Roman" w:hAnsi="Calibri" w:cs="Calibri"/>
                <w:color w:val="9C5700"/>
                <w:sz w:val="18"/>
                <w:szCs w:val="20"/>
                <w:lang w:eastAsia="en-AU"/>
              </w:rPr>
            </w:pPr>
            <w:r w:rsidRPr="00B7323B">
              <w:rPr>
                <w:rFonts w:ascii="Calibri" w:eastAsia="Times New Roman" w:hAnsi="Calibri" w:cs="Calibri"/>
                <w:color w:val="9C5700"/>
                <w:sz w:val="18"/>
                <w:szCs w:val="20"/>
                <w:lang w:eastAsia="en-AU"/>
              </w:rPr>
              <w:t>Acute monoblastic / monocytic leukaemia</w:t>
            </w:r>
          </w:p>
        </w:tc>
        <w:tc>
          <w:tcPr>
            <w:tcW w:w="1581" w:type="dxa"/>
            <w:tcBorders>
              <w:top w:val="single" w:sz="8" w:space="0" w:color="auto"/>
              <w:left w:val="nil"/>
              <w:bottom w:val="nil"/>
              <w:right w:val="nil"/>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c>
          <w:tcPr>
            <w:tcW w:w="2268" w:type="dxa"/>
            <w:tcBorders>
              <w:top w:val="single" w:sz="8" w:space="0" w:color="auto"/>
              <w:left w:val="nil"/>
              <w:bottom w:val="nil"/>
              <w:right w:val="single" w:sz="8" w:space="0" w:color="auto"/>
            </w:tcBorders>
            <w:shd w:val="clear" w:color="000000" w:fill="C6EFCE"/>
            <w:vAlign w:val="bottom"/>
            <w:hideMark/>
          </w:tcPr>
          <w:p w:rsidR="00B7323B" w:rsidRPr="00B7323B" w:rsidRDefault="00B7323B" w:rsidP="00B7323B">
            <w:pPr>
              <w:spacing w:after="0" w:line="240" w:lineRule="auto"/>
              <w:jc w:val="center"/>
              <w:rPr>
                <w:rFonts w:ascii="Calibri" w:eastAsia="Times New Roman" w:hAnsi="Calibri" w:cs="Calibri"/>
                <w:color w:val="006100"/>
                <w:sz w:val="18"/>
                <w:szCs w:val="20"/>
                <w:lang w:eastAsia="en-AU"/>
              </w:rPr>
            </w:pPr>
            <w:r w:rsidRPr="00B7323B">
              <w:rPr>
                <w:rFonts w:ascii="Calibri" w:eastAsia="Times New Roman" w:hAnsi="Calibri" w:cs="Calibri"/>
                <w:color w:val="006100"/>
                <w:sz w:val="18"/>
                <w:szCs w:val="20"/>
                <w:lang w:eastAsia="en-AU"/>
              </w:rPr>
              <w:t>Acute myelomonocytic leukaemia</w:t>
            </w:r>
          </w:p>
        </w:tc>
      </w:tr>
      <w:tr w:rsidR="00C75793" w:rsidRPr="00B7323B" w:rsidTr="00C75793">
        <w:trPr>
          <w:trHeight w:val="643"/>
        </w:trPr>
        <w:tc>
          <w:tcPr>
            <w:tcW w:w="587" w:type="dxa"/>
            <w:gridSpan w:val="2"/>
            <w:vMerge/>
            <w:tcBorders>
              <w:top w:val="nil"/>
              <w:left w:val="single" w:sz="4" w:space="0" w:color="auto"/>
              <w:bottom w:val="single" w:sz="4" w:space="0" w:color="auto"/>
              <w:right w:val="single" w:sz="4" w:space="0" w:color="auto"/>
            </w:tcBorders>
            <w:vAlign w:val="center"/>
            <w:hideMark/>
          </w:tcPr>
          <w:p w:rsidR="00B7323B" w:rsidRPr="00B7323B" w:rsidRDefault="00B7323B" w:rsidP="00B7323B">
            <w:pPr>
              <w:spacing w:after="0" w:line="240" w:lineRule="auto"/>
              <w:rPr>
                <w:rFonts w:ascii="Calibri" w:eastAsia="Times New Roman" w:hAnsi="Calibri" w:cs="Calibri"/>
                <w:color w:val="000000"/>
                <w:sz w:val="18"/>
                <w:szCs w:val="20"/>
                <w:lang w:eastAsia="en-AU"/>
              </w:rPr>
            </w:pPr>
          </w:p>
        </w:tc>
        <w:tc>
          <w:tcPr>
            <w:tcW w:w="1431" w:type="dxa"/>
            <w:gridSpan w:val="2"/>
            <w:tcBorders>
              <w:top w:val="nil"/>
              <w:left w:val="nil"/>
              <w:bottom w:val="single" w:sz="8" w:space="0" w:color="auto"/>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color w:val="BF8F00"/>
                <w:sz w:val="18"/>
                <w:szCs w:val="20"/>
                <w:lang w:eastAsia="en-AU"/>
              </w:rPr>
            </w:pPr>
            <w:r w:rsidRPr="00B7323B">
              <w:rPr>
                <w:rFonts w:ascii="Calibri" w:eastAsia="Times New Roman" w:hAnsi="Calibri" w:cs="Calibri"/>
                <w:color w:val="BF8F00"/>
                <w:sz w:val="18"/>
                <w:szCs w:val="20"/>
                <w:lang w:eastAsia="en-AU"/>
              </w:rPr>
              <w:t>Chronic myelomonocytic leukaemia</w:t>
            </w:r>
          </w:p>
        </w:tc>
        <w:tc>
          <w:tcPr>
            <w:tcW w:w="143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4" w:type="dxa"/>
            <w:gridSpan w:val="2"/>
            <w:tcBorders>
              <w:top w:val="nil"/>
              <w:left w:val="nil"/>
              <w:bottom w:val="single" w:sz="8" w:space="0" w:color="auto"/>
              <w:right w:val="nil"/>
            </w:tcBorders>
            <w:shd w:val="clear" w:color="000000" w:fill="FFF2CC"/>
            <w:vAlign w:val="bottom"/>
            <w:hideMark/>
          </w:tcPr>
          <w:p w:rsidR="00B7323B" w:rsidRPr="00B7323B" w:rsidRDefault="00B7323B" w:rsidP="00B7323B">
            <w:pPr>
              <w:spacing w:after="0" w:line="240" w:lineRule="auto"/>
              <w:jc w:val="center"/>
              <w:rPr>
                <w:rFonts w:ascii="Calibri" w:eastAsia="Times New Roman" w:hAnsi="Calibri" w:cs="Calibri"/>
                <w:color w:val="BF8F00"/>
                <w:sz w:val="18"/>
                <w:szCs w:val="20"/>
                <w:lang w:eastAsia="en-AU"/>
              </w:rPr>
            </w:pPr>
            <w:r w:rsidRPr="00B7323B">
              <w:rPr>
                <w:rFonts w:ascii="Calibri" w:eastAsia="Times New Roman" w:hAnsi="Calibri" w:cs="Calibri"/>
                <w:color w:val="BF8F00"/>
                <w:sz w:val="18"/>
                <w:szCs w:val="20"/>
                <w:lang w:eastAsia="en-AU"/>
              </w:rPr>
              <w:t>Chronic myelomonocytic leukaemia</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3"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31" w:type="dxa"/>
            <w:gridSpan w:val="2"/>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425"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1581" w:type="dxa"/>
            <w:tcBorders>
              <w:top w:val="nil"/>
              <w:left w:val="nil"/>
              <w:bottom w:val="single" w:sz="8" w:space="0" w:color="auto"/>
              <w:right w:val="nil"/>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c>
          <w:tcPr>
            <w:tcW w:w="2268" w:type="dxa"/>
            <w:tcBorders>
              <w:top w:val="nil"/>
              <w:left w:val="nil"/>
              <w:bottom w:val="single" w:sz="8" w:space="0" w:color="auto"/>
              <w:right w:val="single" w:sz="8" w:space="0" w:color="auto"/>
            </w:tcBorders>
            <w:shd w:val="clear" w:color="auto" w:fill="auto"/>
            <w:vAlign w:val="bottom"/>
            <w:hideMark/>
          </w:tcPr>
          <w:p w:rsidR="00B7323B" w:rsidRPr="00B7323B" w:rsidRDefault="00B7323B" w:rsidP="00B7323B">
            <w:pPr>
              <w:spacing w:after="0" w:line="240" w:lineRule="auto"/>
              <w:jc w:val="center"/>
              <w:rPr>
                <w:rFonts w:ascii="Calibri" w:eastAsia="Times New Roman" w:hAnsi="Calibri" w:cs="Calibri"/>
                <w:color w:val="000000"/>
                <w:sz w:val="18"/>
                <w:szCs w:val="20"/>
                <w:lang w:eastAsia="en-AU"/>
              </w:rPr>
            </w:pPr>
            <w:r w:rsidRPr="00B7323B">
              <w:rPr>
                <w:rFonts w:ascii="Calibri" w:eastAsia="Times New Roman" w:hAnsi="Calibri" w:cs="Calibri"/>
                <w:color w:val="000000"/>
                <w:sz w:val="18"/>
                <w:szCs w:val="20"/>
                <w:lang w:eastAsia="en-AU"/>
              </w:rPr>
              <w:t> </w:t>
            </w:r>
          </w:p>
        </w:tc>
      </w:tr>
      <w:tr w:rsidR="00B42047" w:rsidRPr="00533EA0" w:rsidTr="00C75793">
        <w:trPr>
          <w:gridBefore w:val="1"/>
          <w:gridAfter w:val="5"/>
          <w:wBefore w:w="436" w:type="dxa"/>
          <w:wAfter w:w="7841" w:type="dxa"/>
          <w:trHeight w:val="780"/>
        </w:trPr>
        <w:tc>
          <w:tcPr>
            <w:tcW w:w="1520"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B42047" w:rsidRPr="00533EA0" w:rsidRDefault="00B42047" w:rsidP="001B3497">
            <w:pPr>
              <w:spacing w:after="0" w:line="240" w:lineRule="auto"/>
              <w:jc w:val="center"/>
              <w:rPr>
                <w:rFonts w:ascii="Calibri" w:eastAsia="Times New Roman" w:hAnsi="Calibri" w:cs="Calibri"/>
                <w:color w:val="006100"/>
                <w:sz w:val="20"/>
                <w:szCs w:val="20"/>
                <w:lang w:eastAsia="en-AU"/>
              </w:rPr>
            </w:pPr>
            <w:r w:rsidRPr="00533EA0">
              <w:rPr>
                <w:rFonts w:ascii="Calibri" w:eastAsia="Times New Roman" w:hAnsi="Calibri" w:cs="Calibri"/>
                <w:color w:val="006100"/>
                <w:sz w:val="20"/>
                <w:szCs w:val="20"/>
                <w:lang w:eastAsia="en-AU"/>
              </w:rPr>
              <w:t>High scoring response</w:t>
            </w:r>
          </w:p>
        </w:tc>
        <w:tc>
          <w:tcPr>
            <w:tcW w:w="1520" w:type="dxa"/>
            <w:gridSpan w:val="3"/>
            <w:tcBorders>
              <w:top w:val="single" w:sz="8" w:space="0" w:color="auto"/>
              <w:left w:val="single" w:sz="8" w:space="0" w:color="auto"/>
              <w:bottom w:val="single" w:sz="8" w:space="0" w:color="auto"/>
              <w:right w:val="single" w:sz="8" w:space="0" w:color="auto"/>
            </w:tcBorders>
            <w:shd w:val="clear" w:color="000000" w:fill="FFEB9C"/>
            <w:vAlign w:val="center"/>
            <w:hideMark/>
          </w:tcPr>
          <w:p w:rsidR="00B42047" w:rsidRPr="00533EA0" w:rsidRDefault="00B42047" w:rsidP="001B3497">
            <w:pPr>
              <w:spacing w:after="0" w:line="240" w:lineRule="auto"/>
              <w:jc w:val="center"/>
              <w:rPr>
                <w:rFonts w:ascii="Calibri" w:eastAsia="Times New Roman" w:hAnsi="Calibri" w:cs="Calibri"/>
                <w:color w:val="9C5700"/>
                <w:sz w:val="20"/>
                <w:szCs w:val="20"/>
                <w:lang w:eastAsia="en-AU"/>
              </w:rPr>
            </w:pPr>
            <w:r w:rsidRPr="00533EA0">
              <w:rPr>
                <w:rFonts w:ascii="Calibri" w:eastAsia="Times New Roman" w:hAnsi="Calibri" w:cs="Calibri"/>
                <w:color w:val="9C5700"/>
                <w:sz w:val="20"/>
                <w:szCs w:val="20"/>
                <w:lang w:eastAsia="en-AU"/>
              </w:rPr>
              <w:t>Moderate scoring response</w:t>
            </w:r>
          </w:p>
        </w:tc>
        <w:tc>
          <w:tcPr>
            <w:tcW w:w="1520" w:type="dxa"/>
            <w:gridSpan w:val="2"/>
            <w:tcBorders>
              <w:top w:val="single" w:sz="8" w:space="0" w:color="auto"/>
              <w:left w:val="nil"/>
              <w:bottom w:val="single" w:sz="8" w:space="0" w:color="auto"/>
              <w:right w:val="single" w:sz="8" w:space="0" w:color="auto"/>
            </w:tcBorders>
            <w:shd w:val="clear" w:color="000000" w:fill="FFF2CC"/>
            <w:vAlign w:val="center"/>
            <w:hideMark/>
          </w:tcPr>
          <w:p w:rsidR="00B42047" w:rsidRPr="00533EA0" w:rsidRDefault="00B42047" w:rsidP="001B3497">
            <w:pPr>
              <w:spacing w:after="0" w:line="240" w:lineRule="auto"/>
              <w:jc w:val="center"/>
              <w:rPr>
                <w:rFonts w:ascii="Calibri" w:eastAsia="Times New Roman" w:hAnsi="Calibri" w:cs="Calibri"/>
                <w:color w:val="BF8F00"/>
                <w:sz w:val="20"/>
                <w:szCs w:val="20"/>
                <w:lang w:eastAsia="en-AU"/>
              </w:rPr>
            </w:pPr>
            <w:r w:rsidRPr="00533EA0">
              <w:rPr>
                <w:rFonts w:ascii="Calibri" w:eastAsia="Times New Roman" w:hAnsi="Calibri" w:cs="Calibri"/>
                <w:color w:val="BF8F00"/>
                <w:sz w:val="20"/>
                <w:szCs w:val="20"/>
                <w:lang w:eastAsia="en-AU"/>
              </w:rPr>
              <w:t xml:space="preserve">Low scoring response </w:t>
            </w:r>
          </w:p>
        </w:tc>
        <w:tc>
          <w:tcPr>
            <w:tcW w:w="1520"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B42047" w:rsidRPr="00533EA0" w:rsidRDefault="00B42047" w:rsidP="001B3497">
            <w:pPr>
              <w:spacing w:after="0" w:line="240" w:lineRule="auto"/>
              <w:jc w:val="center"/>
              <w:rPr>
                <w:rFonts w:ascii="Calibri" w:eastAsia="Times New Roman" w:hAnsi="Calibri" w:cs="Calibri"/>
                <w:sz w:val="20"/>
                <w:szCs w:val="20"/>
                <w:lang w:eastAsia="en-AU"/>
              </w:rPr>
            </w:pPr>
            <w:r w:rsidRPr="00533EA0">
              <w:rPr>
                <w:rFonts w:ascii="Calibri" w:eastAsia="Times New Roman" w:hAnsi="Calibri" w:cs="Calibri"/>
                <w:sz w:val="20"/>
                <w:szCs w:val="20"/>
                <w:lang w:eastAsia="en-AU"/>
              </w:rPr>
              <w:t xml:space="preserve">Lowest scoring response </w:t>
            </w:r>
          </w:p>
        </w:tc>
        <w:tc>
          <w:tcPr>
            <w:tcW w:w="1520" w:type="dxa"/>
            <w:gridSpan w:val="2"/>
            <w:tcBorders>
              <w:top w:val="single" w:sz="8" w:space="0" w:color="auto"/>
              <w:left w:val="nil"/>
              <w:bottom w:val="single" w:sz="8" w:space="0" w:color="auto"/>
              <w:right w:val="single" w:sz="8" w:space="0" w:color="auto"/>
            </w:tcBorders>
            <w:shd w:val="clear" w:color="auto" w:fill="auto"/>
            <w:vAlign w:val="center"/>
            <w:hideMark/>
          </w:tcPr>
          <w:p w:rsidR="00B42047" w:rsidRPr="00533EA0" w:rsidRDefault="00B42047" w:rsidP="001B3497">
            <w:pPr>
              <w:spacing w:after="0" w:line="240" w:lineRule="auto"/>
              <w:jc w:val="center"/>
              <w:rPr>
                <w:rFonts w:ascii="Calibri" w:eastAsia="Times New Roman" w:hAnsi="Calibri" w:cs="Calibri"/>
                <w:color w:val="000000"/>
                <w:sz w:val="20"/>
                <w:szCs w:val="20"/>
                <w:lang w:eastAsia="en-AU"/>
              </w:rPr>
            </w:pPr>
            <w:r w:rsidRPr="00533EA0">
              <w:rPr>
                <w:rFonts w:ascii="Calibri" w:eastAsia="Times New Roman" w:hAnsi="Calibri" w:cs="Calibri"/>
                <w:color w:val="000000"/>
                <w:sz w:val="20"/>
                <w:szCs w:val="20"/>
                <w:lang w:eastAsia="en-AU"/>
              </w:rPr>
              <w:t xml:space="preserve">Response given no score </w:t>
            </w:r>
          </w:p>
        </w:tc>
      </w:tr>
    </w:tbl>
    <w:p w:rsidR="0059200E" w:rsidRDefault="0059200E">
      <w:pPr>
        <w:sectPr w:rsidR="0059200E" w:rsidSect="00144C54">
          <w:pgSz w:w="16838" w:h="11906" w:orient="landscape"/>
          <w:pgMar w:top="720" w:right="720" w:bottom="720" w:left="720" w:header="708" w:footer="708" w:gutter="0"/>
          <w:cols w:space="708"/>
          <w:docGrid w:linePitch="360"/>
        </w:sectPr>
      </w:pPr>
    </w:p>
    <w:tbl>
      <w:tblPr>
        <w:tblW w:w="10860" w:type="dxa"/>
        <w:tblLook w:val="04A0" w:firstRow="1" w:lastRow="0" w:firstColumn="1" w:lastColumn="0" w:noHBand="0" w:noVBand="1"/>
      </w:tblPr>
      <w:tblGrid>
        <w:gridCol w:w="709"/>
        <w:gridCol w:w="1985"/>
        <w:gridCol w:w="1842"/>
        <w:gridCol w:w="2364"/>
        <w:gridCol w:w="1980"/>
        <w:gridCol w:w="1980"/>
      </w:tblGrid>
      <w:tr w:rsidR="00EE6B75" w:rsidRPr="00EE6B75" w:rsidTr="001C38EA">
        <w:trPr>
          <w:trHeight w:val="300"/>
        </w:trPr>
        <w:tc>
          <w:tcPr>
            <w:tcW w:w="709" w:type="dxa"/>
            <w:tcBorders>
              <w:top w:val="nil"/>
              <w:left w:val="nil"/>
              <w:bottom w:val="nil"/>
              <w:right w:val="nil"/>
            </w:tcBorders>
            <w:shd w:val="clear" w:color="auto" w:fill="auto"/>
            <w:noWrap/>
            <w:vAlign w:val="bottom"/>
            <w:hideMark/>
          </w:tcPr>
          <w:p w:rsidR="00EE6B75" w:rsidRPr="00EE6B75" w:rsidRDefault="00EE6B75" w:rsidP="00EE6B75">
            <w:pPr>
              <w:spacing w:after="0" w:line="240" w:lineRule="auto"/>
              <w:rPr>
                <w:rFonts w:ascii="Times New Roman" w:eastAsia="Times New Roman" w:hAnsi="Times New Roman" w:cs="Times New Roman"/>
                <w:sz w:val="18"/>
                <w:szCs w:val="24"/>
                <w:lang w:eastAsia="en-AU"/>
              </w:rPr>
            </w:pPr>
          </w:p>
        </w:tc>
        <w:tc>
          <w:tcPr>
            <w:tcW w:w="10151" w:type="dxa"/>
            <w:gridSpan w:val="5"/>
            <w:vMerge w:val="restart"/>
            <w:tcBorders>
              <w:top w:val="nil"/>
              <w:left w:val="nil"/>
              <w:bottom w:val="nil"/>
              <w:right w:val="nil"/>
            </w:tcBorders>
            <w:shd w:val="clear" w:color="000000" w:fill="F4B084"/>
            <w:noWrap/>
            <w:vAlign w:val="bottom"/>
            <w:hideMark/>
          </w:tcPr>
          <w:p w:rsidR="00EE6B75" w:rsidRPr="00EE6B75" w:rsidRDefault="00EE6B75" w:rsidP="00EE6B75">
            <w:pPr>
              <w:spacing w:after="0" w:line="240" w:lineRule="auto"/>
              <w:jc w:val="center"/>
              <w:rPr>
                <w:rFonts w:ascii="Calibri" w:eastAsia="Times New Roman" w:hAnsi="Calibri" w:cs="Calibri"/>
                <w:b/>
                <w:bCs/>
                <w:color w:val="000000"/>
                <w:sz w:val="18"/>
                <w:szCs w:val="20"/>
                <w:lang w:eastAsia="en-AU"/>
              </w:rPr>
            </w:pPr>
            <w:bookmarkStart w:id="1" w:name="_GoBack"/>
            <w:r w:rsidRPr="00EE6B75">
              <w:rPr>
                <w:rFonts w:ascii="Calibri" w:eastAsia="Times New Roman" w:hAnsi="Calibri" w:cs="Calibri"/>
                <w:b/>
                <w:bCs/>
                <w:color w:val="000000"/>
                <w:sz w:val="18"/>
                <w:szCs w:val="20"/>
                <w:lang w:eastAsia="en-AU"/>
              </w:rPr>
              <w:t>RCPA re</w:t>
            </w:r>
            <w:r w:rsidR="00405AD3">
              <w:rPr>
                <w:rFonts w:ascii="Calibri" w:eastAsia="Times New Roman" w:hAnsi="Calibri" w:cs="Calibri"/>
                <w:b/>
                <w:bCs/>
                <w:color w:val="000000"/>
                <w:sz w:val="18"/>
                <w:szCs w:val="20"/>
                <w:lang w:eastAsia="en-AU"/>
              </w:rPr>
              <w:t>sult</w:t>
            </w:r>
            <w:bookmarkEnd w:id="1"/>
          </w:p>
        </w:tc>
      </w:tr>
      <w:tr w:rsidR="00EE6B75" w:rsidRPr="00EE6B75" w:rsidTr="00405AD3">
        <w:trPr>
          <w:trHeight w:val="80"/>
        </w:trPr>
        <w:tc>
          <w:tcPr>
            <w:tcW w:w="709" w:type="dxa"/>
            <w:tcBorders>
              <w:top w:val="nil"/>
              <w:left w:val="nil"/>
              <w:bottom w:val="nil"/>
              <w:right w:val="nil"/>
            </w:tcBorders>
            <w:shd w:val="clear" w:color="auto" w:fill="auto"/>
            <w:noWrap/>
            <w:vAlign w:val="bottom"/>
            <w:hideMark/>
          </w:tcPr>
          <w:p w:rsidR="00EE6B75" w:rsidRPr="00EE6B75" w:rsidRDefault="00EE6B75" w:rsidP="00EE6B75">
            <w:pPr>
              <w:spacing w:after="0" w:line="240" w:lineRule="auto"/>
              <w:jc w:val="center"/>
              <w:rPr>
                <w:rFonts w:ascii="Calibri" w:eastAsia="Times New Roman" w:hAnsi="Calibri" w:cs="Calibri"/>
                <w:b/>
                <w:bCs/>
                <w:color w:val="000000"/>
                <w:sz w:val="18"/>
                <w:szCs w:val="20"/>
                <w:lang w:eastAsia="en-AU"/>
              </w:rPr>
            </w:pPr>
          </w:p>
        </w:tc>
        <w:tc>
          <w:tcPr>
            <w:tcW w:w="10151" w:type="dxa"/>
            <w:gridSpan w:val="5"/>
            <w:vMerge/>
            <w:tcBorders>
              <w:top w:val="nil"/>
              <w:left w:val="nil"/>
              <w:bottom w:val="nil"/>
              <w:right w:val="nil"/>
            </w:tcBorders>
            <w:vAlign w:val="center"/>
            <w:hideMark/>
          </w:tcPr>
          <w:p w:rsidR="00EE6B75" w:rsidRPr="00EE6B75" w:rsidRDefault="00EE6B75" w:rsidP="00EE6B75">
            <w:pPr>
              <w:spacing w:after="0" w:line="240" w:lineRule="auto"/>
              <w:rPr>
                <w:rFonts w:ascii="Calibri" w:eastAsia="Times New Roman" w:hAnsi="Calibri" w:cs="Calibri"/>
                <w:b/>
                <w:bCs/>
                <w:color w:val="000000"/>
                <w:sz w:val="18"/>
                <w:szCs w:val="20"/>
                <w:lang w:eastAsia="en-AU"/>
              </w:rPr>
            </w:pPr>
          </w:p>
        </w:tc>
      </w:tr>
      <w:tr w:rsidR="00EE6B75" w:rsidRPr="00EE6B75" w:rsidTr="001C38EA">
        <w:trPr>
          <w:trHeight w:val="405"/>
        </w:trPr>
        <w:tc>
          <w:tcPr>
            <w:tcW w:w="709" w:type="dxa"/>
            <w:tcBorders>
              <w:top w:val="nil"/>
              <w:left w:val="nil"/>
              <w:bottom w:val="nil"/>
              <w:right w:val="nil"/>
            </w:tcBorders>
            <w:shd w:val="clear" w:color="auto" w:fill="auto"/>
            <w:noWrap/>
            <w:vAlign w:val="bottom"/>
            <w:hideMark/>
          </w:tcPr>
          <w:p w:rsidR="00EE6B75" w:rsidRPr="00EE6B75" w:rsidRDefault="00EE6B75" w:rsidP="00EE6B75">
            <w:pPr>
              <w:spacing w:after="0" w:line="240" w:lineRule="auto"/>
              <w:rPr>
                <w:rFonts w:ascii="Times New Roman" w:eastAsia="Times New Roman" w:hAnsi="Times New Roman" w:cs="Times New Roman"/>
                <w:sz w:val="18"/>
                <w:szCs w:val="20"/>
                <w:lang w:eastAsia="en-AU"/>
              </w:rPr>
            </w:pPr>
          </w:p>
        </w:tc>
        <w:tc>
          <w:tcPr>
            <w:tcW w:w="10151" w:type="dxa"/>
            <w:gridSpan w:val="5"/>
            <w:tcBorders>
              <w:top w:val="nil"/>
              <w:left w:val="nil"/>
              <w:bottom w:val="single" w:sz="4" w:space="0" w:color="auto"/>
              <w:right w:val="nil"/>
            </w:tcBorders>
            <w:shd w:val="clear" w:color="000000" w:fill="FFFF00"/>
            <w:vAlign w:val="bottom"/>
            <w:hideMark/>
          </w:tcPr>
          <w:p w:rsidR="00EE6B75" w:rsidRPr="00EE6B75" w:rsidRDefault="00EE6B75" w:rsidP="00EE6B75">
            <w:pPr>
              <w:spacing w:after="0" w:line="240" w:lineRule="auto"/>
              <w:jc w:val="center"/>
              <w:rPr>
                <w:rFonts w:ascii="Calibri" w:eastAsia="Times New Roman" w:hAnsi="Calibri" w:cs="Calibri"/>
                <w:b/>
                <w:bCs/>
                <w:color w:val="000000"/>
                <w:sz w:val="18"/>
                <w:szCs w:val="20"/>
                <w:lang w:eastAsia="en-AU"/>
              </w:rPr>
            </w:pPr>
            <w:r w:rsidRPr="00EE6B75">
              <w:rPr>
                <w:rFonts w:ascii="Calibri" w:eastAsia="Times New Roman" w:hAnsi="Calibri" w:cs="Calibri"/>
                <w:b/>
                <w:bCs/>
                <w:color w:val="000000"/>
                <w:sz w:val="18"/>
                <w:szCs w:val="20"/>
                <w:lang w:eastAsia="en-AU"/>
              </w:rPr>
              <w:t>HA-MO-21-04</w:t>
            </w:r>
          </w:p>
        </w:tc>
      </w:tr>
      <w:tr w:rsidR="00EE6B75" w:rsidRPr="00EE6B75" w:rsidTr="001C38EA">
        <w:trPr>
          <w:trHeight w:val="739"/>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CCFF"/>
            <w:textDirection w:val="tbRl"/>
            <w:vAlign w:val="center"/>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RBC Features</w:t>
            </w: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Nucleated red blood cells</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82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Polychromasia increased</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7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Tear drop cells</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678"/>
        </w:trPr>
        <w:tc>
          <w:tcPr>
            <w:tcW w:w="709"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WBC Features</w:t>
            </w: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Blast cells</w:t>
            </w:r>
          </w:p>
        </w:tc>
        <w:tc>
          <w:tcPr>
            <w:tcW w:w="184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E6B75" w:rsidRPr="00EE6B75" w:rsidRDefault="00EE6B75" w:rsidP="00EE6B75">
            <w:pPr>
              <w:spacing w:after="0" w:line="240" w:lineRule="auto"/>
              <w:jc w:val="center"/>
              <w:rPr>
                <w:rFonts w:ascii="Calibri" w:eastAsia="Times New Roman" w:hAnsi="Calibri" w:cs="Calibri"/>
                <w:color w:val="9C5700"/>
                <w:sz w:val="18"/>
                <w:szCs w:val="20"/>
                <w:lang w:eastAsia="en-AU"/>
              </w:rPr>
            </w:pPr>
            <w:r w:rsidRPr="00EE6B75">
              <w:rPr>
                <w:rFonts w:ascii="Calibri" w:eastAsia="Times New Roman" w:hAnsi="Calibri" w:cs="Calibri"/>
                <w:color w:val="9C5700"/>
                <w:sz w:val="18"/>
                <w:szCs w:val="20"/>
                <w:lang w:eastAsia="en-AU"/>
              </w:rPr>
              <w:t>Auer rods</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Dysplastic changes</w:t>
            </w:r>
          </w:p>
        </w:tc>
        <w:tc>
          <w:tcPr>
            <w:tcW w:w="1980"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780"/>
        </w:trPr>
        <w:tc>
          <w:tcPr>
            <w:tcW w:w="709" w:type="dxa"/>
            <w:vMerge/>
            <w:tcBorders>
              <w:top w:val="nil"/>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Promyelocytes / metamyelocytes / myelocytes</w:t>
            </w:r>
          </w:p>
        </w:tc>
        <w:tc>
          <w:tcPr>
            <w:tcW w:w="1842" w:type="dxa"/>
            <w:tcBorders>
              <w:top w:val="nil"/>
              <w:left w:val="nil"/>
              <w:bottom w:val="single" w:sz="4" w:space="0" w:color="auto"/>
              <w:right w:val="single" w:sz="4" w:space="0" w:color="auto"/>
            </w:tcBorders>
            <w:shd w:val="clear" w:color="auto" w:fill="auto"/>
            <w:vAlign w:val="center"/>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Neutrophilia</w:t>
            </w:r>
          </w:p>
        </w:tc>
        <w:tc>
          <w:tcPr>
            <w:tcW w:w="1980"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628"/>
        </w:trPr>
        <w:tc>
          <w:tcPr>
            <w:tcW w:w="709" w:type="dxa"/>
            <w:vMerge/>
            <w:tcBorders>
              <w:top w:val="nil"/>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proofErr w:type="spellStart"/>
            <w:r w:rsidRPr="00EE6B75">
              <w:rPr>
                <w:rFonts w:ascii="Calibri" w:eastAsia="Times New Roman" w:hAnsi="Calibri" w:cs="Calibri"/>
                <w:color w:val="006100"/>
                <w:sz w:val="18"/>
                <w:szCs w:val="20"/>
                <w:lang w:eastAsia="en-AU"/>
              </w:rPr>
              <w:t>Monocytosis</w:t>
            </w:r>
            <w:proofErr w:type="spellEnd"/>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 xml:space="preserve">Neutrophils - </w:t>
            </w:r>
            <w:proofErr w:type="spellStart"/>
            <w:r w:rsidRPr="00EE6B75">
              <w:rPr>
                <w:rFonts w:ascii="Calibri" w:eastAsia="Times New Roman" w:hAnsi="Calibri" w:cs="Calibri"/>
                <w:color w:val="BF8F00"/>
                <w:sz w:val="18"/>
                <w:szCs w:val="20"/>
                <w:lang w:eastAsia="en-AU"/>
              </w:rPr>
              <w:t>hyposegmented</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694"/>
        </w:trPr>
        <w:tc>
          <w:tcPr>
            <w:tcW w:w="709" w:type="dxa"/>
            <w:vMerge/>
            <w:tcBorders>
              <w:top w:val="nil"/>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proofErr w:type="spellStart"/>
            <w:r w:rsidRPr="00EE6B75">
              <w:rPr>
                <w:rFonts w:ascii="Calibri" w:eastAsia="Times New Roman" w:hAnsi="Calibri" w:cs="Calibri"/>
                <w:color w:val="BF8F00"/>
                <w:sz w:val="18"/>
                <w:szCs w:val="20"/>
                <w:lang w:eastAsia="en-AU"/>
              </w:rPr>
              <w:t>Pelger-Huet</w:t>
            </w:r>
            <w:proofErr w:type="spellEnd"/>
            <w:r w:rsidRPr="00EE6B75">
              <w:rPr>
                <w:rFonts w:ascii="Calibri" w:eastAsia="Times New Roman" w:hAnsi="Calibri" w:cs="Calibri"/>
                <w:color w:val="BF8F00"/>
                <w:sz w:val="18"/>
                <w:szCs w:val="20"/>
                <w:lang w:eastAsia="en-AU"/>
              </w:rPr>
              <w:t xml:space="preserve">/pseudo </w:t>
            </w:r>
            <w:proofErr w:type="spellStart"/>
            <w:r w:rsidRPr="00EE6B75">
              <w:rPr>
                <w:rFonts w:ascii="Calibri" w:eastAsia="Times New Roman" w:hAnsi="Calibri" w:cs="Calibri"/>
                <w:color w:val="BF8F00"/>
                <w:sz w:val="18"/>
                <w:szCs w:val="20"/>
                <w:lang w:eastAsia="en-AU"/>
              </w:rPr>
              <w:t>Pelget-Huet</w:t>
            </w:r>
            <w:proofErr w:type="spellEnd"/>
            <w:r w:rsidRPr="00EE6B75">
              <w:rPr>
                <w:rFonts w:ascii="Calibri" w:eastAsia="Times New Roman" w:hAnsi="Calibri" w:cs="Calibri"/>
                <w:color w:val="BF8F00"/>
                <w:sz w:val="18"/>
                <w:szCs w:val="20"/>
                <w:lang w:eastAsia="en-AU"/>
              </w:rPr>
              <w:t xml:space="preserve"> cells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1115"/>
        </w:trPr>
        <w:tc>
          <w:tcPr>
            <w:tcW w:w="709" w:type="dxa"/>
            <w:tcBorders>
              <w:top w:val="nil"/>
              <w:left w:val="single" w:sz="4" w:space="0" w:color="auto"/>
              <w:bottom w:val="single" w:sz="4" w:space="0" w:color="auto"/>
              <w:right w:val="single" w:sz="4" w:space="0" w:color="auto"/>
            </w:tcBorders>
            <w:shd w:val="clear" w:color="000000" w:fill="D6DCE4"/>
            <w:textDirection w:val="tbRl"/>
            <w:vAlign w:val="center"/>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Platelet Features</w:t>
            </w: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No significant morphological platelet abnormality</w:t>
            </w:r>
          </w:p>
        </w:tc>
        <w:tc>
          <w:tcPr>
            <w:tcW w:w="1842"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2364"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980" w:type="dxa"/>
            <w:tcBorders>
              <w:top w:val="nil"/>
              <w:left w:val="nil"/>
              <w:bottom w:val="single" w:sz="4" w:space="0" w:color="auto"/>
              <w:right w:val="single" w:sz="4" w:space="0" w:color="auto"/>
            </w:tcBorders>
            <w:shd w:val="clear" w:color="auto" w:fill="auto"/>
            <w:noWrap/>
            <w:vAlign w:val="bottom"/>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r>
      <w:tr w:rsidR="00EE6B75" w:rsidRPr="00EE6B75" w:rsidTr="001C38EA">
        <w:trPr>
          <w:trHeight w:val="1290"/>
        </w:trPr>
        <w:tc>
          <w:tcPr>
            <w:tcW w:w="709" w:type="dxa"/>
            <w:vMerge w:val="restart"/>
            <w:tcBorders>
              <w:top w:val="nil"/>
              <w:left w:val="single" w:sz="4" w:space="0" w:color="auto"/>
              <w:bottom w:val="single" w:sz="4" w:space="0" w:color="auto"/>
              <w:right w:val="single" w:sz="4" w:space="0" w:color="auto"/>
            </w:tcBorders>
            <w:shd w:val="clear" w:color="000000" w:fill="F8CBAD"/>
            <w:textDirection w:val="tbRl"/>
            <w:vAlign w:val="center"/>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xml:space="preserve">Primary Diagnosis </w:t>
            </w:r>
          </w:p>
        </w:tc>
        <w:tc>
          <w:tcPr>
            <w:tcW w:w="198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EE6B75" w:rsidRPr="00EE6B75" w:rsidRDefault="00EE6B75" w:rsidP="00EE6B75">
            <w:pPr>
              <w:spacing w:after="0" w:line="240" w:lineRule="auto"/>
              <w:jc w:val="center"/>
              <w:rPr>
                <w:rFonts w:ascii="Calibri" w:eastAsia="Times New Roman" w:hAnsi="Calibri" w:cs="Calibri"/>
                <w:color w:val="006100"/>
                <w:sz w:val="18"/>
                <w:szCs w:val="20"/>
                <w:lang w:eastAsia="en-AU"/>
              </w:rPr>
            </w:pPr>
            <w:r w:rsidRPr="00EE6B75">
              <w:rPr>
                <w:rFonts w:ascii="Calibri" w:eastAsia="Times New Roman" w:hAnsi="Calibri" w:cs="Calibri"/>
                <w:color w:val="006100"/>
                <w:sz w:val="18"/>
                <w:szCs w:val="20"/>
                <w:lang w:eastAsia="en-AU"/>
              </w:rPr>
              <w:t>Acute myelomonocytic leukaemia</w:t>
            </w:r>
          </w:p>
        </w:tc>
        <w:tc>
          <w:tcPr>
            <w:tcW w:w="184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E6B75" w:rsidRPr="00EE6B75" w:rsidRDefault="00EE6B75" w:rsidP="00EE6B75">
            <w:pPr>
              <w:spacing w:after="0" w:line="240" w:lineRule="auto"/>
              <w:jc w:val="center"/>
              <w:rPr>
                <w:rFonts w:ascii="Calibri" w:eastAsia="Times New Roman" w:hAnsi="Calibri" w:cs="Calibri"/>
                <w:color w:val="9C5700"/>
                <w:sz w:val="18"/>
                <w:szCs w:val="20"/>
                <w:lang w:eastAsia="en-AU"/>
              </w:rPr>
            </w:pPr>
            <w:r w:rsidRPr="00EE6B75">
              <w:rPr>
                <w:rFonts w:ascii="Calibri" w:eastAsia="Times New Roman" w:hAnsi="Calibri" w:cs="Calibri"/>
                <w:color w:val="9C5700"/>
                <w:sz w:val="18"/>
                <w:szCs w:val="20"/>
                <w:lang w:eastAsia="en-AU"/>
              </w:rPr>
              <w:t>Acute monoblastic / monocytic leukaemia</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Acute promyelocytic leukaemia (</w:t>
            </w:r>
            <w:proofErr w:type="spellStart"/>
            <w:r w:rsidRPr="00EE6B75">
              <w:rPr>
                <w:rFonts w:ascii="Calibri" w:eastAsia="Times New Roman" w:hAnsi="Calibri" w:cs="Calibri"/>
                <w:color w:val="BF8F00"/>
                <w:sz w:val="18"/>
                <w:szCs w:val="20"/>
                <w:lang w:eastAsia="en-AU"/>
              </w:rPr>
              <w:t>hypergranular</w:t>
            </w:r>
            <w:proofErr w:type="spellEnd"/>
            <w:r w:rsidRPr="00EE6B75">
              <w:rPr>
                <w:rFonts w:ascii="Calibri" w:eastAsia="Times New Roman" w:hAnsi="Calibri" w:cs="Calibri"/>
                <w:color w:val="BF8F00"/>
                <w:sz w:val="18"/>
                <w:szCs w:val="20"/>
                <w:lang w:eastAsia="en-AU"/>
              </w:rPr>
              <w:t>)</w:t>
            </w:r>
          </w:p>
        </w:tc>
        <w:tc>
          <w:tcPr>
            <w:tcW w:w="198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Chronic myelomonocytic leukaemia</w:t>
            </w:r>
          </w:p>
        </w:tc>
        <w:tc>
          <w:tcPr>
            <w:tcW w:w="198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sz w:val="18"/>
                <w:szCs w:val="20"/>
                <w:lang w:eastAsia="en-AU"/>
              </w:rPr>
            </w:pPr>
            <w:r w:rsidRPr="00EE6B75">
              <w:rPr>
                <w:rFonts w:ascii="Calibri" w:eastAsia="Times New Roman" w:hAnsi="Calibri" w:cs="Calibri"/>
                <w:sz w:val="18"/>
                <w:szCs w:val="20"/>
                <w:lang w:eastAsia="en-AU"/>
              </w:rPr>
              <w:t>Myelodysplastic / myeloproliferative neoplasm in acute leukemic transformation</w:t>
            </w:r>
          </w:p>
        </w:tc>
      </w:tr>
      <w:tr w:rsidR="00EE6B75" w:rsidRPr="00EE6B75" w:rsidTr="001C38EA">
        <w:trPr>
          <w:trHeight w:val="1050"/>
        </w:trPr>
        <w:tc>
          <w:tcPr>
            <w:tcW w:w="709" w:type="dxa"/>
            <w:vMerge/>
            <w:tcBorders>
              <w:top w:val="nil"/>
              <w:left w:val="single" w:sz="4" w:space="0" w:color="auto"/>
              <w:bottom w:val="single" w:sz="4" w:space="0" w:color="auto"/>
              <w:right w:val="single" w:sz="4" w:space="0" w:color="auto"/>
            </w:tcBorders>
            <w:vAlign w:val="center"/>
            <w:hideMark/>
          </w:tcPr>
          <w:p w:rsidR="00EE6B75" w:rsidRPr="00EE6B75" w:rsidRDefault="00EE6B75" w:rsidP="00EE6B75">
            <w:pPr>
              <w:spacing w:after="0" w:line="240" w:lineRule="auto"/>
              <w:rPr>
                <w:rFonts w:ascii="Calibri" w:eastAsia="Times New Roman" w:hAnsi="Calibri" w:cs="Calibri"/>
                <w:color w:val="000000"/>
                <w:sz w:val="18"/>
                <w:szCs w:val="20"/>
                <w:lang w:eastAsia="en-AU"/>
              </w:rPr>
            </w:pPr>
          </w:p>
        </w:tc>
        <w:tc>
          <w:tcPr>
            <w:tcW w:w="1985" w:type="dxa"/>
            <w:tcBorders>
              <w:top w:val="nil"/>
              <w:left w:val="nil"/>
              <w:bottom w:val="single" w:sz="4" w:space="0" w:color="auto"/>
              <w:right w:val="single" w:sz="4" w:space="0" w:color="auto"/>
            </w:tcBorders>
            <w:shd w:val="clear" w:color="auto" w:fill="auto"/>
            <w:vAlign w:val="bottom"/>
            <w:hideMark/>
          </w:tcPr>
          <w:p w:rsidR="00EE6B75" w:rsidRPr="00EE6B75" w:rsidRDefault="00EE6B75" w:rsidP="00EE6B75">
            <w:pPr>
              <w:spacing w:after="0" w:line="240" w:lineRule="auto"/>
              <w:jc w:val="center"/>
              <w:rPr>
                <w:rFonts w:ascii="Calibri" w:eastAsia="Times New Roman" w:hAnsi="Calibri" w:cs="Calibri"/>
                <w:color w:val="000000"/>
                <w:sz w:val="18"/>
                <w:szCs w:val="20"/>
                <w:lang w:eastAsia="en-AU"/>
              </w:rPr>
            </w:pPr>
            <w:r w:rsidRPr="00EE6B75">
              <w:rPr>
                <w:rFonts w:ascii="Calibri" w:eastAsia="Times New Roman" w:hAnsi="Calibri" w:cs="Calibri"/>
                <w:color w:val="000000"/>
                <w:sz w:val="18"/>
                <w:szCs w:val="20"/>
                <w:lang w:eastAsia="en-AU"/>
              </w:rPr>
              <w:t> </w:t>
            </w:r>
          </w:p>
        </w:tc>
        <w:tc>
          <w:tcPr>
            <w:tcW w:w="184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EE6B75" w:rsidRPr="00EE6B75" w:rsidRDefault="00EE6B75" w:rsidP="00EE6B75">
            <w:pPr>
              <w:spacing w:after="0" w:line="240" w:lineRule="auto"/>
              <w:jc w:val="center"/>
              <w:rPr>
                <w:rFonts w:ascii="Calibri" w:eastAsia="Times New Roman" w:hAnsi="Calibri" w:cs="Calibri"/>
                <w:color w:val="9C5700"/>
                <w:sz w:val="18"/>
                <w:szCs w:val="20"/>
                <w:lang w:eastAsia="en-AU"/>
              </w:rPr>
            </w:pPr>
            <w:r w:rsidRPr="00EE6B75">
              <w:rPr>
                <w:rFonts w:ascii="Calibri" w:eastAsia="Times New Roman" w:hAnsi="Calibri" w:cs="Calibri"/>
                <w:color w:val="9C5700"/>
                <w:sz w:val="18"/>
                <w:szCs w:val="20"/>
                <w:lang w:eastAsia="en-AU"/>
              </w:rPr>
              <w:t>Acute myeloid leukaemia</w:t>
            </w:r>
          </w:p>
        </w:tc>
        <w:tc>
          <w:tcPr>
            <w:tcW w:w="236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color w:val="BF8F00"/>
                <w:sz w:val="18"/>
                <w:szCs w:val="20"/>
                <w:lang w:eastAsia="en-AU"/>
              </w:rPr>
            </w:pPr>
            <w:r w:rsidRPr="00EE6B75">
              <w:rPr>
                <w:rFonts w:ascii="Calibri" w:eastAsia="Times New Roman" w:hAnsi="Calibri" w:cs="Calibri"/>
                <w:color w:val="BF8F00"/>
                <w:sz w:val="18"/>
                <w:szCs w:val="20"/>
                <w:lang w:eastAsia="en-AU"/>
              </w:rPr>
              <w:t>Acute promyelocytic leukaemia (</w:t>
            </w:r>
            <w:proofErr w:type="spellStart"/>
            <w:r w:rsidRPr="00EE6B75">
              <w:rPr>
                <w:rFonts w:ascii="Calibri" w:eastAsia="Times New Roman" w:hAnsi="Calibri" w:cs="Calibri"/>
                <w:color w:val="BF8F00"/>
                <w:sz w:val="18"/>
                <w:szCs w:val="20"/>
                <w:lang w:eastAsia="en-AU"/>
              </w:rPr>
              <w:t>hypogranular</w:t>
            </w:r>
            <w:proofErr w:type="spellEnd"/>
            <w:r w:rsidRPr="00EE6B75">
              <w:rPr>
                <w:rFonts w:ascii="Calibri" w:eastAsia="Times New Roman" w:hAnsi="Calibri" w:cs="Calibri"/>
                <w:color w:val="BF8F00"/>
                <w:sz w:val="18"/>
                <w:szCs w:val="20"/>
                <w:lang w:eastAsia="en-AU"/>
              </w:rPr>
              <w:t>) variant</w:t>
            </w:r>
          </w:p>
        </w:tc>
        <w:tc>
          <w:tcPr>
            <w:tcW w:w="198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sz w:val="18"/>
                <w:szCs w:val="20"/>
                <w:lang w:eastAsia="en-AU"/>
              </w:rPr>
            </w:pPr>
            <w:r w:rsidRPr="00EE6B75">
              <w:rPr>
                <w:rFonts w:ascii="Calibri" w:eastAsia="Times New Roman" w:hAnsi="Calibri" w:cs="Calibri"/>
                <w:sz w:val="18"/>
                <w:szCs w:val="20"/>
                <w:lang w:eastAsia="en-AU"/>
              </w:rPr>
              <w:t>Acute leukaemia</w:t>
            </w:r>
          </w:p>
        </w:tc>
        <w:tc>
          <w:tcPr>
            <w:tcW w:w="198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EE6B75" w:rsidRPr="00EE6B75" w:rsidRDefault="00EE6B75" w:rsidP="00EE6B75">
            <w:pPr>
              <w:spacing w:after="0" w:line="240" w:lineRule="auto"/>
              <w:jc w:val="center"/>
              <w:rPr>
                <w:rFonts w:ascii="Calibri" w:eastAsia="Times New Roman" w:hAnsi="Calibri" w:cs="Calibri"/>
                <w:sz w:val="18"/>
                <w:szCs w:val="20"/>
                <w:lang w:eastAsia="en-AU"/>
              </w:rPr>
            </w:pPr>
            <w:r w:rsidRPr="00EE6B75">
              <w:rPr>
                <w:rFonts w:ascii="Calibri" w:eastAsia="Times New Roman" w:hAnsi="Calibri" w:cs="Calibri"/>
                <w:sz w:val="18"/>
                <w:szCs w:val="20"/>
                <w:lang w:eastAsia="en-AU"/>
              </w:rPr>
              <w:t>Myelodysplastic / myeloproliferative neoplasm in accelerated phase</w:t>
            </w:r>
          </w:p>
        </w:tc>
      </w:tr>
    </w:tbl>
    <w:p w:rsidR="00681B64" w:rsidRDefault="00681B64"/>
    <w:tbl>
      <w:tblPr>
        <w:tblW w:w="6228" w:type="dxa"/>
        <w:tblLook w:val="04A0" w:firstRow="1" w:lastRow="0" w:firstColumn="1" w:lastColumn="0" w:noHBand="0" w:noVBand="1"/>
      </w:tblPr>
      <w:tblGrid>
        <w:gridCol w:w="1557"/>
        <w:gridCol w:w="175"/>
        <w:gridCol w:w="1382"/>
        <w:gridCol w:w="137"/>
        <w:gridCol w:w="949"/>
        <w:gridCol w:w="471"/>
        <w:gridCol w:w="836"/>
        <w:gridCol w:w="721"/>
      </w:tblGrid>
      <w:tr w:rsidR="00681B64" w:rsidRPr="00533EA0" w:rsidTr="0059200E">
        <w:trPr>
          <w:trHeight w:val="653"/>
        </w:trPr>
        <w:tc>
          <w:tcPr>
            <w:tcW w:w="1557"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681B64" w:rsidRPr="00533EA0" w:rsidRDefault="00681B64" w:rsidP="001B3497">
            <w:pPr>
              <w:spacing w:after="0" w:line="240" w:lineRule="auto"/>
              <w:jc w:val="center"/>
              <w:rPr>
                <w:rFonts w:ascii="Calibri" w:eastAsia="Times New Roman" w:hAnsi="Calibri" w:cs="Calibri"/>
                <w:color w:val="006100"/>
                <w:sz w:val="20"/>
                <w:szCs w:val="20"/>
                <w:lang w:eastAsia="en-AU"/>
              </w:rPr>
            </w:pPr>
            <w:r w:rsidRPr="00533EA0">
              <w:rPr>
                <w:rFonts w:ascii="Calibri" w:eastAsia="Times New Roman" w:hAnsi="Calibri" w:cs="Calibri"/>
                <w:color w:val="006100"/>
                <w:sz w:val="20"/>
                <w:szCs w:val="20"/>
                <w:lang w:eastAsia="en-AU"/>
              </w:rPr>
              <w:t>High scoring response</w:t>
            </w:r>
          </w:p>
        </w:tc>
        <w:tc>
          <w:tcPr>
            <w:tcW w:w="1557"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681B64" w:rsidRPr="00533EA0" w:rsidRDefault="00681B64" w:rsidP="001B3497">
            <w:pPr>
              <w:spacing w:after="0" w:line="240" w:lineRule="auto"/>
              <w:jc w:val="center"/>
              <w:rPr>
                <w:rFonts w:ascii="Calibri" w:eastAsia="Times New Roman" w:hAnsi="Calibri" w:cs="Calibri"/>
                <w:color w:val="9C5700"/>
                <w:sz w:val="20"/>
                <w:szCs w:val="20"/>
                <w:lang w:eastAsia="en-AU"/>
              </w:rPr>
            </w:pPr>
            <w:r w:rsidRPr="00533EA0">
              <w:rPr>
                <w:rFonts w:ascii="Calibri" w:eastAsia="Times New Roman" w:hAnsi="Calibri" w:cs="Calibri"/>
                <w:color w:val="9C5700"/>
                <w:sz w:val="20"/>
                <w:szCs w:val="20"/>
                <w:lang w:eastAsia="en-AU"/>
              </w:rPr>
              <w:t>Moderate scoring response</w:t>
            </w:r>
          </w:p>
        </w:tc>
        <w:tc>
          <w:tcPr>
            <w:tcW w:w="1557" w:type="dxa"/>
            <w:gridSpan w:val="3"/>
            <w:tcBorders>
              <w:top w:val="single" w:sz="8" w:space="0" w:color="auto"/>
              <w:left w:val="nil"/>
              <w:bottom w:val="single" w:sz="8" w:space="0" w:color="auto"/>
              <w:right w:val="single" w:sz="8" w:space="0" w:color="auto"/>
            </w:tcBorders>
            <w:shd w:val="clear" w:color="000000" w:fill="FFF2CC"/>
            <w:vAlign w:val="center"/>
            <w:hideMark/>
          </w:tcPr>
          <w:p w:rsidR="00681B64" w:rsidRPr="00533EA0" w:rsidRDefault="00681B64" w:rsidP="001B3497">
            <w:pPr>
              <w:spacing w:after="0" w:line="240" w:lineRule="auto"/>
              <w:jc w:val="center"/>
              <w:rPr>
                <w:rFonts w:ascii="Calibri" w:eastAsia="Times New Roman" w:hAnsi="Calibri" w:cs="Calibri"/>
                <w:color w:val="BF8F00"/>
                <w:sz w:val="20"/>
                <w:szCs w:val="20"/>
                <w:lang w:eastAsia="en-AU"/>
              </w:rPr>
            </w:pPr>
            <w:r w:rsidRPr="00533EA0">
              <w:rPr>
                <w:rFonts w:ascii="Calibri" w:eastAsia="Times New Roman" w:hAnsi="Calibri" w:cs="Calibri"/>
                <w:color w:val="BF8F00"/>
                <w:sz w:val="20"/>
                <w:szCs w:val="20"/>
                <w:lang w:eastAsia="en-AU"/>
              </w:rPr>
              <w:t xml:space="preserve">Low scoring response </w:t>
            </w:r>
          </w:p>
        </w:tc>
        <w:tc>
          <w:tcPr>
            <w:tcW w:w="1557"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681B64" w:rsidRPr="00533EA0" w:rsidRDefault="00681B64" w:rsidP="001B3497">
            <w:pPr>
              <w:spacing w:after="0" w:line="240" w:lineRule="auto"/>
              <w:jc w:val="center"/>
              <w:rPr>
                <w:rFonts w:ascii="Calibri" w:eastAsia="Times New Roman" w:hAnsi="Calibri" w:cs="Calibri"/>
                <w:sz w:val="20"/>
                <w:szCs w:val="20"/>
                <w:lang w:eastAsia="en-AU"/>
              </w:rPr>
            </w:pPr>
            <w:r w:rsidRPr="00533EA0">
              <w:rPr>
                <w:rFonts w:ascii="Calibri" w:eastAsia="Times New Roman" w:hAnsi="Calibri" w:cs="Calibri"/>
                <w:sz w:val="20"/>
                <w:szCs w:val="20"/>
                <w:lang w:eastAsia="en-AU"/>
              </w:rPr>
              <w:t xml:space="preserve">Lowest scoring response </w:t>
            </w:r>
          </w:p>
        </w:tc>
      </w:tr>
      <w:tr w:rsidR="00EB5546" w:rsidTr="00EB5546">
        <w:tblPrEx>
          <w:tblCellMar>
            <w:left w:w="0" w:type="dxa"/>
            <w:right w:w="0" w:type="dxa"/>
          </w:tblCellMar>
        </w:tblPrEx>
        <w:trPr>
          <w:gridAfter w:val="1"/>
          <w:wAfter w:w="721" w:type="dxa"/>
          <w:trHeight w:val="454"/>
        </w:trPr>
        <w:tc>
          <w:tcPr>
            <w:tcW w:w="1732" w:type="dxa"/>
            <w:gridSpan w:val="2"/>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A79A5" w:rsidRDefault="00FA79A5" w:rsidP="00EB5546">
            <w:pPr>
              <w:jc w:val="center"/>
              <w:rPr>
                <w:rFonts w:ascii="Calibri" w:hAnsi="Calibri" w:cs="Calibri"/>
                <w:b/>
                <w:bCs/>
                <w:color w:val="000000"/>
                <w:sz w:val="20"/>
                <w:szCs w:val="20"/>
              </w:rPr>
            </w:pPr>
            <w:r>
              <w:rPr>
                <w:rFonts w:ascii="Calibri" w:hAnsi="Calibri" w:cs="Calibri"/>
                <w:b/>
                <w:bCs/>
                <w:color w:val="000000"/>
                <w:sz w:val="20"/>
                <w:szCs w:val="20"/>
              </w:rPr>
              <w:t>CLOSED 06/04/2021</w:t>
            </w:r>
          </w:p>
        </w:tc>
        <w:tc>
          <w:tcPr>
            <w:tcW w:w="1519" w:type="dxa"/>
            <w:gridSpan w:val="2"/>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rsidR="00FA79A5" w:rsidRDefault="00FA79A5" w:rsidP="00EB5546">
            <w:pPr>
              <w:jc w:val="center"/>
              <w:rPr>
                <w:rFonts w:ascii="Calibri" w:hAnsi="Calibri" w:cs="Calibri"/>
                <w:b/>
                <w:bCs/>
                <w:color w:val="000000"/>
                <w:sz w:val="20"/>
                <w:szCs w:val="20"/>
              </w:rPr>
            </w:pPr>
            <w:r>
              <w:rPr>
                <w:rFonts w:ascii="Calibri" w:hAnsi="Calibri" w:cs="Calibri"/>
                <w:b/>
                <w:bCs/>
                <w:color w:val="000000"/>
                <w:sz w:val="20"/>
                <w:szCs w:val="20"/>
              </w:rPr>
              <w:t>Submissions</w:t>
            </w:r>
          </w:p>
        </w:tc>
        <w:tc>
          <w:tcPr>
            <w:tcW w:w="949"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A79A5" w:rsidRDefault="00FA79A5" w:rsidP="00EB5546">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07" w:type="dxa"/>
            <w:gridSpan w:val="2"/>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A79A5" w:rsidRDefault="00FA79A5" w:rsidP="00EB5546">
            <w:pPr>
              <w:jc w:val="center"/>
              <w:rPr>
                <w:rFonts w:ascii="Calibri" w:hAnsi="Calibri" w:cs="Calibri"/>
                <w:color w:val="000000"/>
                <w:sz w:val="20"/>
                <w:szCs w:val="20"/>
              </w:rPr>
            </w:pPr>
            <w:r>
              <w:rPr>
                <w:rFonts w:ascii="Calibri" w:hAnsi="Calibri" w:cs="Calibri"/>
                <w:color w:val="000000"/>
                <w:sz w:val="20"/>
                <w:szCs w:val="20"/>
              </w:rPr>
              <w:t>%</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All Staff</w:t>
            </w:r>
          </w:p>
        </w:tc>
        <w:tc>
          <w:tcPr>
            <w:tcW w:w="1519"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21</w:t>
            </w:r>
          </w:p>
        </w:tc>
        <w:tc>
          <w:tcPr>
            <w:tcW w:w="949"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46</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45.7</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 xml:space="preserve">Morph Trained </w:t>
            </w:r>
          </w:p>
        </w:tc>
        <w:tc>
          <w:tcPr>
            <w:tcW w:w="1519"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12</w:t>
            </w:r>
          </w:p>
        </w:tc>
        <w:tc>
          <w:tcPr>
            <w:tcW w:w="949"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22</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54.5</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 xml:space="preserve">Incomplete </w:t>
            </w:r>
          </w:p>
        </w:tc>
        <w:tc>
          <w:tcPr>
            <w:tcW w:w="1519"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2</w:t>
            </w:r>
          </w:p>
        </w:tc>
        <w:tc>
          <w:tcPr>
            <w:tcW w:w="949"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 </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4.3</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Routine</w:t>
            </w:r>
          </w:p>
        </w:tc>
        <w:tc>
          <w:tcPr>
            <w:tcW w:w="1519"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4</w:t>
            </w:r>
          </w:p>
        </w:tc>
        <w:tc>
          <w:tcPr>
            <w:tcW w:w="949"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12</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33.3</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 xml:space="preserve">SANDY </w:t>
            </w:r>
          </w:p>
        </w:tc>
        <w:tc>
          <w:tcPr>
            <w:tcW w:w="1519"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1</w:t>
            </w:r>
          </w:p>
        </w:tc>
        <w:tc>
          <w:tcPr>
            <w:tcW w:w="949"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3</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33.3</w:t>
            </w:r>
          </w:p>
        </w:tc>
      </w:tr>
      <w:tr w:rsidR="00EB5546" w:rsidTr="00EB5546">
        <w:tblPrEx>
          <w:tblCellMar>
            <w:left w:w="0" w:type="dxa"/>
            <w:right w:w="0" w:type="dxa"/>
          </w:tblCellMar>
        </w:tblPrEx>
        <w:trPr>
          <w:gridAfter w:val="1"/>
          <w:wAfter w:w="721" w:type="dxa"/>
          <w:trHeight w:val="118"/>
        </w:trPr>
        <w:tc>
          <w:tcPr>
            <w:tcW w:w="1732" w:type="dxa"/>
            <w:gridSpan w:val="2"/>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CORE</w:t>
            </w:r>
          </w:p>
        </w:tc>
        <w:tc>
          <w:tcPr>
            <w:tcW w:w="1519"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3</w:t>
            </w:r>
          </w:p>
        </w:tc>
        <w:tc>
          <w:tcPr>
            <w:tcW w:w="949"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8</w:t>
            </w:r>
          </w:p>
        </w:tc>
        <w:tc>
          <w:tcPr>
            <w:tcW w:w="1307" w:type="dxa"/>
            <w:gridSpan w:val="2"/>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37.5</w:t>
            </w:r>
          </w:p>
        </w:tc>
      </w:tr>
      <w:tr w:rsidR="00EB5546" w:rsidTr="00EB5546">
        <w:tblPrEx>
          <w:tblCellMar>
            <w:left w:w="0" w:type="dxa"/>
            <w:right w:w="0" w:type="dxa"/>
          </w:tblCellMar>
        </w:tblPrEx>
        <w:trPr>
          <w:gridAfter w:val="1"/>
          <w:wAfter w:w="721" w:type="dxa"/>
          <w:trHeight w:val="267"/>
        </w:trPr>
        <w:tc>
          <w:tcPr>
            <w:tcW w:w="1732" w:type="dxa"/>
            <w:gridSpan w:val="2"/>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Flow</w:t>
            </w:r>
          </w:p>
        </w:tc>
        <w:tc>
          <w:tcPr>
            <w:tcW w:w="1519" w:type="dxa"/>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1</w:t>
            </w:r>
          </w:p>
        </w:tc>
        <w:tc>
          <w:tcPr>
            <w:tcW w:w="949"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FA79A5" w:rsidRDefault="00FA79A5">
            <w:pPr>
              <w:jc w:val="center"/>
              <w:rPr>
                <w:rFonts w:ascii="Calibri" w:hAnsi="Calibri" w:cs="Calibri"/>
                <w:b/>
                <w:bCs/>
                <w:color w:val="000000"/>
                <w:sz w:val="20"/>
                <w:szCs w:val="20"/>
              </w:rPr>
            </w:pPr>
            <w:r>
              <w:rPr>
                <w:rFonts w:ascii="Calibri" w:hAnsi="Calibri" w:cs="Calibri"/>
                <w:b/>
                <w:bCs/>
                <w:color w:val="000000"/>
                <w:sz w:val="20"/>
                <w:szCs w:val="20"/>
              </w:rPr>
              <w:t>6</w:t>
            </w:r>
          </w:p>
        </w:tc>
        <w:tc>
          <w:tcPr>
            <w:tcW w:w="1307" w:type="dxa"/>
            <w:gridSpan w:val="2"/>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A79A5" w:rsidRDefault="00FA79A5">
            <w:pPr>
              <w:jc w:val="center"/>
              <w:rPr>
                <w:rFonts w:ascii="Calibri" w:hAnsi="Calibri" w:cs="Calibri"/>
                <w:color w:val="000000"/>
                <w:sz w:val="20"/>
                <w:szCs w:val="20"/>
              </w:rPr>
            </w:pPr>
            <w:r>
              <w:rPr>
                <w:rFonts w:ascii="Calibri" w:hAnsi="Calibri" w:cs="Calibri"/>
                <w:color w:val="000000"/>
                <w:sz w:val="20"/>
                <w:szCs w:val="20"/>
              </w:rPr>
              <w:t>16.7</w:t>
            </w:r>
          </w:p>
        </w:tc>
      </w:tr>
    </w:tbl>
    <w:p w:rsidR="0059200E" w:rsidRDefault="0059200E">
      <w:pPr>
        <w:rPr>
          <w:noProof/>
        </w:rPr>
        <w:sectPr w:rsidR="0059200E" w:rsidSect="0059200E">
          <w:pgSz w:w="11906" w:h="16838"/>
          <w:pgMar w:top="720" w:right="720" w:bottom="720" w:left="720" w:header="708" w:footer="708" w:gutter="0"/>
          <w:cols w:space="708"/>
          <w:docGrid w:linePitch="360"/>
        </w:sectPr>
      </w:pPr>
    </w:p>
    <w:p w:rsidR="00B42047" w:rsidRDefault="00B42047">
      <w:r>
        <w:rPr>
          <w:noProof/>
        </w:rPr>
        <w:lastRenderedPageBreak/>
        <w:drawing>
          <wp:inline distT="0" distB="0" distL="0" distR="0" wp14:anchorId="2CA885AF" wp14:editId="30DEE14E">
            <wp:extent cx="943732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86846" cy="3485295"/>
                    </a:xfrm>
                    <a:prstGeom prst="rect">
                      <a:avLst/>
                    </a:prstGeom>
                  </pic:spPr>
                </pic:pic>
              </a:graphicData>
            </a:graphic>
          </wp:inline>
        </w:drawing>
      </w:r>
    </w:p>
    <w:p w:rsidR="00B42047" w:rsidRDefault="00B42047">
      <w:r>
        <w:rPr>
          <w:noProof/>
        </w:rPr>
        <w:drawing>
          <wp:inline distT="0" distB="0" distL="0" distR="0" wp14:anchorId="722DC3A4" wp14:editId="1D8DDB7F">
            <wp:extent cx="6210300" cy="2656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3835" cy="2662466"/>
                    </a:xfrm>
                    <a:prstGeom prst="rect">
                      <a:avLst/>
                    </a:prstGeom>
                  </pic:spPr>
                </pic:pic>
              </a:graphicData>
            </a:graphic>
          </wp:inline>
        </w:drawing>
      </w:r>
    </w:p>
    <w:sectPr w:rsidR="00B42047" w:rsidSect="0059200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88"/>
    <w:rsid w:val="000014C6"/>
    <w:rsid w:val="00144C54"/>
    <w:rsid w:val="001C38EA"/>
    <w:rsid w:val="002900F8"/>
    <w:rsid w:val="00405AD3"/>
    <w:rsid w:val="004C7F55"/>
    <w:rsid w:val="004F66C3"/>
    <w:rsid w:val="00533EA0"/>
    <w:rsid w:val="0059200E"/>
    <w:rsid w:val="005E2B5C"/>
    <w:rsid w:val="00670011"/>
    <w:rsid w:val="00681B64"/>
    <w:rsid w:val="006C6288"/>
    <w:rsid w:val="00B42047"/>
    <w:rsid w:val="00B7323B"/>
    <w:rsid w:val="00C75793"/>
    <w:rsid w:val="00D74FEB"/>
    <w:rsid w:val="00D820E0"/>
    <w:rsid w:val="00EB5546"/>
    <w:rsid w:val="00EE6B75"/>
    <w:rsid w:val="00FA79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04B7E"/>
  <w15:chartTrackingRefBased/>
  <w15:docId w15:val="{F19475EF-549B-47BA-B105-169F5EED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343600">
      <w:bodyDiv w:val="1"/>
      <w:marLeft w:val="0"/>
      <w:marRight w:val="0"/>
      <w:marTop w:val="0"/>
      <w:marBottom w:val="0"/>
      <w:divBdr>
        <w:top w:val="none" w:sz="0" w:space="0" w:color="auto"/>
        <w:left w:val="none" w:sz="0" w:space="0" w:color="auto"/>
        <w:bottom w:val="none" w:sz="0" w:space="0" w:color="auto"/>
        <w:right w:val="none" w:sz="0" w:space="0" w:color="auto"/>
      </w:divBdr>
    </w:div>
    <w:div w:id="648704783">
      <w:bodyDiv w:val="1"/>
      <w:marLeft w:val="0"/>
      <w:marRight w:val="0"/>
      <w:marTop w:val="0"/>
      <w:marBottom w:val="0"/>
      <w:divBdr>
        <w:top w:val="none" w:sz="0" w:space="0" w:color="auto"/>
        <w:left w:val="none" w:sz="0" w:space="0" w:color="auto"/>
        <w:bottom w:val="none" w:sz="0" w:space="0" w:color="auto"/>
        <w:right w:val="none" w:sz="0" w:space="0" w:color="auto"/>
      </w:divBdr>
    </w:div>
    <w:div w:id="694043323">
      <w:bodyDiv w:val="1"/>
      <w:marLeft w:val="0"/>
      <w:marRight w:val="0"/>
      <w:marTop w:val="0"/>
      <w:marBottom w:val="0"/>
      <w:divBdr>
        <w:top w:val="none" w:sz="0" w:space="0" w:color="auto"/>
        <w:left w:val="none" w:sz="0" w:space="0" w:color="auto"/>
        <w:bottom w:val="none" w:sz="0" w:space="0" w:color="auto"/>
        <w:right w:val="none" w:sz="0" w:space="0" w:color="auto"/>
      </w:divBdr>
    </w:div>
    <w:div w:id="917055471">
      <w:bodyDiv w:val="1"/>
      <w:marLeft w:val="0"/>
      <w:marRight w:val="0"/>
      <w:marTop w:val="0"/>
      <w:marBottom w:val="0"/>
      <w:divBdr>
        <w:top w:val="none" w:sz="0" w:space="0" w:color="auto"/>
        <w:left w:val="none" w:sz="0" w:space="0" w:color="auto"/>
        <w:bottom w:val="none" w:sz="0" w:space="0" w:color="auto"/>
        <w:right w:val="none" w:sz="0" w:space="0" w:color="auto"/>
      </w:divBdr>
    </w:div>
    <w:div w:id="975377831">
      <w:bodyDiv w:val="1"/>
      <w:marLeft w:val="0"/>
      <w:marRight w:val="0"/>
      <w:marTop w:val="0"/>
      <w:marBottom w:val="0"/>
      <w:divBdr>
        <w:top w:val="none" w:sz="0" w:space="0" w:color="auto"/>
        <w:left w:val="none" w:sz="0" w:space="0" w:color="auto"/>
        <w:bottom w:val="none" w:sz="0" w:space="0" w:color="auto"/>
        <w:right w:val="none" w:sz="0" w:space="0" w:color="auto"/>
      </w:divBdr>
      <w:divsChild>
        <w:div w:id="1688484569">
          <w:marLeft w:val="0"/>
          <w:marRight w:val="0"/>
          <w:marTop w:val="0"/>
          <w:marBottom w:val="0"/>
          <w:divBdr>
            <w:top w:val="none" w:sz="0" w:space="0" w:color="auto"/>
            <w:left w:val="none" w:sz="0" w:space="0" w:color="auto"/>
            <w:bottom w:val="none" w:sz="0" w:space="0" w:color="auto"/>
            <w:right w:val="none" w:sz="0" w:space="0" w:color="auto"/>
          </w:divBdr>
          <w:divsChild>
            <w:div w:id="1856189456">
              <w:marLeft w:val="0"/>
              <w:marRight w:val="0"/>
              <w:marTop w:val="0"/>
              <w:marBottom w:val="0"/>
              <w:divBdr>
                <w:top w:val="none" w:sz="0" w:space="0" w:color="auto"/>
                <w:left w:val="none" w:sz="0" w:space="0" w:color="auto"/>
                <w:bottom w:val="none" w:sz="0" w:space="0" w:color="auto"/>
                <w:right w:val="none" w:sz="0" w:space="0" w:color="auto"/>
              </w:divBdr>
              <w:divsChild>
                <w:div w:id="1175802398">
                  <w:marLeft w:val="0"/>
                  <w:marRight w:val="0"/>
                  <w:marTop w:val="0"/>
                  <w:marBottom w:val="0"/>
                  <w:divBdr>
                    <w:top w:val="none" w:sz="0" w:space="0" w:color="auto"/>
                    <w:left w:val="none" w:sz="0" w:space="0" w:color="auto"/>
                    <w:bottom w:val="none" w:sz="0" w:space="0" w:color="auto"/>
                    <w:right w:val="none" w:sz="0" w:space="0" w:color="auto"/>
                  </w:divBdr>
                  <w:divsChild>
                    <w:div w:id="1156452842">
                      <w:marLeft w:val="0"/>
                      <w:marRight w:val="0"/>
                      <w:marTop w:val="0"/>
                      <w:marBottom w:val="0"/>
                      <w:divBdr>
                        <w:top w:val="none" w:sz="0" w:space="0" w:color="auto"/>
                        <w:left w:val="none" w:sz="0" w:space="0" w:color="auto"/>
                        <w:bottom w:val="none" w:sz="0" w:space="0" w:color="auto"/>
                        <w:right w:val="none" w:sz="0" w:space="0" w:color="auto"/>
                      </w:divBdr>
                      <w:divsChild>
                        <w:div w:id="33429700">
                          <w:marLeft w:val="0"/>
                          <w:marRight w:val="0"/>
                          <w:marTop w:val="15"/>
                          <w:marBottom w:val="0"/>
                          <w:divBdr>
                            <w:top w:val="none" w:sz="0" w:space="0" w:color="auto"/>
                            <w:left w:val="none" w:sz="0" w:space="0" w:color="auto"/>
                            <w:bottom w:val="none" w:sz="0" w:space="0" w:color="auto"/>
                            <w:right w:val="none" w:sz="0" w:space="0" w:color="auto"/>
                          </w:divBdr>
                          <w:divsChild>
                            <w:div w:id="1958482351">
                              <w:marLeft w:val="0"/>
                              <w:marRight w:val="0"/>
                              <w:marTop w:val="0"/>
                              <w:marBottom w:val="0"/>
                              <w:divBdr>
                                <w:top w:val="none" w:sz="0" w:space="0" w:color="auto"/>
                                <w:left w:val="none" w:sz="0" w:space="0" w:color="auto"/>
                                <w:bottom w:val="none" w:sz="0" w:space="0" w:color="auto"/>
                                <w:right w:val="none" w:sz="0" w:space="0" w:color="auto"/>
                              </w:divBdr>
                            </w:div>
                          </w:divsChild>
                        </w:div>
                        <w:div w:id="385109630">
                          <w:marLeft w:val="0"/>
                          <w:marRight w:val="0"/>
                          <w:marTop w:val="15"/>
                          <w:marBottom w:val="0"/>
                          <w:divBdr>
                            <w:top w:val="none" w:sz="0" w:space="0" w:color="auto"/>
                            <w:left w:val="none" w:sz="0" w:space="0" w:color="auto"/>
                            <w:bottom w:val="none" w:sz="0" w:space="0" w:color="auto"/>
                            <w:right w:val="none" w:sz="0" w:space="0" w:color="auto"/>
                          </w:divBdr>
                          <w:divsChild>
                            <w:div w:id="7656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472942">
      <w:bodyDiv w:val="1"/>
      <w:marLeft w:val="0"/>
      <w:marRight w:val="0"/>
      <w:marTop w:val="0"/>
      <w:marBottom w:val="0"/>
      <w:divBdr>
        <w:top w:val="none" w:sz="0" w:space="0" w:color="auto"/>
        <w:left w:val="none" w:sz="0" w:space="0" w:color="auto"/>
        <w:bottom w:val="none" w:sz="0" w:space="0" w:color="auto"/>
        <w:right w:val="none" w:sz="0" w:space="0" w:color="auto"/>
      </w:divBdr>
    </w:div>
    <w:div w:id="2017685486">
      <w:bodyDiv w:val="1"/>
      <w:marLeft w:val="0"/>
      <w:marRight w:val="0"/>
      <w:marTop w:val="0"/>
      <w:marBottom w:val="0"/>
      <w:divBdr>
        <w:top w:val="none" w:sz="0" w:space="0" w:color="auto"/>
        <w:left w:val="none" w:sz="0" w:space="0" w:color="auto"/>
        <w:bottom w:val="none" w:sz="0" w:space="0" w:color="auto"/>
        <w:right w:val="none" w:sz="0" w:space="0" w:color="auto"/>
      </w:divBdr>
    </w:div>
    <w:div w:id="2037925675">
      <w:bodyDiv w:val="1"/>
      <w:marLeft w:val="0"/>
      <w:marRight w:val="0"/>
      <w:marTop w:val="0"/>
      <w:marBottom w:val="0"/>
      <w:divBdr>
        <w:top w:val="none" w:sz="0" w:space="0" w:color="auto"/>
        <w:left w:val="none" w:sz="0" w:space="0" w:color="auto"/>
        <w:bottom w:val="none" w:sz="0" w:space="0" w:color="auto"/>
        <w:right w:val="none" w:sz="0" w:space="0" w:color="auto"/>
      </w:divBdr>
    </w:div>
    <w:div w:id="208996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7</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9</cp:revision>
  <dcterms:created xsi:type="dcterms:W3CDTF">2021-08-03T06:41:00Z</dcterms:created>
  <dcterms:modified xsi:type="dcterms:W3CDTF">2021-08-05T07:25:00Z</dcterms:modified>
</cp:coreProperties>
</file>