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11BD" w:rsidRDefault="00B111BD" w:rsidP="00B111BD">
      <w:pPr>
        <w:shd w:val="clear" w:color="auto" w:fill="FFFFFF"/>
        <w:spacing w:after="0" w:line="240" w:lineRule="auto"/>
        <w:rPr>
          <w:rFonts w:ascii="Arial" w:eastAsia="Times New Roman" w:hAnsi="Arial" w:cs="Arial"/>
          <w:sz w:val="27"/>
          <w:szCs w:val="27"/>
          <w:lang w:eastAsia="en-AU"/>
        </w:rPr>
      </w:pPr>
      <w:r w:rsidRPr="00B111BD">
        <w:rPr>
          <w:rFonts w:ascii="Arial" w:eastAsia="Times New Roman" w:hAnsi="Arial" w:cs="Arial"/>
          <w:sz w:val="27"/>
          <w:szCs w:val="27"/>
          <w:lang w:eastAsia="en-AU"/>
        </w:rPr>
        <w:t xml:space="preserve">CASE STUDY: HA-MO-21-06 </w:t>
      </w:r>
    </w:p>
    <w:p w:rsidR="00B111BD" w:rsidRDefault="00B111BD" w:rsidP="00B111BD">
      <w:pPr>
        <w:shd w:val="clear" w:color="auto" w:fill="FFFFFF"/>
        <w:spacing w:after="0" w:line="240" w:lineRule="auto"/>
        <w:rPr>
          <w:rFonts w:ascii="Arial" w:eastAsia="Times New Roman" w:hAnsi="Arial" w:cs="Arial"/>
          <w:sz w:val="26"/>
          <w:szCs w:val="26"/>
          <w:lang w:eastAsia="en-AU"/>
        </w:rPr>
      </w:pPr>
    </w:p>
    <w:p w:rsidR="00B111BD" w:rsidRPr="00B111BD" w:rsidRDefault="00B111BD" w:rsidP="00B111BD">
      <w:pPr>
        <w:shd w:val="clear" w:color="auto" w:fill="FFFFFF"/>
        <w:spacing w:after="0" w:line="240" w:lineRule="auto"/>
        <w:rPr>
          <w:rFonts w:ascii="Arial" w:eastAsia="Times New Roman" w:hAnsi="Arial" w:cs="Arial"/>
          <w:b/>
          <w:sz w:val="26"/>
          <w:szCs w:val="26"/>
          <w:lang w:eastAsia="en-AU"/>
        </w:rPr>
      </w:pPr>
      <w:r w:rsidRPr="00B111BD">
        <w:rPr>
          <w:rFonts w:ascii="Arial" w:eastAsia="Times New Roman" w:hAnsi="Arial" w:cs="Arial"/>
          <w:b/>
          <w:sz w:val="26"/>
          <w:szCs w:val="26"/>
          <w:lang w:eastAsia="en-AU"/>
        </w:rPr>
        <w:t>B-cell prolymphocytic leukaemia</w:t>
      </w:r>
    </w:p>
    <w:p w:rsidR="00B111BD" w:rsidRDefault="00B111BD" w:rsidP="00B111BD">
      <w:pPr>
        <w:shd w:val="clear" w:color="auto" w:fill="FFFFFF"/>
        <w:spacing w:after="0" w:line="240" w:lineRule="auto"/>
        <w:rPr>
          <w:rFonts w:ascii="Arial" w:eastAsia="Times New Roman" w:hAnsi="Arial" w:cs="Arial"/>
          <w:sz w:val="26"/>
          <w:szCs w:val="26"/>
          <w:lang w:eastAsia="en-AU"/>
        </w:rPr>
      </w:pPr>
    </w:p>
    <w:p w:rsidR="00B111BD" w:rsidRDefault="00B111BD" w:rsidP="00B111BD">
      <w:pPr>
        <w:shd w:val="clear" w:color="auto" w:fill="FFFFFF"/>
        <w:spacing w:after="0" w:line="240" w:lineRule="auto"/>
        <w:rPr>
          <w:rFonts w:ascii="Arial" w:eastAsia="Times New Roman" w:hAnsi="Arial" w:cs="Arial"/>
          <w:sz w:val="26"/>
          <w:szCs w:val="26"/>
          <w:lang w:eastAsia="en-AU"/>
        </w:rPr>
      </w:pPr>
      <w:proofErr w:type="gramStart"/>
      <w:r w:rsidRPr="00B111BD">
        <w:rPr>
          <w:rFonts w:ascii="Arial" w:eastAsia="Times New Roman" w:hAnsi="Arial" w:cs="Arial"/>
          <w:sz w:val="26"/>
          <w:szCs w:val="26"/>
          <w:lang w:eastAsia="en-AU"/>
        </w:rPr>
        <w:t>92 year old</w:t>
      </w:r>
      <w:proofErr w:type="gramEnd"/>
      <w:r w:rsidRPr="00B111BD">
        <w:rPr>
          <w:rFonts w:ascii="Arial" w:eastAsia="Times New Roman" w:hAnsi="Arial" w:cs="Arial"/>
          <w:sz w:val="26"/>
          <w:szCs w:val="26"/>
          <w:lang w:eastAsia="en-AU"/>
        </w:rPr>
        <w:t xml:space="preserve"> male with chronic obstructive pulmonary disease </w:t>
      </w:r>
    </w:p>
    <w:p w:rsidR="00B111BD" w:rsidRDefault="00B111BD" w:rsidP="00B111BD">
      <w:pPr>
        <w:shd w:val="clear" w:color="auto" w:fill="FFFFFF"/>
        <w:spacing w:after="0" w:line="240" w:lineRule="auto"/>
        <w:rPr>
          <w:rFonts w:ascii="Arial" w:eastAsia="Times New Roman" w:hAnsi="Arial" w:cs="Arial"/>
          <w:sz w:val="26"/>
          <w:szCs w:val="26"/>
          <w:lang w:eastAsia="en-AU"/>
        </w:rPr>
      </w:pPr>
      <w:r w:rsidRPr="00B111BD">
        <w:rPr>
          <w:rFonts w:ascii="Arial" w:eastAsia="Times New Roman" w:hAnsi="Arial" w:cs="Arial"/>
          <w:sz w:val="26"/>
          <w:szCs w:val="26"/>
          <w:lang w:eastAsia="en-AU"/>
        </w:rPr>
        <w:t>WCC: 84.1 x 10</w:t>
      </w:r>
      <w:r w:rsidRPr="00B111BD">
        <w:rPr>
          <w:rFonts w:ascii="Arial" w:eastAsia="Times New Roman" w:hAnsi="Arial" w:cs="Arial"/>
          <w:sz w:val="17"/>
          <w:szCs w:val="17"/>
          <w:lang w:eastAsia="en-AU"/>
        </w:rPr>
        <w:t>9</w:t>
      </w:r>
      <w:r w:rsidRPr="00B111BD">
        <w:rPr>
          <w:rFonts w:ascii="Arial" w:eastAsia="Times New Roman" w:hAnsi="Arial" w:cs="Arial"/>
          <w:sz w:val="26"/>
          <w:szCs w:val="26"/>
          <w:lang w:eastAsia="en-AU"/>
        </w:rPr>
        <w:t xml:space="preserve">/L </w:t>
      </w:r>
    </w:p>
    <w:p w:rsidR="0057583B" w:rsidRDefault="00B111BD" w:rsidP="00B111BD">
      <w:pPr>
        <w:shd w:val="clear" w:color="auto" w:fill="FFFFFF"/>
        <w:spacing w:after="0" w:line="240" w:lineRule="auto"/>
        <w:rPr>
          <w:rFonts w:ascii="Arial" w:eastAsia="Times New Roman" w:hAnsi="Arial" w:cs="Arial"/>
          <w:sz w:val="26"/>
          <w:szCs w:val="26"/>
          <w:lang w:eastAsia="en-AU"/>
        </w:rPr>
      </w:pPr>
      <w:r w:rsidRPr="00B111BD">
        <w:rPr>
          <w:rFonts w:ascii="Arial" w:eastAsia="Times New Roman" w:hAnsi="Arial" w:cs="Arial"/>
          <w:sz w:val="26"/>
          <w:szCs w:val="26"/>
          <w:lang w:eastAsia="en-AU"/>
        </w:rPr>
        <w:t>RCC: 4.2 x 10</w:t>
      </w:r>
      <w:r w:rsidRPr="00B111BD">
        <w:rPr>
          <w:rFonts w:ascii="Arial" w:eastAsia="Times New Roman" w:hAnsi="Arial" w:cs="Arial"/>
          <w:sz w:val="17"/>
          <w:szCs w:val="17"/>
          <w:lang w:eastAsia="en-AU"/>
        </w:rPr>
        <w:t>12</w:t>
      </w:r>
      <w:r w:rsidRPr="00B111BD">
        <w:rPr>
          <w:rFonts w:ascii="Arial" w:eastAsia="Times New Roman" w:hAnsi="Arial" w:cs="Arial"/>
          <w:sz w:val="26"/>
          <w:szCs w:val="26"/>
          <w:lang w:eastAsia="en-AU"/>
        </w:rPr>
        <w:t>/L</w:t>
      </w:r>
    </w:p>
    <w:p w:rsidR="00B111BD" w:rsidRDefault="00B111BD" w:rsidP="00B111BD">
      <w:pPr>
        <w:shd w:val="clear" w:color="auto" w:fill="FFFFFF"/>
        <w:spacing w:after="0" w:line="240" w:lineRule="auto"/>
        <w:rPr>
          <w:rFonts w:ascii="Arial" w:eastAsia="Times New Roman" w:hAnsi="Arial" w:cs="Arial"/>
          <w:sz w:val="26"/>
          <w:szCs w:val="26"/>
          <w:lang w:eastAsia="en-AU"/>
        </w:rPr>
      </w:pPr>
      <w:bookmarkStart w:id="0" w:name="_GoBack"/>
      <w:bookmarkEnd w:id="0"/>
      <w:r w:rsidRPr="00B111BD">
        <w:rPr>
          <w:rFonts w:ascii="Arial" w:eastAsia="Times New Roman" w:hAnsi="Arial" w:cs="Arial"/>
          <w:sz w:val="26"/>
          <w:szCs w:val="26"/>
          <w:lang w:eastAsia="en-AU"/>
        </w:rPr>
        <w:t>Hb: 103 g/L</w:t>
      </w:r>
    </w:p>
    <w:p w:rsidR="00B111BD" w:rsidRDefault="00B111BD" w:rsidP="00B111BD">
      <w:pPr>
        <w:shd w:val="clear" w:color="auto" w:fill="FFFFFF"/>
        <w:spacing w:after="0" w:line="240" w:lineRule="auto"/>
        <w:rPr>
          <w:rFonts w:ascii="Arial" w:eastAsia="Times New Roman" w:hAnsi="Arial" w:cs="Arial"/>
          <w:sz w:val="26"/>
          <w:szCs w:val="26"/>
          <w:lang w:eastAsia="en-AU"/>
        </w:rPr>
      </w:pPr>
      <w:r w:rsidRPr="00B111BD">
        <w:rPr>
          <w:rFonts w:ascii="Arial" w:eastAsia="Times New Roman" w:hAnsi="Arial" w:cs="Arial"/>
          <w:sz w:val="26"/>
          <w:szCs w:val="26"/>
          <w:lang w:eastAsia="en-AU"/>
        </w:rPr>
        <w:t xml:space="preserve">MCV: 76.4 </w:t>
      </w:r>
      <w:proofErr w:type="spellStart"/>
      <w:r w:rsidRPr="00B111BD">
        <w:rPr>
          <w:rFonts w:ascii="Arial" w:eastAsia="Times New Roman" w:hAnsi="Arial" w:cs="Arial"/>
          <w:sz w:val="26"/>
          <w:szCs w:val="26"/>
          <w:lang w:eastAsia="en-AU"/>
        </w:rPr>
        <w:t>fL</w:t>
      </w:r>
      <w:proofErr w:type="spellEnd"/>
    </w:p>
    <w:p w:rsidR="00B111BD" w:rsidRDefault="00B111BD" w:rsidP="00B111BD">
      <w:pPr>
        <w:shd w:val="clear" w:color="auto" w:fill="FFFFFF"/>
        <w:spacing w:after="0" w:line="240" w:lineRule="auto"/>
        <w:rPr>
          <w:rFonts w:ascii="Arial" w:eastAsia="Times New Roman" w:hAnsi="Arial" w:cs="Arial"/>
          <w:sz w:val="26"/>
          <w:szCs w:val="26"/>
          <w:lang w:eastAsia="en-AU"/>
        </w:rPr>
      </w:pPr>
      <w:r w:rsidRPr="00B111BD">
        <w:rPr>
          <w:rFonts w:ascii="Arial" w:eastAsia="Times New Roman" w:hAnsi="Arial" w:cs="Arial"/>
          <w:sz w:val="26"/>
          <w:szCs w:val="26"/>
          <w:lang w:eastAsia="en-AU"/>
        </w:rPr>
        <w:t xml:space="preserve">MCH: 24.5 </w:t>
      </w:r>
      <w:proofErr w:type="spellStart"/>
      <w:r w:rsidRPr="00B111BD">
        <w:rPr>
          <w:rFonts w:ascii="Arial" w:eastAsia="Times New Roman" w:hAnsi="Arial" w:cs="Arial"/>
          <w:sz w:val="26"/>
          <w:szCs w:val="26"/>
          <w:lang w:eastAsia="en-AU"/>
        </w:rPr>
        <w:t>pg</w:t>
      </w:r>
      <w:proofErr w:type="spellEnd"/>
    </w:p>
    <w:p w:rsidR="00B111BD" w:rsidRDefault="00B111BD" w:rsidP="00B111BD">
      <w:pPr>
        <w:shd w:val="clear" w:color="auto" w:fill="FFFFFF"/>
        <w:spacing w:after="0" w:line="240" w:lineRule="auto"/>
        <w:rPr>
          <w:rFonts w:ascii="Arial" w:eastAsia="Times New Roman" w:hAnsi="Arial" w:cs="Arial"/>
          <w:sz w:val="26"/>
          <w:szCs w:val="26"/>
          <w:lang w:eastAsia="en-AU"/>
        </w:rPr>
      </w:pPr>
      <w:r w:rsidRPr="00B111BD">
        <w:rPr>
          <w:rFonts w:ascii="Arial" w:eastAsia="Times New Roman" w:hAnsi="Arial" w:cs="Arial"/>
          <w:sz w:val="26"/>
          <w:szCs w:val="26"/>
          <w:lang w:eastAsia="en-AU"/>
        </w:rPr>
        <w:t>MCHC: 321 g/L</w:t>
      </w:r>
    </w:p>
    <w:p w:rsidR="00B111BD" w:rsidRDefault="00B111BD" w:rsidP="00B111BD">
      <w:pPr>
        <w:shd w:val="clear" w:color="auto" w:fill="FFFFFF"/>
        <w:spacing w:after="0" w:line="240" w:lineRule="auto"/>
        <w:rPr>
          <w:rFonts w:ascii="Arial" w:eastAsia="Times New Roman" w:hAnsi="Arial" w:cs="Arial"/>
          <w:sz w:val="26"/>
          <w:szCs w:val="26"/>
          <w:lang w:eastAsia="en-AU"/>
        </w:rPr>
      </w:pPr>
      <w:r w:rsidRPr="00B111BD">
        <w:rPr>
          <w:rFonts w:ascii="Arial" w:eastAsia="Times New Roman" w:hAnsi="Arial" w:cs="Arial"/>
          <w:sz w:val="26"/>
          <w:szCs w:val="26"/>
          <w:lang w:eastAsia="en-AU"/>
        </w:rPr>
        <w:t>PLT: 121 x 10</w:t>
      </w:r>
      <w:r w:rsidRPr="00B111BD">
        <w:rPr>
          <w:rFonts w:ascii="Arial" w:eastAsia="Times New Roman" w:hAnsi="Arial" w:cs="Arial"/>
          <w:sz w:val="17"/>
          <w:szCs w:val="17"/>
          <w:lang w:eastAsia="en-AU"/>
        </w:rPr>
        <w:t>9</w:t>
      </w:r>
      <w:r w:rsidRPr="00B111BD">
        <w:rPr>
          <w:rFonts w:ascii="Arial" w:eastAsia="Times New Roman" w:hAnsi="Arial" w:cs="Arial"/>
          <w:sz w:val="26"/>
          <w:szCs w:val="26"/>
          <w:lang w:eastAsia="en-AU"/>
        </w:rPr>
        <w:t>/L</w:t>
      </w:r>
    </w:p>
    <w:p w:rsidR="00B111BD" w:rsidRDefault="00B111BD" w:rsidP="00B111BD">
      <w:pPr>
        <w:shd w:val="clear" w:color="auto" w:fill="FFFFFF"/>
        <w:spacing w:after="0" w:line="240" w:lineRule="auto"/>
        <w:rPr>
          <w:rFonts w:ascii="Arial" w:eastAsia="Times New Roman" w:hAnsi="Arial" w:cs="Arial"/>
          <w:sz w:val="26"/>
          <w:szCs w:val="26"/>
          <w:lang w:eastAsia="en-AU"/>
        </w:rPr>
      </w:pPr>
    </w:p>
    <w:p w:rsidR="00B111BD" w:rsidRDefault="00B111BD" w:rsidP="00B111BD">
      <w:pPr>
        <w:shd w:val="clear" w:color="auto" w:fill="FFFFFF"/>
        <w:spacing w:after="0" w:line="240" w:lineRule="auto"/>
        <w:rPr>
          <w:rFonts w:ascii="Arial" w:eastAsia="Times New Roman" w:hAnsi="Arial" w:cs="Arial"/>
          <w:sz w:val="26"/>
          <w:szCs w:val="26"/>
          <w:lang w:eastAsia="en-AU"/>
        </w:rPr>
      </w:pPr>
      <w:r w:rsidRPr="00B111BD">
        <w:rPr>
          <w:rFonts w:ascii="Arial" w:eastAsia="Times New Roman" w:hAnsi="Arial" w:cs="Arial"/>
          <w:sz w:val="26"/>
          <w:szCs w:val="26"/>
          <w:lang w:eastAsia="en-AU"/>
        </w:rPr>
        <w:t>This film showed a lymphocytosis with a predominance of medium-sized abnormal lymphoid cells with round or slightly indented nuclei, moderately condensed chromatin, a prominent central nucleolus and faintly basophilic cytoplasm. The red cells were hypochromic and microcytic with increased polychromasia and small numbers of elliptocytes and the platelets showed normal morphology. The white cell features described are consistent with B-cell prolymphocytic leukaemia (B-PLL).</w:t>
      </w:r>
    </w:p>
    <w:p w:rsidR="00B111BD" w:rsidRDefault="00B111BD" w:rsidP="00B111BD">
      <w:pPr>
        <w:shd w:val="clear" w:color="auto" w:fill="FFFFFF"/>
        <w:spacing w:after="0" w:line="240" w:lineRule="auto"/>
        <w:rPr>
          <w:rFonts w:ascii="Arial" w:eastAsia="Times New Roman" w:hAnsi="Arial" w:cs="Arial"/>
          <w:sz w:val="26"/>
          <w:szCs w:val="26"/>
          <w:lang w:eastAsia="en-AU"/>
        </w:rPr>
      </w:pPr>
    </w:p>
    <w:p w:rsidR="00B111BD" w:rsidRDefault="005503F3" w:rsidP="00B111BD">
      <w:pPr>
        <w:shd w:val="clear" w:color="auto" w:fill="FFFFFF"/>
        <w:spacing w:after="0" w:line="240" w:lineRule="auto"/>
        <w:rPr>
          <w:rFonts w:ascii="Arial" w:eastAsia="Times New Roman" w:hAnsi="Arial" w:cs="Arial"/>
          <w:sz w:val="26"/>
          <w:szCs w:val="26"/>
          <w:lang w:eastAsia="en-AU"/>
        </w:rPr>
      </w:pPr>
      <w:r>
        <w:rPr>
          <w:noProof/>
        </w:rPr>
        <w:drawing>
          <wp:inline distT="0" distB="0" distL="0" distR="0" wp14:anchorId="0DFC199C" wp14:editId="50AEA789">
            <wp:extent cx="5731510" cy="42849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284980"/>
                    </a:xfrm>
                    <a:prstGeom prst="rect">
                      <a:avLst/>
                    </a:prstGeom>
                  </pic:spPr>
                </pic:pic>
              </a:graphicData>
            </a:graphic>
          </wp:inline>
        </w:drawing>
      </w:r>
    </w:p>
    <w:p w:rsidR="00B111BD" w:rsidRDefault="00B111BD" w:rsidP="00B111BD">
      <w:pPr>
        <w:shd w:val="clear" w:color="auto" w:fill="FFFFFF"/>
        <w:spacing w:after="0" w:line="240" w:lineRule="auto"/>
        <w:rPr>
          <w:rFonts w:ascii="Arial" w:eastAsia="Times New Roman" w:hAnsi="Arial" w:cs="Arial"/>
          <w:sz w:val="26"/>
          <w:szCs w:val="26"/>
          <w:lang w:eastAsia="en-AU"/>
        </w:rPr>
      </w:pPr>
    </w:p>
    <w:p w:rsidR="005D4F46" w:rsidRDefault="005D4F46" w:rsidP="00B111BD">
      <w:pPr>
        <w:shd w:val="clear" w:color="auto" w:fill="FFFFFF"/>
        <w:spacing w:after="0" w:line="240" w:lineRule="auto"/>
        <w:rPr>
          <w:rFonts w:ascii="Arial" w:eastAsia="Times New Roman" w:hAnsi="Arial" w:cs="Arial"/>
          <w:sz w:val="26"/>
          <w:szCs w:val="26"/>
          <w:lang w:eastAsia="en-AU"/>
        </w:rPr>
      </w:pPr>
      <w:r>
        <w:rPr>
          <w:noProof/>
        </w:rPr>
        <w:lastRenderedPageBreak/>
        <w:drawing>
          <wp:inline distT="0" distB="0" distL="0" distR="0" wp14:anchorId="7915A53F" wp14:editId="24CC07B7">
            <wp:extent cx="1609725" cy="1247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09725" cy="1247775"/>
                    </a:xfrm>
                    <a:prstGeom prst="rect">
                      <a:avLst/>
                    </a:prstGeom>
                  </pic:spPr>
                </pic:pic>
              </a:graphicData>
            </a:graphic>
          </wp:inline>
        </w:drawing>
      </w:r>
    </w:p>
    <w:p w:rsidR="00502D86" w:rsidRDefault="00B111BD" w:rsidP="00B111BD">
      <w:pPr>
        <w:shd w:val="clear" w:color="auto" w:fill="FFFFFF"/>
        <w:spacing w:after="0" w:line="240" w:lineRule="auto"/>
        <w:rPr>
          <w:rFonts w:ascii="Arial" w:eastAsia="Times New Roman" w:hAnsi="Arial" w:cs="Arial"/>
          <w:sz w:val="26"/>
          <w:szCs w:val="26"/>
          <w:lang w:eastAsia="en-AU"/>
        </w:rPr>
      </w:pPr>
      <w:r w:rsidRPr="00B111BD">
        <w:rPr>
          <w:rFonts w:ascii="Arial" w:eastAsia="Times New Roman" w:hAnsi="Arial" w:cs="Arial"/>
          <w:sz w:val="26"/>
          <w:szCs w:val="26"/>
          <w:lang w:eastAsia="en-AU"/>
        </w:rPr>
        <w:t>The majority of participants identified the lymphocytosis and recognised the abnormal lymphoid cells as prolymphocytes; both these features were considered essential diagnostic features and attracted scores of 10. The response of "Lymphocytes-abnormal" - was a significant comment and allocated a score of 5. The red cell features suggested a concurrent iron deficiency, however, these were of lesser significance for the diagnosis and scored accordingly, as was the normal platelet morphology.</w:t>
      </w:r>
    </w:p>
    <w:p w:rsidR="002E1AF0" w:rsidRDefault="00B111BD" w:rsidP="00B111BD">
      <w:pPr>
        <w:shd w:val="clear" w:color="auto" w:fill="FFFFFF"/>
        <w:spacing w:after="0" w:line="240" w:lineRule="auto"/>
        <w:rPr>
          <w:rFonts w:ascii="Arial" w:eastAsia="Times New Roman" w:hAnsi="Arial" w:cs="Arial"/>
          <w:sz w:val="26"/>
          <w:szCs w:val="26"/>
          <w:lang w:eastAsia="en-AU"/>
        </w:rPr>
      </w:pPr>
      <w:r w:rsidRPr="00B111BD">
        <w:rPr>
          <w:rFonts w:ascii="Arial" w:eastAsia="Times New Roman" w:hAnsi="Arial" w:cs="Arial"/>
          <w:sz w:val="26"/>
          <w:szCs w:val="26"/>
          <w:lang w:eastAsia="en-AU"/>
        </w:rPr>
        <w:t xml:space="preserve">B-PLL is a neoplasm of B-cell prolymphocytes affecting the peripheral blood, bone marrow and spleen, with the majority (&gt;55% and usually &gt;90%) of the circulating cells being prolymphocytes. The typical morphology of these cells is as described above. The bone marrow in this case showed an interstitial and nodular intertrabecular infiltration of lymphoid cells similar to those found in peripheral blood. </w:t>
      </w:r>
    </w:p>
    <w:p w:rsidR="00B111BD" w:rsidRPr="00B111BD" w:rsidRDefault="00B111BD" w:rsidP="00B111BD">
      <w:pPr>
        <w:shd w:val="clear" w:color="auto" w:fill="FFFFFF"/>
        <w:spacing w:after="0" w:line="240" w:lineRule="auto"/>
        <w:rPr>
          <w:rFonts w:ascii="Times New Roman" w:eastAsia="Times New Roman" w:hAnsi="Times New Roman" w:cs="Times New Roman"/>
          <w:sz w:val="15"/>
          <w:szCs w:val="15"/>
          <w:lang w:eastAsia="en-AU"/>
        </w:rPr>
      </w:pPr>
      <w:r w:rsidRPr="00B111BD">
        <w:rPr>
          <w:rFonts w:ascii="Arial" w:eastAsia="Times New Roman" w:hAnsi="Arial" w:cs="Arial"/>
          <w:sz w:val="26"/>
          <w:szCs w:val="26"/>
          <w:lang w:eastAsia="en-AU"/>
        </w:rPr>
        <w:t xml:space="preserve">B-PLL is a rare condition, accounting for approximately 1% of lymphocytic </w:t>
      </w:r>
      <w:proofErr w:type="spellStart"/>
      <w:r w:rsidRPr="00B111BD">
        <w:rPr>
          <w:rFonts w:ascii="Arial" w:eastAsia="Times New Roman" w:hAnsi="Arial" w:cs="Arial"/>
          <w:sz w:val="26"/>
          <w:szCs w:val="26"/>
          <w:lang w:eastAsia="en-AU"/>
        </w:rPr>
        <w:t>leukaemias</w:t>
      </w:r>
      <w:proofErr w:type="spellEnd"/>
      <w:r w:rsidRPr="00B111BD">
        <w:rPr>
          <w:rFonts w:ascii="Arial" w:eastAsia="Times New Roman" w:hAnsi="Arial" w:cs="Arial"/>
          <w:sz w:val="26"/>
          <w:szCs w:val="26"/>
          <w:lang w:eastAsia="en-AU"/>
        </w:rPr>
        <w:t>. Most patients are aged &gt;60 years, and the frequencies in males and females is similar. Classically most patients present with B symptoms, massive splenomegaly with absent or minimal peripheral lymphadenopathy, and a rapidly increasing lymphocyte count. Anaemia and thrombocytopenia are seen in 50% of cases.</w:t>
      </w:r>
      <w:r w:rsidRPr="00B111BD">
        <w:rPr>
          <w:rFonts w:ascii="Arial" w:eastAsia="Times New Roman" w:hAnsi="Arial" w:cs="Arial"/>
          <w:sz w:val="17"/>
          <w:szCs w:val="17"/>
          <w:lang w:eastAsia="en-AU"/>
        </w:rPr>
        <w:t>1</w:t>
      </w:r>
      <w:r w:rsidRPr="00B111BD">
        <w:rPr>
          <w:rFonts w:ascii="Arial" w:eastAsia="Times New Roman" w:hAnsi="Arial" w:cs="Arial"/>
          <w:sz w:val="26"/>
          <w:szCs w:val="26"/>
          <w:lang w:eastAsia="en-AU"/>
        </w:rPr>
        <w:t xml:space="preserve">The vast majority of participants submitted a diagnosis of B-PLL, the most likely diagnosis based on the morphological features. Other diagnoses submitted were scored 2 in recognition of some of the features present. </w:t>
      </w:r>
    </w:p>
    <w:p w:rsidR="002E1AF0" w:rsidRDefault="00B111BD" w:rsidP="00B111BD">
      <w:pPr>
        <w:shd w:val="clear" w:color="auto" w:fill="FFFFFF"/>
        <w:spacing w:after="0" w:line="240" w:lineRule="auto"/>
        <w:rPr>
          <w:rFonts w:ascii="Arial" w:eastAsia="Times New Roman" w:hAnsi="Arial" w:cs="Arial"/>
          <w:sz w:val="26"/>
          <w:szCs w:val="26"/>
          <w:lang w:eastAsia="en-AU"/>
        </w:rPr>
      </w:pPr>
      <w:r w:rsidRPr="00B111BD">
        <w:rPr>
          <w:rFonts w:ascii="Arial" w:eastAsia="Times New Roman" w:hAnsi="Arial" w:cs="Arial"/>
          <w:sz w:val="26"/>
          <w:szCs w:val="26"/>
          <w:lang w:eastAsia="en-AU"/>
        </w:rPr>
        <w:t>The immunophenotype of this patient was in keeping with B-PLL, with the cells expressing sig CD19 (94%) kappa (94%) and the B lineage markers CD19 (96%), CD20 (96%), CD22 (96%), FMC7 (96%). CD10 and T lineage markers were not expressed.</w:t>
      </w:r>
    </w:p>
    <w:p w:rsidR="002E1AF0" w:rsidRDefault="002E1AF0" w:rsidP="00B111BD">
      <w:pPr>
        <w:shd w:val="clear" w:color="auto" w:fill="FFFFFF"/>
        <w:spacing w:after="0" w:line="240" w:lineRule="auto"/>
        <w:rPr>
          <w:rFonts w:ascii="Arial" w:eastAsia="Times New Roman" w:hAnsi="Arial" w:cs="Arial"/>
          <w:sz w:val="26"/>
          <w:szCs w:val="26"/>
          <w:lang w:eastAsia="en-AU"/>
        </w:rPr>
      </w:pPr>
    </w:p>
    <w:p w:rsidR="007D254E" w:rsidRPr="0057583B" w:rsidRDefault="007D254E" w:rsidP="00B111BD">
      <w:pPr>
        <w:shd w:val="clear" w:color="auto" w:fill="FFFFFF"/>
        <w:spacing w:after="0" w:line="240" w:lineRule="auto"/>
        <w:rPr>
          <w:rFonts w:ascii="Arial" w:eastAsia="Times New Roman" w:hAnsi="Arial" w:cs="Arial"/>
          <w:sz w:val="26"/>
          <w:szCs w:val="26"/>
          <w:lang w:eastAsia="en-AU"/>
        </w:rPr>
      </w:pPr>
      <w:r w:rsidRPr="0057583B">
        <w:rPr>
          <w:rFonts w:ascii="Arial" w:eastAsia="Times New Roman" w:hAnsi="Arial" w:cs="Arial"/>
          <w:sz w:val="26"/>
          <w:szCs w:val="26"/>
          <w:lang w:eastAsia="en-AU"/>
        </w:rPr>
        <w:t>B-PLL strongly express surface IgM plus B-cell antigens (CD19, CD20, CD22, CD79a and FMC7). Approximately 1/3 of cases will express CD5</w:t>
      </w:r>
      <w:r w:rsidR="0057583B">
        <w:rPr>
          <w:rFonts w:ascii="Arial" w:eastAsia="Times New Roman" w:hAnsi="Arial" w:cs="Arial"/>
          <w:sz w:val="26"/>
          <w:szCs w:val="26"/>
          <w:lang w:eastAsia="en-AU"/>
        </w:rPr>
        <w:t xml:space="preserve">. </w:t>
      </w:r>
      <w:r w:rsidRPr="0057583B">
        <w:rPr>
          <w:rFonts w:ascii="Arial" w:eastAsia="Times New Roman" w:hAnsi="Arial" w:cs="Arial"/>
          <w:sz w:val="26"/>
          <w:szCs w:val="26"/>
          <w:lang w:eastAsia="en-AU"/>
        </w:rPr>
        <w:t>CD23 is typically absent.</w:t>
      </w:r>
    </w:p>
    <w:p w:rsidR="007D254E" w:rsidRDefault="007D254E" w:rsidP="00B111BD">
      <w:pPr>
        <w:shd w:val="clear" w:color="auto" w:fill="FFFFFF"/>
        <w:spacing w:after="0" w:line="240" w:lineRule="auto"/>
        <w:rPr>
          <w:noProof/>
        </w:rPr>
      </w:pPr>
      <w:r>
        <w:rPr>
          <w:noProof/>
        </w:rPr>
        <w:lastRenderedPageBreak/>
        <w:drawing>
          <wp:inline distT="0" distB="0" distL="0" distR="0" wp14:anchorId="33EE829D" wp14:editId="42DBE880">
            <wp:extent cx="3684325" cy="2943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98587" cy="2954618"/>
                    </a:xfrm>
                    <a:prstGeom prst="rect">
                      <a:avLst/>
                    </a:prstGeom>
                  </pic:spPr>
                </pic:pic>
              </a:graphicData>
            </a:graphic>
          </wp:inline>
        </w:drawing>
      </w:r>
      <w:r>
        <w:rPr>
          <w:noProof/>
        </w:rPr>
        <w:drawing>
          <wp:inline distT="0" distB="0" distL="0" distR="0" wp14:anchorId="7197A3B7" wp14:editId="432E61CB">
            <wp:extent cx="2771775" cy="3086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1775" cy="3086100"/>
                    </a:xfrm>
                    <a:prstGeom prst="rect">
                      <a:avLst/>
                    </a:prstGeom>
                  </pic:spPr>
                </pic:pic>
              </a:graphicData>
            </a:graphic>
          </wp:inline>
        </w:drawing>
      </w:r>
      <w:r>
        <w:rPr>
          <w:noProof/>
        </w:rPr>
        <w:drawing>
          <wp:inline distT="0" distB="0" distL="0" distR="0" wp14:anchorId="60D925A6" wp14:editId="5E832C71">
            <wp:extent cx="2857500" cy="2962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7500" cy="2962275"/>
                    </a:xfrm>
                    <a:prstGeom prst="rect">
                      <a:avLst/>
                    </a:prstGeom>
                  </pic:spPr>
                </pic:pic>
              </a:graphicData>
            </a:graphic>
          </wp:inline>
        </w:drawing>
      </w:r>
    </w:p>
    <w:p w:rsidR="007D254E" w:rsidRDefault="007D254E" w:rsidP="00B111BD">
      <w:pPr>
        <w:shd w:val="clear" w:color="auto" w:fill="FFFFFF"/>
        <w:spacing w:after="0" w:line="240" w:lineRule="auto"/>
        <w:rPr>
          <w:rFonts w:ascii="Arial" w:eastAsia="Times New Roman" w:hAnsi="Arial" w:cs="Arial"/>
          <w:sz w:val="26"/>
          <w:szCs w:val="26"/>
          <w:lang w:eastAsia="en-AU"/>
        </w:rPr>
      </w:pPr>
      <w:r>
        <w:rPr>
          <w:noProof/>
        </w:rPr>
        <w:lastRenderedPageBreak/>
        <w:drawing>
          <wp:inline distT="0" distB="0" distL="0" distR="0" wp14:anchorId="5464FA30" wp14:editId="29431651">
            <wp:extent cx="2828925" cy="2924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8925" cy="2924175"/>
                    </a:xfrm>
                    <a:prstGeom prst="rect">
                      <a:avLst/>
                    </a:prstGeom>
                  </pic:spPr>
                </pic:pic>
              </a:graphicData>
            </a:graphic>
          </wp:inline>
        </w:drawing>
      </w:r>
    </w:p>
    <w:p w:rsidR="007D254E" w:rsidRDefault="007D254E" w:rsidP="00B111BD">
      <w:pPr>
        <w:shd w:val="clear" w:color="auto" w:fill="FFFFFF"/>
        <w:spacing w:after="0" w:line="240" w:lineRule="auto"/>
        <w:rPr>
          <w:rFonts w:ascii="Arial" w:eastAsia="Times New Roman" w:hAnsi="Arial" w:cs="Arial"/>
          <w:sz w:val="26"/>
          <w:szCs w:val="26"/>
          <w:lang w:eastAsia="en-AU"/>
        </w:rPr>
      </w:pPr>
      <w:r>
        <w:rPr>
          <w:noProof/>
        </w:rPr>
        <w:drawing>
          <wp:inline distT="0" distB="0" distL="0" distR="0" wp14:anchorId="33CC73D7" wp14:editId="122AC89E">
            <wp:extent cx="2838450" cy="3009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8450" cy="3009900"/>
                    </a:xfrm>
                    <a:prstGeom prst="rect">
                      <a:avLst/>
                    </a:prstGeom>
                  </pic:spPr>
                </pic:pic>
              </a:graphicData>
            </a:graphic>
          </wp:inline>
        </w:drawing>
      </w:r>
    </w:p>
    <w:p w:rsidR="007D254E" w:rsidRDefault="007D254E" w:rsidP="00B111BD">
      <w:pPr>
        <w:shd w:val="clear" w:color="auto" w:fill="FFFFFF"/>
        <w:spacing w:after="0" w:line="240" w:lineRule="auto"/>
        <w:rPr>
          <w:rFonts w:ascii="Arial" w:eastAsia="Times New Roman" w:hAnsi="Arial" w:cs="Arial"/>
          <w:sz w:val="26"/>
          <w:szCs w:val="26"/>
          <w:lang w:eastAsia="en-AU"/>
        </w:rPr>
      </w:pPr>
    </w:p>
    <w:p w:rsidR="007D254E" w:rsidRDefault="007D254E" w:rsidP="00B111BD">
      <w:pPr>
        <w:shd w:val="clear" w:color="auto" w:fill="FFFFFF"/>
        <w:spacing w:after="0" w:line="240" w:lineRule="auto"/>
        <w:rPr>
          <w:rFonts w:ascii="Arial" w:eastAsia="Times New Roman" w:hAnsi="Arial" w:cs="Arial"/>
          <w:sz w:val="26"/>
          <w:szCs w:val="26"/>
          <w:lang w:eastAsia="en-AU"/>
        </w:rPr>
      </w:pPr>
    </w:p>
    <w:p w:rsidR="007D254E" w:rsidRDefault="007D254E" w:rsidP="00B111BD">
      <w:pPr>
        <w:shd w:val="clear" w:color="auto" w:fill="FFFFFF"/>
        <w:spacing w:after="0" w:line="240" w:lineRule="auto"/>
        <w:rPr>
          <w:rFonts w:ascii="Arial" w:eastAsia="Times New Roman" w:hAnsi="Arial" w:cs="Arial"/>
          <w:sz w:val="26"/>
          <w:szCs w:val="26"/>
          <w:lang w:eastAsia="en-AU"/>
        </w:rPr>
      </w:pPr>
    </w:p>
    <w:p w:rsidR="007D254E" w:rsidRDefault="007D254E" w:rsidP="00B111BD">
      <w:pPr>
        <w:shd w:val="clear" w:color="auto" w:fill="FFFFFF"/>
        <w:spacing w:after="0" w:line="240" w:lineRule="auto"/>
        <w:rPr>
          <w:rFonts w:ascii="Arial" w:eastAsia="Times New Roman" w:hAnsi="Arial" w:cs="Arial"/>
          <w:sz w:val="26"/>
          <w:szCs w:val="26"/>
          <w:lang w:eastAsia="en-AU"/>
        </w:rPr>
      </w:pPr>
    </w:p>
    <w:p w:rsidR="007D254E" w:rsidRDefault="007D254E" w:rsidP="00B111BD">
      <w:pPr>
        <w:shd w:val="clear" w:color="auto" w:fill="FFFFFF"/>
        <w:spacing w:after="0" w:line="240" w:lineRule="auto"/>
        <w:rPr>
          <w:rFonts w:ascii="Arial" w:eastAsia="Times New Roman" w:hAnsi="Arial" w:cs="Arial"/>
          <w:sz w:val="26"/>
          <w:szCs w:val="26"/>
          <w:lang w:eastAsia="en-AU"/>
        </w:rPr>
      </w:pPr>
    </w:p>
    <w:p w:rsidR="00B111BD" w:rsidRPr="00B111BD" w:rsidRDefault="00B111BD" w:rsidP="00B111BD">
      <w:pPr>
        <w:shd w:val="clear" w:color="auto" w:fill="FFFFFF"/>
        <w:spacing w:after="0" w:line="240" w:lineRule="auto"/>
        <w:rPr>
          <w:rFonts w:ascii="Times New Roman" w:eastAsia="Times New Roman" w:hAnsi="Times New Roman" w:cs="Times New Roman"/>
          <w:sz w:val="15"/>
          <w:szCs w:val="15"/>
          <w:lang w:eastAsia="en-AU"/>
        </w:rPr>
      </w:pPr>
      <w:r w:rsidRPr="00B111BD">
        <w:rPr>
          <w:rFonts w:ascii="Arial" w:eastAsia="Times New Roman" w:hAnsi="Arial" w:cs="Arial"/>
          <w:sz w:val="26"/>
          <w:szCs w:val="26"/>
          <w:lang w:eastAsia="en-AU"/>
        </w:rPr>
        <w:t>1.Rodak's Haematology: Clinical Principles and Applications, 5</w:t>
      </w:r>
      <w:r w:rsidRPr="00B111BD">
        <w:rPr>
          <w:rFonts w:ascii="Arial" w:eastAsia="Times New Roman" w:hAnsi="Arial" w:cs="Arial"/>
          <w:sz w:val="17"/>
          <w:szCs w:val="17"/>
          <w:lang w:eastAsia="en-AU"/>
        </w:rPr>
        <w:t>th</w:t>
      </w:r>
      <w:r w:rsidRPr="00B111BD">
        <w:rPr>
          <w:rFonts w:ascii="Arial" w:eastAsia="Times New Roman" w:hAnsi="Arial" w:cs="Arial"/>
          <w:sz w:val="26"/>
          <w:szCs w:val="26"/>
          <w:lang w:eastAsia="en-AU"/>
        </w:rPr>
        <w:t xml:space="preserve"> edition, Keohane et al, 2016, Elsevier Inc.</w:t>
      </w:r>
    </w:p>
    <w:p w:rsidR="00D74FEB" w:rsidRDefault="00D74FEB"/>
    <w:p w:rsidR="002E1AF0" w:rsidRDefault="002E1AF0">
      <w:pPr>
        <w:sectPr w:rsidR="002E1AF0">
          <w:pgSz w:w="11906" w:h="16838"/>
          <w:pgMar w:top="1440" w:right="1440" w:bottom="1440" w:left="1440" w:header="708" w:footer="708" w:gutter="0"/>
          <w:cols w:space="708"/>
          <w:docGrid w:linePitch="360"/>
        </w:sectPr>
      </w:pPr>
    </w:p>
    <w:tbl>
      <w:tblPr>
        <w:tblW w:w="16046" w:type="dxa"/>
        <w:tblInd w:w="-289" w:type="dxa"/>
        <w:tblLook w:val="04A0" w:firstRow="1" w:lastRow="0" w:firstColumn="1" w:lastColumn="0" w:noHBand="0" w:noVBand="1"/>
      </w:tblPr>
      <w:tblGrid>
        <w:gridCol w:w="553"/>
        <w:gridCol w:w="1527"/>
        <w:gridCol w:w="1527"/>
        <w:gridCol w:w="1527"/>
        <w:gridCol w:w="1528"/>
        <w:gridCol w:w="1481"/>
        <w:gridCol w:w="1530"/>
        <w:gridCol w:w="265"/>
        <w:gridCol w:w="1527"/>
        <w:gridCol w:w="1527"/>
        <w:gridCol w:w="1527"/>
        <w:gridCol w:w="1527"/>
      </w:tblGrid>
      <w:tr w:rsidR="004360D7" w:rsidRPr="002E1AF0" w:rsidTr="004678FA">
        <w:trPr>
          <w:trHeight w:val="416"/>
        </w:trPr>
        <w:tc>
          <w:tcPr>
            <w:tcW w:w="553" w:type="dxa"/>
            <w:tcBorders>
              <w:top w:val="single" w:sz="4" w:space="0" w:color="auto"/>
              <w:left w:val="single" w:sz="4" w:space="0" w:color="auto"/>
              <w:bottom w:val="single" w:sz="4" w:space="0" w:color="auto"/>
              <w:right w:val="single" w:sz="4" w:space="0" w:color="auto"/>
            </w:tcBorders>
            <w:shd w:val="clear" w:color="auto" w:fill="FFFF00"/>
            <w:textDirection w:val="tbRl"/>
            <w:vAlign w:val="center"/>
          </w:tcPr>
          <w:p w:rsidR="004360D7" w:rsidRPr="002E1AF0" w:rsidRDefault="004360D7" w:rsidP="002E1AF0">
            <w:pPr>
              <w:spacing w:after="0" w:line="240" w:lineRule="auto"/>
              <w:jc w:val="center"/>
              <w:rPr>
                <w:rFonts w:ascii="Calibri" w:eastAsia="Times New Roman" w:hAnsi="Calibri" w:cs="Calibri"/>
                <w:color w:val="000000"/>
                <w:sz w:val="20"/>
                <w:szCs w:val="20"/>
                <w:lang w:eastAsia="en-AU"/>
              </w:rPr>
            </w:pPr>
          </w:p>
        </w:tc>
        <w:tc>
          <w:tcPr>
            <w:tcW w:w="15493" w:type="dxa"/>
            <w:gridSpan w:val="11"/>
            <w:tcBorders>
              <w:top w:val="single" w:sz="4" w:space="0" w:color="auto"/>
              <w:left w:val="single" w:sz="8" w:space="0" w:color="auto"/>
              <w:bottom w:val="nil"/>
              <w:right w:val="single" w:sz="4" w:space="0" w:color="auto"/>
            </w:tcBorders>
            <w:shd w:val="clear" w:color="auto" w:fill="FFFF00"/>
            <w:vAlign w:val="bottom"/>
          </w:tcPr>
          <w:p w:rsidR="004360D7" w:rsidRPr="004360D7" w:rsidRDefault="004360D7" w:rsidP="002E1AF0">
            <w:pPr>
              <w:spacing w:after="0" w:line="240" w:lineRule="auto"/>
              <w:jc w:val="center"/>
              <w:rPr>
                <w:rFonts w:ascii="Calibri" w:eastAsia="Times New Roman" w:hAnsi="Calibri" w:cs="Calibri"/>
                <w:sz w:val="20"/>
                <w:szCs w:val="20"/>
                <w:lang w:eastAsia="en-AU"/>
              </w:rPr>
            </w:pPr>
            <w:r w:rsidRPr="00753611">
              <w:rPr>
                <w:rFonts w:ascii="Calibri" w:eastAsia="Times New Roman" w:hAnsi="Calibri" w:cs="Calibri"/>
                <w:b/>
                <w:bCs/>
                <w:color w:val="000000"/>
                <w:sz w:val="20"/>
                <w:szCs w:val="20"/>
                <w:lang w:eastAsia="en-AU"/>
              </w:rPr>
              <w:t>HA-MO-21-06</w:t>
            </w:r>
          </w:p>
        </w:tc>
      </w:tr>
      <w:tr w:rsidR="002E1AF0" w:rsidRPr="002E1AF0" w:rsidTr="004360D7">
        <w:trPr>
          <w:trHeight w:val="525"/>
        </w:trPr>
        <w:tc>
          <w:tcPr>
            <w:tcW w:w="553" w:type="dxa"/>
            <w:vMerge w:val="restart"/>
            <w:tcBorders>
              <w:top w:val="single" w:sz="4" w:space="0" w:color="auto"/>
              <w:left w:val="single" w:sz="4" w:space="0" w:color="auto"/>
              <w:bottom w:val="single" w:sz="4" w:space="0" w:color="auto"/>
              <w:right w:val="single" w:sz="4" w:space="0" w:color="auto"/>
            </w:tcBorders>
            <w:shd w:val="clear" w:color="000000" w:fill="FFCCFF"/>
            <w:textDirection w:val="tbRl"/>
            <w:vAlign w:val="center"/>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RBC Features</w:t>
            </w:r>
          </w:p>
        </w:tc>
        <w:tc>
          <w:tcPr>
            <w:tcW w:w="1527" w:type="dxa"/>
            <w:tcBorders>
              <w:top w:val="single" w:sz="4" w:space="0" w:color="auto"/>
              <w:left w:val="single" w:sz="8" w:space="0" w:color="auto"/>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Rouleaux</w:t>
            </w:r>
          </w:p>
        </w:tc>
        <w:tc>
          <w:tcPr>
            <w:tcW w:w="1527" w:type="dxa"/>
            <w:tcBorders>
              <w:top w:val="single" w:sz="4" w:space="0" w:color="auto"/>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Rouleaux</w:t>
            </w:r>
          </w:p>
        </w:tc>
        <w:tc>
          <w:tcPr>
            <w:tcW w:w="1527" w:type="dxa"/>
            <w:tcBorders>
              <w:top w:val="single" w:sz="4"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Elliptocytes / ovalocytes</w:t>
            </w:r>
          </w:p>
        </w:tc>
        <w:tc>
          <w:tcPr>
            <w:tcW w:w="1528" w:type="dxa"/>
            <w:tcBorders>
              <w:top w:val="single" w:sz="4"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Elliptocytes / ovalocytes</w:t>
            </w:r>
          </w:p>
        </w:tc>
        <w:tc>
          <w:tcPr>
            <w:tcW w:w="1481" w:type="dxa"/>
            <w:tcBorders>
              <w:top w:val="single" w:sz="4" w:space="0" w:color="auto"/>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Tear drop cells</w:t>
            </w:r>
          </w:p>
        </w:tc>
        <w:tc>
          <w:tcPr>
            <w:tcW w:w="1530" w:type="dxa"/>
            <w:tcBorders>
              <w:top w:val="single" w:sz="4"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Microcytes</w:t>
            </w:r>
          </w:p>
        </w:tc>
        <w:tc>
          <w:tcPr>
            <w:tcW w:w="265" w:type="dxa"/>
            <w:tcBorders>
              <w:top w:val="single" w:sz="4" w:space="0" w:color="auto"/>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single" w:sz="4"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Microcytes</w:t>
            </w:r>
          </w:p>
        </w:tc>
        <w:tc>
          <w:tcPr>
            <w:tcW w:w="1527" w:type="dxa"/>
            <w:tcBorders>
              <w:top w:val="single" w:sz="4" w:space="0" w:color="auto"/>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Schistocytes</w:t>
            </w:r>
          </w:p>
        </w:tc>
        <w:tc>
          <w:tcPr>
            <w:tcW w:w="1527" w:type="dxa"/>
            <w:tcBorders>
              <w:top w:val="single" w:sz="4"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Elliptocytes / ovalocytes</w:t>
            </w:r>
          </w:p>
        </w:tc>
        <w:tc>
          <w:tcPr>
            <w:tcW w:w="1527" w:type="dxa"/>
            <w:tcBorders>
              <w:top w:val="single" w:sz="4" w:space="0" w:color="auto"/>
              <w:left w:val="nil"/>
              <w:bottom w:val="nil"/>
              <w:right w:val="single" w:sz="4" w:space="0" w:color="auto"/>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Elliptocytes / ovalocytes</w:t>
            </w:r>
          </w:p>
        </w:tc>
      </w:tr>
      <w:tr w:rsidR="002E1AF0" w:rsidRPr="002E1AF0" w:rsidTr="004360D7">
        <w:trPr>
          <w:trHeight w:val="780"/>
        </w:trPr>
        <w:tc>
          <w:tcPr>
            <w:tcW w:w="553" w:type="dxa"/>
            <w:vMerge/>
            <w:tcBorders>
              <w:top w:val="single" w:sz="4" w:space="0" w:color="auto"/>
              <w:left w:val="single" w:sz="4" w:space="0" w:color="auto"/>
              <w:bottom w:val="single" w:sz="4" w:space="0" w:color="auto"/>
              <w:right w:val="single" w:sz="4" w:space="0" w:color="auto"/>
            </w:tcBorders>
            <w:vAlign w:val="center"/>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p>
        </w:tc>
        <w:tc>
          <w:tcPr>
            <w:tcW w:w="1527" w:type="dxa"/>
            <w:tcBorders>
              <w:top w:val="nil"/>
              <w:left w:val="single" w:sz="8" w:space="0" w:color="auto"/>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Pencil cells</w:t>
            </w:r>
          </w:p>
        </w:tc>
        <w:tc>
          <w:tcPr>
            <w:tcW w:w="1527"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Elliptocytes / ovalocytes</w:t>
            </w: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Poikilocytosis (not otherwise coded)</w:t>
            </w:r>
          </w:p>
        </w:tc>
        <w:tc>
          <w:tcPr>
            <w:tcW w:w="1528"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Irregularly contracted cells</w:t>
            </w:r>
          </w:p>
        </w:tc>
        <w:tc>
          <w:tcPr>
            <w:tcW w:w="1481"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Pencil cells</w:t>
            </w:r>
          </w:p>
        </w:tc>
        <w:tc>
          <w:tcPr>
            <w:tcW w:w="1530"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Rouleaux</w:t>
            </w:r>
          </w:p>
        </w:tc>
        <w:tc>
          <w:tcPr>
            <w:tcW w:w="265"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p>
        </w:tc>
        <w:tc>
          <w:tcPr>
            <w:tcW w:w="1527"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Hypochromia</w:t>
            </w: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Poikilocytosis (not otherwise coded)</w:t>
            </w: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Echinocytes</w:t>
            </w:r>
          </w:p>
        </w:tc>
        <w:tc>
          <w:tcPr>
            <w:tcW w:w="1527" w:type="dxa"/>
            <w:tcBorders>
              <w:top w:val="nil"/>
              <w:left w:val="nil"/>
              <w:bottom w:val="nil"/>
              <w:right w:val="single" w:sz="4" w:space="0" w:color="auto"/>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Polychromasia increased</w:t>
            </w:r>
          </w:p>
        </w:tc>
      </w:tr>
      <w:tr w:rsidR="002E1AF0" w:rsidRPr="002E1AF0" w:rsidTr="004360D7">
        <w:trPr>
          <w:trHeight w:val="300"/>
        </w:trPr>
        <w:tc>
          <w:tcPr>
            <w:tcW w:w="553" w:type="dxa"/>
            <w:vMerge/>
            <w:tcBorders>
              <w:top w:val="single" w:sz="4" w:space="0" w:color="auto"/>
              <w:left w:val="single" w:sz="4" w:space="0" w:color="auto"/>
              <w:bottom w:val="single" w:sz="4" w:space="0" w:color="auto"/>
              <w:right w:val="single" w:sz="4" w:space="0" w:color="auto"/>
            </w:tcBorders>
            <w:vAlign w:val="center"/>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p>
        </w:tc>
        <w:tc>
          <w:tcPr>
            <w:tcW w:w="1527" w:type="dxa"/>
            <w:tcBorders>
              <w:top w:val="nil"/>
              <w:left w:val="single" w:sz="8" w:space="0" w:color="auto"/>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Spherocytes</w:t>
            </w:r>
          </w:p>
        </w:tc>
        <w:tc>
          <w:tcPr>
            <w:tcW w:w="1527"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Microcytes</w:t>
            </w: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Echinocytes</w:t>
            </w:r>
          </w:p>
        </w:tc>
        <w:tc>
          <w:tcPr>
            <w:tcW w:w="1528"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p>
        </w:tc>
        <w:tc>
          <w:tcPr>
            <w:tcW w:w="1481"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Times New Roman" w:eastAsia="Times New Roman" w:hAnsi="Times New Roman" w:cs="Times New Roman"/>
                <w:sz w:val="20"/>
                <w:szCs w:val="20"/>
                <w:lang w:eastAsia="en-AU"/>
              </w:rPr>
            </w:pPr>
          </w:p>
        </w:tc>
        <w:tc>
          <w:tcPr>
            <w:tcW w:w="1530"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Pencil cells</w:t>
            </w:r>
          </w:p>
        </w:tc>
        <w:tc>
          <w:tcPr>
            <w:tcW w:w="265"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p>
        </w:tc>
        <w:tc>
          <w:tcPr>
            <w:tcW w:w="1527"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Pencil cells</w:t>
            </w: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Echinocytes</w:t>
            </w:r>
          </w:p>
        </w:tc>
        <w:tc>
          <w:tcPr>
            <w:tcW w:w="1527"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Microcytes</w:t>
            </w:r>
          </w:p>
        </w:tc>
        <w:tc>
          <w:tcPr>
            <w:tcW w:w="1527" w:type="dxa"/>
            <w:tcBorders>
              <w:top w:val="nil"/>
              <w:left w:val="nil"/>
              <w:bottom w:val="nil"/>
              <w:right w:val="single" w:sz="4" w:space="0" w:color="auto"/>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Microcytes</w:t>
            </w:r>
          </w:p>
        </w:tc>
      </w:tr>
      <w:tr w:rsidR="002E1AF0" w:rsidRPr="002E1AF0" w:rsidTr="004360D7">
        <w:trPr>
          <w:trHeight w:val="540"/>
        </w:trPr>
        <w:tc>
          <w:tcPr>
            <w:tcW w:w="553" w:type="dxa"/>
            <w:vMerge/>
            <w:tcBorders>
              <w:top w:val="single" w:sz="4" w:space="0" w:color="auto"/>
              <w:left w:val="single" w:sz="4" w:space="0" w:color="auto"/>
              <w:bottom w:val="single" w:sz="4" w:space="0" w:color="auto"/>
              <w:right w:val="single" w:sz="4" w:space="0" w:color="auto"/>
            </w:tcBorders>
            <w:vAlign w:val="center"/>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p>
        </w:tc>
        <w:tc>
          <w:tcPr>
            <w:tcW w:w="1527" w:type="dxa"/>
            <w:tcBorders>
              <w:top w:val="nil"/>
              <w:left w:val="single" w:sz="8" w:space="0" w:color="auto"/>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8"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481"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30"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265"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Rouleaux</w:t>
            </w:r>
          </w:p>
        </w:tc>
        <w:tc>
          <w:tcPr>
            <w:tcW w:w="1527" w:type="dxa"/>
            <w:tcBorders>
              <w:top w:val="nil"/>
              <w:left w:val="nil"/>
              <w:bottom w:val="single" w:sz="8" w:space="0" w:color="auto"/>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Elliptocytes / ovalocytes</w:t>
            </w:r>
          </w:p>
        </w:tc>
        <w:tc>
          <w:tcPr>
            <w:tcW w:w="1527" w:type="dxa"/>
            <w:tcBorders>
              <w:top w:val="nil"/>
              <w:left w:val="nil"/>
              <w:bottom w:val="single" w:sz="8" w:space="0" w:color="auto"/>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Hypochromia</w:t>
            </w:r>
          </w:p>
        </w:tc>
        <w:tc>
          <w:tcPr>
            <w:tcW w:w="1527" w:type="dxa"/>
            <w:tcBorders>
              <w:top w:val="nil"/>
              <w:left w:val="nil"/>
              <w:bottom w:val="single" w:sz="8" w:space="0" w:color="auto"/>
              <w:right w:val="single" w:sz="4" w:space="0" w:color="auto"/>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Hypochromia</w:t>
            </w:r>
          </w:p>
        </w:tc>
      </w:tr>
      <w:tr w:rsidR="002E1AF0" w:rsidRPr="002E1AF0" w:rsidTr="004360D7">
        <w:trPr>
          <w:trHeight w:val="525"/>
        </w:trPr>
        <w:tc>
          <w:tcPr>
            <w:tcW w:w="553" w:type="dxa"/>
            <w:vMerge w:val="restart"/>
            <w:tcBorders>
              <w:top w:val="nil"/>
              <w:left w:val="single" w:sz="4" w:space="0" w:color="auto"/>
              <w:bottom w:val="single" w:sz="4" w:space="0" w:color="auto"/>
              <w:right w:val="single" w:sz="4" w:space="0" w:color="auto"/>
            </w:tcBorders>
            <w:shd w:val="clear" w:color="000000" w:fill="BDD7EE"/>
            <w:textDirection w:val="tbRl"/>
            <w:vAlign w:val="center"/>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WBC Features</w:t>
            </w:r>
          </w:p>
        </w:tc>
        <w:tc>
          <w:tcPr>
            <w:tcW w:w="1527" w:type="dxa"/>
            <w:tcBorders>
              <w:top w:val="single" w:sz="8" w:space="0" w:color="auto"/>
              <w:left w:val="single" w:sz="8" w:space="0" w:color="auto"/>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Prolymphocytes</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Lymphocytosis</w:t>
            </w:r>
          </w:p>
        </w:tc>
        <w:tc>
          <w:tcPr>
            <w:tcW w:w="1527" w:type="dxa"/>
            <w:tcBorders>
              <w:top w:val="single" w:sz="8" w:space="0" w:color="auto"/>
              <w:left w:val="nil"/>
              <w:bottom w:val="nil"/>
              <w:right w:val="nil"/>
            </w:tcBorders>
            <w:shd w:val="clear" w:color="000000" w:fill="FFF2CC"/>
            <w:vAlign w:val="bottom"/>
            <w:hideMark/>
          </w:tcPr>
          <w:p w:rsidR="002E1AF0" w:rsidRPr="002E1AF0" w:rsidRDefault="002E1AF0" w:rsidP="002E1AF0">
            <w:pPr>
              <w:spacing w:after="0" w:line="240" w:lineRule="auto"/>
              <w:jc w:val="center"/>
              <w:rPr>
                <w:rFonts w:ascii="Calibri" w:eastAsia="Times New Roman" w:hAnsi="Calibri" w:cs="Calibri"/>
                <w:color w:val="BF8F00"/>
                <w:sz w:val="20"/>
                <w:szCs w:val="20"/>
                <w:lang w:eastAsia="en-AU"/>
              </w:rPr>
            </w:pPr>
            <w:r w:rsidRPr="002E1AF0">
              <w:rPr>
                <w:rFonts w:ascii="Calibri" w:eastAsia="Times New Roman" w:hAnsi="Calibri" w:cs="Calibri"/>
                <w:color w:val="BF8F00"/>
                <w:sz w:val="20"/>
                <w:szCs w:val="20"/>
                <w:lang w:eastAsia="en-AU"/>
              </w:rPr>
              <w:t>Smear / smudge cells</w:t>
            </w:r>
          </w:p>
        </w:tc>
        <w:tc>
          <w:tcPr>
            <w:tcW w:w="1528"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Lymphocytosis</w:t>
            </w:r>
          </w:p>
        </w:tc>
        <w:tc>
          <w:tcPr>
            <w:tcW w:w="1481" w:type="dxa"/>
            <w:tcBorders>
              <w:top w:val="single" w:sz="8" w:space="0" w:color="auto"/>
              <w:left w:val="nil"/>
              <w:bottom w:val="nil"/>
              <w:right w:val="nil"/>
            </w:tcBorders>
            <w:shd w:val="clear" w:color="000000" w:fill="FFEB9C"/>
            <w:vAlign w:val="bottom"/>
            <w:hideMark/>
          </w:tcPr>
          <w:p w:rsidR="002E1AF0" w:rsidRPr="002E1AF0" w:rsidRDefault="002E1AF0" w:rsidP="002E1AF0">
            <w:pPr>
              <w:spacing w:after="0" w:line="240" w:lineRule="auto"/>
              <w:jc w:val="center"/>
              <w:rPr>
                <w:rFonts w:ascii="Calibri" w:eastAsia="Times New Roman" w:hAnsi="Calibri" w:cs="Calibri"/>
                <w:color w:val="9C5700"/>
                <w:sz w:val="20"/>
                <w:szCs w:val="20"/>
                <w:lang w:eastAsia="en-AU"/>
              </w:rPr>
            </w:pPr>
            <w:r w:rsidRPr="002E1AF0">
              <w:rPr>
                <w:rFonts w:ascii="Calibri" w:eastAsia="Times New Roman" w:hAnsi="Calibri" w:cs="Calibri"/>
                <w:color w:val="9C5700"/>
                <w:sz w:val="20"/>
                <w:szCs w:val="20"/>
                <w:lang w:eastAsia="en-AU"/>
              </w:rPr>
              <w:t>Lymphocytes – abnormal</w:t>
            </w:r>
          </w:p>
        </w:tc>
        <w:tc>
          <w:tcPr>
            <w:tcW w:w="1530"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Lymphocytosis</w:t>
            </w:r>
          </w:p>
        </w:tc>
        <w:tc>
          <w:tcPr>
            <w:tcW w:w="265"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Prolymphocytes</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Prolymphocytes</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Prolymphocytes</w:t>
            </w:r>
          </w:p>
        </w:tc>
        <w:tc>
          <w:tcPr>
            <w:tcW w:w="1527" w:type="dxa"/>
            <w:tcBorders>
              <w:top w:val="single" w:sz="8" w:space="0" w:color="auto"/>
              <w:left w:val="nil"/>
              <w:bottom w:val="nil"/>
              <w:right w:val="single" w:sz="4" w:space="0" w:color="auto"/>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Prolymphocytes</w:t>
            </w:r>
          </w:p>
        </w:tc>
      </w:tr>
      <w:tr w:rsidR="002E1AF0" w:rsidRPr="002E1AF0" w:rsidTr="004360D7">
        <w:trPr>
          <w:trHeight w:val="780"/>
        </w:trPr>
        <w:tc>
          <w:tcPr>
            <w:tcW w:w="553" w:type="dxa"/>
            <w:vMerge/>
            <w:tcBorders>
              <w:top w:val="nil"/>
              <w:left w:val="single" w:sz="4" w:space="0" w:color="auto"/>
              <w:bottom w:val="single" w:sz="4" w:space="0" w:color="auto"/>
              <w:right w:val="single" w:sz="4" w:space="0" w:color="auto"/>
            </w:tcBorders>
            <w:vAlign w:val="center"/>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p>
        </w:tc>
        <w:tc>
          <w:tcPr>
            <w:tcW w:w="1527" w:type="dxa"/>
            <w:tcBorders>
              <w:top w:val="nil"/>
              <w:left w:val="single" w:sz="8" w:space="0" w:color="auto"/>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nil"/>
              <w:right w:val="nil"/>
            </w:tcBorders>
            <w:shd w:val="clear" w:color="000000" w:fill="FFEB9C"/>
            <w:vAlign w:val="bottom"/>
            <w:hideMark/>
          </w:tcPr>
          <w:p w:rsidR="002E1AF0" w:rsidRPr="002E1AF0" w:rsidRDefault="002E1AF0" w:rsidP="002E1AF0">
            <w:pPr>
              <w:spacing w:after="0" w:line="240" w:lineRule="auto"/>
              <w:jc w:val="center"/>
              <w:rPr>
                <w:rFonts w:ascii="Calibri" w:eastAsia="Times New Roman" w:hAnsi="Calibri" w:cs="Calibri"/>
                <w:color w:val="9C5700"/>
                <w:sz w:val="20"/>
                <w:szCs w:val="20"/>
                <w:lang w:eastAsia="en-AU"/>
              </w:rPr>
            </w:pPr>
            <w:r w:rsidRPr="002E1AF0">
              <w:rPr>
                <w:rFonts w:ascii="Calibri" w:eastAsia="Times New Roman" w:hAnsi="Calibri" w:cs="Calibri"/>
                <w:color w:val="9C5700"/>
                <w:sz w:val="20"/>
                <w:szCs w:val="20"/>
                <w:lang w:eastAsia="en-AU"/>
              </w:rPr>
              <w:t>Lymphocytes – abnormal</w:t>
            </w: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9C5700"/>
                <w:sz w:val="20"/>
                <w:szCs w:val="20"/>
                <w:lang w:eastAsia="en-AU"/>
              </w:rPr>
            </w:pPr>
          </w:p>
        </w:tc>
        <w:tc>
          <w:tcPr>
            <w:tcW w:w="1528"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Prolymphocytes</w:t>
            </w:r>
          </w:p>
        </w:tc>
        <w:tc>
          <w:tcPr>
            <w:tcW w:w="1481"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Lymphocytosis</w:t>
            </w:r>
          </w:p>
        </w:tc>
        <w:tc>
          <w:tcPr>
            <w:tcW w:w="1530"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Prolymphocytes</w:t>
            </w:r>
          </w:p>
        </w:tc>
        <w:tc>
          <w:tcPr>
            <w:tcW w:w="265"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Times New Roman" w:eastAsia="Times New Roman" w:hAnsi="Times New Roman" w:cs="Times New Roman"/>
                <w:sz w:val="20"/>
                <w:szCs w:val="20"/>
                <w:lang w:eastAsia="en-AU"/>
              </w:rPr>
            </w:pP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xml:space="preserve">Neutrophils – </w:t>
            </w:r>
            <w:proofErr w:type="gramStart"/>
            <w:r w:rsidRPr="002E1AF0">
              <w:rPr>
                <w:rFonts w:ascii="Calibri" w:eastAsia="Times New Roman" w:hAnsi="Calibri" w:cs="Calibri"/>
                <w:color w:val="000000"/>
                <w:sz w:val="20"/>
                <w:szCs w:val="20"/>
                <w:lang w:eastAsia="en-AU"/>
              </w:rPr>
              <w:t>other</w:t>
            </w:r>
            <w:proofErr w:type="gramEnd"/>
            <w:r w:rsidRPr="002E1AF0">
              <w:rPr>
                <w:rFonts w:ascii="Calibri" w:eastAsia="Times New Roman" w:hAnsi="Calibri" w:cs="Calibri"/>
                <w:color w:val="000000"/>
                <w:sz w:val="20"/>
                <w:szCs w:val="20"/>
                <w:lang w:eastAsia="en-AU"/>
              </w:rPr>
              <w:t xml:space="preserve"> abnormal granulation</w:t>
            </w:r>
          </w:p>
        </w:tc>
        <w:tc>
          <w:tcPr>
            <w:tcW w:w="1527" w:type="dxa"/>
            <w:tcBorders>
              <w:top w:val="nil"/>
              <w:left w:val="nil"/>
              <w:bottom w:val="nil"/>
              <w:right w:val="nil"/>
            </w:tcBorders>
            <w:shd w:val="clear" w:color="000000" w:fill="FFF2CC"/>
            <w:vAlign w:val="bottom"/>
            <w:hideMark/>
          </w:tcPr>
          <w:p w:rsidR="002E1AF0" w:rsidRPr="002E1AF0" w:rsidRDefault="002E1AF0" w:rsidP="002E1AF0">
            <w:pPr>
              <w:spacing w:after="0" w:line="240" w:lineRule="auto"/>
              <w:jc w:val="center"/>
              <w:rPr>
                <w:rFonts w:ascii="Calibri" w:eastAsia="Times New Roman" w:hAnsi="Calibri" w:cs="Calibri"/>
                <w:color w:val="BF8F00"/>
                <w:sz w:val="20"/>
                <w:szCs w:val="20"/>
                <w:lang w:eastAsia="en-AU"/>
              </w:rPr>
            </w:pPr>
            <w:r w:rsidRPr="002E1AF0">
              <w:rPr>
                <w:rFonts w:ascii="Calibri" w:eastAsia="Times New Roman" w:hAnsi="Calibri" w:cs="Calibri"/>
                <w:color w:val="BF8F00"/>
                <w:sz w:val="20"/>
                <w:szCs w:val="20"/>
                <w:lang w:eastAsia="en-AU"/>
              </w:rPr>
              <w:t>Smear / smudge cells</w:t>
            </w:r>
          </w:p>
        </w:tc>
        <w:tc>
          <w:tcPr>
            <w:tcW w:w="1527" w:type="dxa"/>
            <w:tcBorders>
              <w:top w:val="nil"/>
              <w:left w:val="nil"/>
              <w:bottom w:val="nil"/>
              <w:right w:val="single" w:sz="4" w:space="0" w:color="auto"/>
            </w:tcBorders>
            <w:shd w:val="clear" w:color="000000" w:fill="FFEB9C"/>
            <w:vAlign w:val="bottom"/>
            <w:hideMark/>
          </w:tcPr>
          <w:p w:rsidR="002E1AF0" w:rsidRPr="002E1AF0" w:rsidRDefault="002E1AF0" w:rsidP="002E1AF0">
            <w:pPr>
              <w:spacing w:after="0" w:line="240" w:lineRule="auto"/>
              <w:jc w:val="center"/>
              <w:rPr>
                <w:rFonts w:ascii="Calibri" w:eastAsia="Times New Roman" w:hAnsi="Calibri" w:cs="Calibri"/>
                <w:color w:val="9C5700"/>
                <w:sz w:val="20"/>
                <w:szCs w:val="20"/>
                <w:lang w:eastAsia="en-AU"/>
              </w:rPr>
            </w:pPr>
            <w:r w:rsidRPr="002E1AF0">
              <w:rPr>
                <w:rFonts w:ascii="Calibri" w:eastAsia="Times New Roman" w:hAnsi="Calibri" w:cs="Calibri"/>
                <w:color w:val="9C5700"/>
                <w:sz w:val="20"/>
                <w:szCs w:val="20"/>
                <w:lang w:eastAsia="en-AU"/>
              </w:rPr>
              <w:t>Lymphocytes – abnormal</w:t>
            </w:r>
          </w:p>
        </w:tc>
      </w:tr>
      <w:tr w:rsidR="002E1AF0" w:rsidRPr="002E1AF0" w:rsidTr="004360D7">
        <w:trPr>
          <w:trHeight w:val="780"/>
        </w:trPr>
        <w:tc>
          <w:tcPr>
            <w:tcW w:w="553" w:type="dxa"/>
            <w:vMerge/>
            <w:tcBorders>
              <w:top w:val="nil"/>
              <w:left w:val="single" w:sz="4" w:space="0" w:color="auto"/>
              <w:bottom w:val="single" w:sz="4" w:space="0" w:color="auto"/>
              <w:right w:val="single" w:sz="4" w:space="0" w:color="auto"/>
            </w:tcBorders>
            <w:vAlign w:val="center"/>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p>
        </w:tc>
        <w:tc>
          <w:tcPr>
            <w:tcW w:w="1527" w:type="dxa"/>
            <w:tcBorders>
              <w:top w:val="nil"/>
              <w:left w:val="single" w:sz="8" w:space="0" w:color="auto"/>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Prolymphocytes</w:t>
            </w:r>
          </w:p>
        </w:tc>
        <w:tc>
          <w:tcPr>
            <w:tcW w:w="1527"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Prolymphocytes</w:t>
            </w:r>
          </w:p>
        </w:tc>
        <w:tc>
          <w:tcPr>
            <w:tcW w:w="1528"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p>
        </w:tc>
        <w:tc>
          <w:tcPr>
            <w:tcW w:w="1481"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Times New Roman" w:eastAsia="Times New Roman" w:hAnsi="Times New Roman" w:cs="Times New Roman"/>
                <w:sz w:val="20"/>
                <w:szCs w:val="20"/>
                <w:lang w:eastAsia="en-AU"/>
              </w:rPr>
            </w:pPr>
          </w:p>
        </w:tc>
        <w:tc>
          <w:tcPr>
            <w:tcW w:w="1530"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Times New Roman" w:eastAsia="Times New Roman" w:hAnsi="Times New Roman" w:cs="Times New Roman"/>
                <w:sz w:val="20"/>
                <w:szCs w:val="20"/>
                <w:lang w:eastAsia="en-AU"/>
              </w:rPr>
            </w:pPr>
          </w:p>
        </w:tc>
        <w:tc>
          <w:tcPr>
            <w:tcW w:w="265"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Times New Roman" w:eastAsia="Times New Roman" w:hAnsi="Times New Roman" w:cs="Times New Roman"/>
                <w:sz w:val="20"/>
                <w:szCs w:val="20"/>
                <w:lang w:eastAsia="en-AU"/>
              </w:rPr>
            </w:pP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Times New Roman" w:eastAsia="Times New Roman" w:hAnsi="Times New Roman" w:cs="Times New Roman"/>
                <w:sz w:val="20"/>
                <w:szCs w:val="20"/>
                <w:lang w:eastAsia="en-AU"/>
              </w:rPr>
            </w:pP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Blast cells</w:t>
            </w: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Blast cells</w:t>
            </w:r>
          </w:p>
        </w:tc>
        <w:tc>
          <w:tcPr>
            <w:tcW w:w="1527" w:type="dxa"/>
            <w:tcBorders>
              <w:top w:val="nil"/>
              <w:left w:val="nil"/>
              <w:bottom w:val="nil"/>
              <w:right w:val="single" w:sz="4" w:space="0" w:color="auto"/>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Lymphocytosis</w:t>
            </w:r>
          </w:p>
        </w:tc>
      </w:tr>
      <w:tr w:rsidR="002E1AF0" w:rsidRPr="002E1AF0" w:rsidTr="004360D7">
        <w:trPr>
          <w:trHeight w:val="795"/>
        </w:trPr>
        <w:tc>
          <w:tcPr>
            <w:tcW w:w="553" w:type="dxa"/>
            <w:vMerge/>
            <w:tcBorders>
              <w:top w:val="nil"/>
              <w:left w:val="single" w:sz="4" w:space="0" w:color="auto"/>
              <w:bottom w:val="single" w:sz="4" w:space="0" w:color="auto"/>
              <w:right w:val="single" w:sz="4" w:space="0" w:color="auto"/>
            </w:tcBorders>
            <w:vAlign w:val="center"/>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p>
        </w:tc>
        <w:tc>
          <w:tcPr>
            <w:tcW w:w="1527" w:type="dxa"/>
            <w:tcBorders>
              <w:top w:val="nil"/>
              <w:left w:val="single" w:sz="8" w:space="0" w:color="auto"/>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8"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481"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30"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265"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000000" w:fill="FFF2CC"/>
            <w:vAlign w:val="bottom"/>
            <w:hideMark/>
          </w:tcPr>
          <w:p w:rsidR="002E1AF0" w:rsidRPr="002E1AF0" w:rsidRDefault="002E1AF0" w:rsidP="002E1AF0">
            <w:pPr>
              <w:spacing w:after="0" w:line="240" w:lineRule="auto"/>
              <w:jc w:val="center"/>
              <w:rPr>
                <w:rFonts w:ascii="Calibri" w:eastAsia="Times New Roman" w:hAnsi="Calibri" w:cs="Calibri"/>
                <w:color w:val="BF8F00"/>
                <w:sz w:val="20"/>
                <w:szCs w:val="20"/>
                <w:lang w:eastAsia="en-AU"/>
              </w:rPr>
            </w:pPr>
            <w:r w:rsidRPr="002E1AF0">
              <w:rPr>
                <w:rFonts w:ascii="Calibri" w:eastAsia="Times New Roman" w:hAnsi="Calibri" w:cs="Calibri"/>
                <w:color w:val="BF8F00"/>
                <w:sz w:val="20"/>
                <w:szCs w:val="20"/>
                <w:lang w:eastAsia="en-AU"/>
              </w:rPr>
              <w:t>Smear / smudge cells</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single" w:sz="4" w:space="0" w:color="auto"/>
            </w:tcBorders>
            <w:shd w:val="clear" w:color="000000" w:fill="FFF2CC"/>
            <w:vAlign w:val="bottom"/>
            <w:hideMark/>
          </w:tcPr>
          <w:p w:rsidR="002E1AF0" w:rsidRPr="002E1AF0" w:rsidRDefault="002E1AF0" w:rsidP="002E1AF0">
            <w:pPr>
              <w:spacing w:after="0" w:line="240" w:lineRule="auto"/>
              <w:jc w:val="center"/>
              <w:rPr>
                <w:rFonts w:ascii="Calibri" w:eastAsia="Times New Roman" w:hAnsi="Calibri" w:cs="Calibri"/>
                <w:color w:val="BF8F00"/>
                <w:sz w:val="20"/>
                <w:szCs w:val="20"/>
                <w:lang w:eastAsia="en-AU"/>
              </w:rPr>
            </w:pPr>
            <w:r w:rsidRPr="002E1AF0">
              <w:rPr>
                <w:rFonts w:ascii="Calibri" w:eastAsia="Times New Roman" w:hAnsi="Calibri" w:cs="Calibri"/>
                <w:color w:val="BF8F00"/>
                <w:sz w:val="20"/>
                <w:szCs w:val="20"/>
                <w:lang w:eastAsia="en-AU"/>
              </w:rPr>
              <w:t>Smear / smudge cells</w:t>
            </w:r>
          </w:p>
        </w:tc>
      </w:tr>
      <w:tr w:rsidR="002E1AF0" w:rsidRPr="002E1AF0" w:rsidTr="004360D7">
        <w:trPr>
          <w:trHeight w:val="1035"/>
        </w:trPr>
        <w:tc>
          <w:tcPr>
            <w:tcW w:w="553" w:type="dxa"/>
            <w:vMerge w:val="restart"/>
            <w:tcBorders>
              <w:top w:val="nil"/>
              <w:left w:val="single" w:sz="4" w:space="0" w:color="auto"/>
              <w:bottom w:val="single" w:sz="4" w:space="0" w:color="auto"/>
              <w:right w:val="single" w:sz="4" w:space="0" w:color="auto"/>
            </w:tcBorders>
            <w:shd w:val="clear" w:color="000000" w:fill="D6DCE4"/>
            <w:textDirection w:val="tbRl"/>
            <w:vAlign w:val="center"/>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Platelet Features</w:t>
            </w:r>
          </w:p>
        </w:tc>
        <w:tc>
          <w:tcPr>
            <w:tcW w:w="1527" w:type="dxa"/>
            <w:tcBorders>
              <w:top w:val="single" w:sz="8" w:space="0" w:color="auto"/>
              <w:left w:val="single" w:sz="8" w:space="0" w:color="auto"/>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No significant morphological platelet abnormality</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No significant morphological platelet abnormality</w:t>
            </w: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Platelet clumps</w:t>
            </w:r>
          </w:p>
        </w:tc>
        <w:tc>
          <w:tcPr>
            <w:tcW w:w="1528"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No significant morphological platelet abnormality</w:t>
            </w:r>
          </w:p>
        </w:tc>
        <w:tc>
          <w:tcPr>
            <w:tcW w:w="1481"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No significant morphological platelet abnormality</w:t>
            </w:r>
          </w:p>
        </w:tc>
        <w:tc>
          <w:tcPr>
            <w:tcW w:w="1530"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No significant morphological platelet abnormality</w:t>
            </w:r>
          </w:p>
        </w:tc>
        <w:tc>
          <w:tcPr>
            <w:tcW w:w="265"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No significant morphological platelet abnormality</w:t>
            </w: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Platelet clumps</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No significant morphological platelet abnormality</w:t>
            </w:r>
          </w:p>
        </w:tc>
        <w:tc>
          <w:tcPr>
            <w:tcW w:w="1527" w:type="dxa"/>
            <w:tcBorders>
              <w:top w:val="single" w:sz="8" w:space="0" w:color="auto"/>
              <w:left w:val="nil"/>
              <w:bottom w:val="nil"/>
              <w:right w:val="single" w:sz="4" w:space="0" w:color="auto"/>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No significant morphological platelet abnormality</w:t>
            </w:r>
          </w:p>
        </w:tc>
      </w:tr>
      <w:tr w:rsidR="002E1AF0" w:rsidRPr="002E1AF0" w:rsidTr="004360D7">
        <w:trPr>
          <w:trHeight w:val="540"/>
        </w:trPr>
        <w:tc>
          <w:tcPr>
            <w:tcW w:w="553" w:type="dxa"/>
            <w:vMerge/>
            <w:tcBorders>
              <w:top w:val="nil"/>
              <w:left w:val="single" w:sz="4" w:space="0" w:color="auto"/>
              <w:bottom w:val="single" w:sz="4" w:space="0" w:color="auto"/>
              <w:right w:val="single" w:sz="4" w:space="0" w:color="auto"/>
            </w:tcBorders>
            <w:vAlign w:val="center"/>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p>
        </w:tc>
        <w:tc>
          <w:tcPr>
            <w:tcW w:w="1527" w:type="dxa"/>
            <w:tcBorders>
              <w:top w:val="nil"/>
              <w:left w:val="single" w:sz="8" w:space="0" w:color="auto"/>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8"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481"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30"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265"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single" w:sz="4" w:space="0" w:color="auto"/>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r>
      <w:tr w:rsidR="002E1AF0" w:rsidRPr="002E1AF0" w:rsidTr="004360D7">
        <w:trPr>
          <w:trHeight w:val="780"/>
        </w:trPr>
        <w:tc>
          <w:tcPr>
            <w:tcW w:w="553" w:type="dxa"/>
            <w:vMerge w:val="restart"/>
            <w:tcBorders>
              <w:top w:val="nil"/>
              <w:left w:val="single" w:sz="4" w:space="0" w:color="auto"/>
              <w:bottom w:val="single" w:sz="4" w:space="0" w:color="auto"/>
              <w:right w:val="single" w:sz="4" w:space="0" w:color="auto"/>
            </w:tcBorders>
            <w:shd w:val="clear" w:color="000000" w:fill="F8CBAD"/>
            <w:textDirection w:val="tbRl"/>
            <w:vAlign w:val="center"/>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xml:space="preserve">Primary Diagnosis </w:t>
            </w:r>
          </w:p>
        </w:tc>
        <w:tc>
          <w:tcPr>
            <w:tcW w:w="1527" w:type="dxa"/>
            <w:tcBorders>
              <w:top w:val="single" w:sz="8" w:space="0" w:color="auto"/>
              <w:left w:val="single" w:sz="8" w:space="0" w:color="auto"/>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B-cell prolymphocytic leukaemia</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B-cell prolymphocytic leukaemia</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B-cell prolymphocytic leukaemia</w:t>
            </w:r>
          </w:p>
        </w:tc>
        <w:tc>
          <w:tcPr>
            <w:tcW w:w="1528"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B-cell prolymphocytic leukaemia</w:t>
            </w:r>
          </w:p>
        </w:tc>
        <w:tc>
          <w:tcPr>
            <w:tcW w:w="1481"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B-cell prolymphocytic leukaemia</w:t>
            </w:r>
          </w:p>
        </w:tc>
        <w:tc>
          <w:tcPr>
            <w:tcW w:w="1530"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B-cell prolymphocytic leukaemia</w:t>
            </w:r>
          </w:p>
        </w:tc>
        <w:tc>
          <w:tcPr>
            <w:tcW w:w="265"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single" w:sz="8" w:space="0" w:color="auto"/>
              <w:left w:val="nil"/>
              <w:bottom w:val="nil"/>
              <w:right w:val="nil"/>
            </w:tcBorders>
            <w:shd w:val="clear" w:color="000000" w:fill="FFEB9C"/>
            <w:vAlign w:val="bottom"/>
            <w:hideMark/>
          </w:tcPr>
          <w:p w:rsidR="002E1AF0" w:rsidRPr="002E1AF0" w:rsidRDefault="002E1AF0" w:rsidP="002E1AF0">
            <w:pPr>
              <w:spacing w:after="0" w:line="240" w:lineRule="auto"/>
              <w:jc w:val="center"/>
              <w:rPr>
                <w:rFonts w:ascii="Calibri" w:eastAsia="Times New Roman" w:hAnsi="Calibri" w:cs="Calibri"/>
                <w:color w:val="9C5700"/>
                <w:sz w:val="20"/>
                <w:szCs w:val="20"/>
                <w:lang w:eastAsia="en-AU"/>
              </w:rPr>
            </w:pPr>
            <w:r w:rsidRPr="002E1AF0">
              <w:rPr>
                <w:rFonts w:ascii="Calibri" w:eastAsia="Times New Roman" w:hAnsi="Calibri" w:cs="Calibri"/>
                <w:color w:val="9C5700"/>
                <w:sz w:val="20"/>
                <w:szCs w:val="20"/>
                <w:lang w:eastAsia="en-AU"/>
              </w:rPr>
              <w:t>T-cell prolymphocytic leukaemia</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B-cell prolymphocytic leukaemia</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B-cell prolymphocytic leukaemia</w:t>
            </w:r>
          </w:p>
        </w:tc>
        <w:tc>
          <w:tcPr>
            <w:tcW w:w="1527" w:type="dxa"/>
            <w:tcBorders>
              <w:top w:val="single" w:sz="8" w:space="0" w:color="auto"/>
              <w:left w:val="nil"/>
              <w:bottom w:val="nil"/>
              <w:right w:val="single" w:sz="4" w:space="0" w:color="auto"/>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B-cell prolymphocytic leukaemia</w:t>
            </w:r>
          </w:p>
        </w:tc>
      </w:tr>
      <w:tr w:rsidR="002E1AF0" w:rsidRPr="002E1AF0" w:rsidTr="004360D7">
        <w:trPr>
          <w:trHeight w:val="557"/>
        </w:trPr>
        <w:tc>
          <w:tcPr>
            <w:tcW w:w="553" w:type="dxa"/>
            <w:vMerge/>
            <w:tcBorders>
              <w:top w:val="nil"/>
              <w:left w:val="single" w:sz="4" w:space="0" w:color="auto"/>
              <w:bottom w:val="single" w:sz="4" w:space="0" w:color="auto"/>
              <w:right w:val="single" w:sz="4" w:space="0" w:color="auto"/>
            </w:tcBorders>
            <w:vAlign w:val="center"/>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p>
        </w:tc>
        <w:tc>
          <w:tcPr>
            <w:tcW w:w="1527" w:type="dxa"/>
            <w:tcBorders>
              <w:top w:val="nil"/>
              <w:left w:val="single" w:sz="8" w:space="0" w:color="auto"/>
              <w:bottom w:val="single" w:sz="4"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4"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4"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8" w:type="dxa"/>
            <w:tcBorders>
              <w:top w:val="nil"/>
              <w:left w:val="nil"/>
              <w:bottom w:val="single" w:sz="4"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481" w:type="dxa"/>
            <w:tcBorders>
              <w:top w:val="nil"/>
              <w:left w:val="nil"/>
              <w:bottom w:val="single" w:sz="4"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30" w:type="dxa"/>
            <w:tcBorders>
              <w:top w:val="nil"/>
              <w:left w:val="nil"/>
              <w:bottom w:val="single" w:sz="4"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265" w:type="dxa"/>
            <w:tcBorders>
              <w:top w:val="nil"/>
              <w:left w:val="nil"/>
              <w:bottom w:val="single" w:sz="4"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4"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4"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4"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4" w:space="0" w:color="auto"/>
              <w:right w:val="single" w:sz="4" w:space="0" w:color="auto"/>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r>
    </w:tbl>
    <w:p w:rsidR="002E1AF0" w:rsidRDefault="002E1AF0">
      <w:pPr>
        <w:rPr>
          <w:noProof/>
        </w:rPr>
      </w:pPr>
    </w:p>
    <w:tbl>
      <w:tblPr>
        <w:tblW w:w="7600" w:type="dxa"/>
        <w:tblLook w:val="04A0" w:firstRow="1" w:lastRow="0" w:firstColumn="1" w:lastColumn="0" w:noHBand="0" w:noVBand="1"/>
      </w:tblPr>
      <w:tblGrid>
        <w:gridCol w:w="1520"/>
        <w:gridCol w:w="1520"/>
        <w:gridCol w:w="1520"/>
        <w:gridCol w:w="1520"/>
        <w:gridCol w:w="1520"/>
      </w:tblGrid>
      <w:tr w:rsidR="002E1AF0" w:rsidRPr="002E1AF0" w:rsidTr="002E1AF0">
        <w:trPr>
          <w:trHeight w:val="780"/>
        </w:trPr>
        <w:tc>
          <w:tcPr>
            <w:tcW w:w="1520"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High scoring response</w:t>
            </w:r>
          </w:p>
        </w:tc>
        <w:tc>
          <w:tcPr>
            <w:tcW w:w="1520"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2E1AF0" w:rsidRPr="002E1AF0" w:rsidRDefault="002E1AF0" w:rsidP="002E1AF0">
            <w:pPr>
              <w:spacing w:after="0" w:line="240" w:lineRule="auto"/>
              <w:jc w:val="center"/>
              <w:rPr>
                <w:rFonts w:ascii="Calibri" w:eastAsia="Times New Roman" w:hAnsi="Calibri" w:cs="Calibri"/>
                <w:color w:val="9C5700"/>
                <w:sz w:val="20"/>
                <w:szCs w:val="20"/>
                <w:lang w:eastAsia="en-AU"/>
              </w:rPr>
            </w:pPr>
            <w:r w:rsidRPr="002E1AF0">
              <w:rPr>
                <w:rFonts w:ascii="Calibri" w:eastAsia="Times New Roman" w:hAnsi="Calibri" w:cs="Calibri"/>
                <w:color w:val="9C5700"/>
                <w:sz w:val="20"/>
                <w:szCs w:val="20"/>
                <w:lang w:eastAsia="en-AU"/>
              </w:rPr>
              <w:t>Moderate scoring response</w:t>
            </w:r>
          </w:p>
        </w:tc>
        <w:tc>
          <w:tcPr>
            <w:tcW w:w="1520" w:type="dxa"/>
            <w:tcBorders>
              <w:top w:val="single" w:sz="8" w:space="0" w:color="auto"/>
              <w:left w:val="nil"/>
              <w:bottom w:val="single" w:sz="8" w:space="0" w:color="auto"/>
              <w:right w:val="single" w:sz="8" w:space="0" w:color="auto"/>
            </w:tcBorders>
            <w:shd w:val="clear" w:color="000000" w:fill="FFF2CC"/>
            <w:vAlign w:val="center"/>
            <w:hideMark/>
          </w:tcPr>
          <w:p w:rsidR="002E1AF0" w:rsidRPr="002E1AF0" w:rsidRDefault="002E1AF0" w:rsidP="002E1AF0">
            <w:pPr>
              <w:spacing w:after="0" w:line="240" w:lineRule="auto"/>
              <w:jc w:val="center"/>
              <w:rPr>
                <w:rFonts w:ascii="Calibri" w:eastAsia="Times New Roman" w:hAnsi="Calibri" w:cs="Calibri"/>
                <w:color w:val="BF8F00"/>
                <w:sz w:val="20"/>
                <w:szCs w:val="20"/>
                <w:lang w:eastAsia="en-AU"/>
              </w:rPr>
            </w:pPr>
            <w:r w:rsidRPr="002E1AF0">
              <w:rPr>
                <w:rFonts w:ascii="Calibri" w:eastAsia="Times New Roman" w:hAnsi="Calibri" w:cs="Calibri"/>
                <w:color w:val="BF8F00"/>
                <w:sz w:val="20"/>
                <w:szCs w:val="20"/>
                <w:lang w:eastAsia="en-AU"/>
              </w:rPr>
              <w:t xml:space="preserve">Low scoring response </w:t>
            </w:r>
          </w:p>
        </w:tc>
        <w:tc>
          <w:tcPr>
            <w:tcW w:w="1520" w:type="dxa"/>
            <w:tcBorders>
              <w:top w:val="single" w:sz="8" w:space="0" w:color="auto"/>
              <w:left w:val="single" w:sz="8" w:space="0" w:color="auto"/>
              <w:bottom w:val="single" w:sz="8" w:space="0" w:color="auto"/>
              <w:right w:val="single" w:sz="8" w:space="0" w:color="auto"/>
            </w:tcBorders>
            <w:shd w:val="clear" w:color="000000" w:fill="FFF2CC"/>
            <w:vAlign w:val="center"/>
            <w:hideMark/>
          </w:tcPr>
          <w:p w:rsidR="002E1AF0" w:rsidRPr="002E1AF0" w:rsidRDefault="002E1AF0" w:rsidP="002E1AF0">
            <w:pPr>
              <w:spacing w:after="0" w:line="240" w:lineRule="auto"/>
              <w:jc w:val="center"/>
              <w:rPr>
                <w:rFonts w:ascii="Calibri" w:eastAsia="Times New Roman" w:hAnsi="Calibri" w:cs="Calibri"/>
                <w:sz w:val="20"/>
                <w:szCs w:val="20"/>
                <w:lang w:eastAsia="en-AU"/>
              </w:rPr>
            </w:pPr>
            <w:r w:rsidRPr="002E1AF0">
              <w:rPr>
                <w:rFonts w:ascii="Calibri" w:eastAsia="Times New Roman" w:hAnsi="Calibri" w:cs="Calibri"/>
                <w:sz w:val="20"/>
                <w:szCs w:val="20"/>
                <w:lang w:eastAsia="en-AU"/>
              </w:rPr>
              <w:t xml:space="preserve">Lowest scoring response </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xml:space="preserve">Response given no score </w:t>
            </w:r>
          </w:p>
        </w:tc>
      </w:tr>
    </w:tbl>
    <w:p w:rsidR="002E1AF0" w:rsidRDefault="002E1AF0">
      <w:pPr>
        <w:rPr>
          <w:noProof/>
        </w:rPr>
      </w:pPr>
    </w:p>
    <w:tbl>
      <w:tblPr>
        <w:tblW w:w="15304" w:type="dxa"/>
        <w:tblLook w:val="04A0" w:firstRow="1" w:lastRow="0" w:firstColumn="1" w:lastColumn="0" w:noHBand="0" w:noVBand="1"/>
      </w:tblPr>
      <w:tblGrid>
        <w:gridCol w:w="570"/>
        <w:gridCol w:w="1621"/>
        <w:gridCol w:w="1527"/>
        <w:gridCol w:w="269"/>
        <w:gridCol w:w="1527"/>
        <w:gridCol w:w="1527"/>
        <w:gridCol w:w="1527"/>
        <w:gridCol w:w="1534"/>
        <w:gridCol w:w="1419"/>
        <w:gridCol w:w="1799"/>
        <w:gridCol w:w="1984"/>
      </w:tblGrid>
      <w:tr w:rsidR="004678FA" w:rsidRPr="002E1AF0" w:rsidTr="0057583B">
        <w:trPr>
          <w:trHeight w:val="406"/>
        </w:trPr>
        <w:tc>
          <w:tcPr>
            <w:tcW w:w="570" w:type="dxa"/>
            <w:tcBorders>
              <w:top w:val="single" w:sz="4" w:space="0" w:color="auto"/>
              <w:left w:val="single" w:sz="4" w:space="0" w:color="auto"/>
              <w:bottom w:val="single" w:sz="4" w:space="0" w:color="auto"/>
              <w:right w:val="single" w:sz="4" w:space="0" w:color="auto"/>
            </w:tcBorders>
            <w:shd w:val="clear" w:color="auto" w:fill="FFFF00"/>
            <w:textDirection w:val="tbRl"/>
            <w:vAlign w:val="center"/>
          </w:tcPr>
          <w:p w:rsidR="004678FA" w:rsidRPr="002E1AF0" w:rsidRDefault="004678FA" w:rsidP="002E1AF0">
            <w:pPr>
              <w:spacing w:after="0" w:line="240" w:lineRule="auto"/>
              <w:jc w:val="center"/>
              <w:rPr>
                <w:rFonts w:ascii="Calibri" w:eastAsia="Times New Roman" w:hAnsi="Calibri" w:cs="Calibri"/>
                <w:color w:val="000000"/>
                <w:sz w:val="20"/>
                <w:szCs w:val="20"/>
                <w:lang w:eastAsia="en-AU"/>
              </w:rPr>
            </w:pPr>
          </w:p>
        </w:tc>
        <w:tc>
          <w:tcPr>
            <w:tcW w:w="14734" w:type="dxa"/>
            <w:gridSpan w:val="10"/>
            <w:tcBorders>
              <w:top w:val="single" w:sz="8" w:space="0" w:color="auto"/>
              <w:left w:val="nil"/>
              <w:bottom w:val="nil"/>
              <w:right w:val="single" w:sz="8" w:space="0" w:color="auto"/>
            </w:tcBorders>
            <w:shd w:val="clear" w:color="auto" w:fill="FFFF00"/>
            <w:vAlign w:val="bottom"/>
          </w:tcPr>
          <w:p w:rsidR="004678FA" w:rsidRPr="002E1AF0" w:rsidRDefault="004678FA" w:rsidP="002E1AF0">
            <w:pPr>
              <w:spacing w:after="0" w:line="240" w:lineRule="auto"/>
              <w:jc w:val="center"/>
              <w:rPr>
                <w:rFonts w:ascii="Calibri" w:eastAsia="Times New Roman" w:hAnsi="Calibri" w:cs="Calibri"/>
                <w:color w:val="006100"/>
                <w:sz w:val="20"/>
                <w:szCs w:val="20"/>
                <w:lang w:eastAsia="en-AU"/>
              </w:rPr>
            </w:pPr>
            <w:r w:rsidRPr="00753611">
              <w:rPr>
                <w:rFonts w:ascii="Calibri" w:eastAsia="Times New Roman" w:hAnsi="Calibri" w:cs="Calibri"/>
                <w:b/>
                <w:bCs/>
                <w:color w:val="000000"/>
                <w:sz w:val="20"/>
                <w:szCs w:val="20"/>
                <w:lang w:eastAsia="en-AU"/>
              </w:rPr>
              <w:t>HA-MO-21-06</w:t>
            </w:r>
          </w:p>
        </w:tc>
      </w:tr>
      <w:tr w:rsidR="002E1AF0" w:rsidRPr="002E1AF0" w:rsidTr="002E1AF0">
        <w:trPr>
          <w:trHeight w:val="525"/>
        </w:trPr>
        <w:tc>
          <w:tcPr>
            <w:tcW w:w="570" w:type="dxa"/>
            <w:vMerge w:val="restart"/>
            <w:tcBorders>
              <w:top w:val="single" w:sz="4" w:space="0" w:color="auto"/>
              <w:left w:val="single" w:sz="4" w:space="0" w:color="auto"/>
              <w:bottom w:val="single" w:sz="4" w:space="0" w:color="auto"/>
              <w:right w:val="single" w:sz="4" w:space="0" w:color="auto"/>
            </w:tcBorders>
            <w:shd w:val="clear" w:color="000000" w:fill="FFCCFF"/>
            <w:textDirection w:val="tbRl"/>
            <w:vAlign w:val="center"/>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RBC Features</w:t>
            </w:r>
          </w:p>
        </w:tc>
        <w:tc>
          <w:tcPr>
            <w:tcW w:w="1621"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Pencil cells</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Elliptocytes / ovalocytes</w:t>
            </w:r>
          </w:p>
        </w:tc>
        <w:tc>
          <w:tcPr>
            <w:tcW w:w="269" w:type="dxa"/>
            <w:tcBorders>
              <w:top w:val="single" w:sz="8" w:space="0" w:color="auto"/>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Microcytes</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Elliptocytes / ovalocytes</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Microcytes</w:t>
            </w:r>
          </w:p>
        </w:tc>
        <w:tc>
          <w:tcPr>
            <w:tcW w:w="1534"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Polychromasia increased</w:t>
            </w:r>
          </w:p>
        </w:tc>
        <w:tc>
          <w:tcPr>
            <w:tcW w:w="1419" w:type="dxa"/>
            <w:tcBorders>
              <w:top w:val="single" w:sz="8" w:space="0" w:color="auto"/>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Irregularly contracted cells</w:t>
            </w:r>
          </w:p>
        </w:tc>
        <w:tc>
          <w:tcPr>
            <w:tcW w:w="1799"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Elliptocytes / ovalocytes</w:t>
            </w:r>
          </w:p>
        </w:tc>
        <w:tc>
          <w:tcPr>
            <w:tcW w:w="1984" w:type="dxa"/>
            <w:tcBorders>
              <w:top w:val="single" w:sz="8" w:space="0" w:color="auto"/>
              <w:left w:val="nil"/>
              <w:bottom w:val="nil"/>
              <w:right w:val="single" w:sz="8" w:space="0" w:color="auto"/>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Pencil cells</w:t>
            </w:r>
          </w:p>
        </w:tc>
      </w:tr>
      <w:tr w:rsidR="002E1AF0" w:rsidRPr="002E1AF0" w:rsidTr="002E1AF0">
        <w:trPr>
          <w:trHeight w:val="780"/>
        </w:trPr>
        <w:tc>
          <w:tcPr>
            <w:tcW w:w="570" w:type="dxa"/>
            <w:vMerge/>
            <w:tcBorders>
              <w:top w:val="single" w:sz="4" w:space="0" w:color="auto"/>
              <w:left w:val="single" w:sz="4" w:space="0" w:color="auto"/>
              <w:bottom w:val="single" w:sz="4" w:space="0" w:color="auto"/>
              <w:right w:val="single" w:sz="4" w:space="0" w:color="auto"/>
            </w:tcBorders>
            <w:vAlign w:val="center"/>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p>
        </w:tc>
        <w:tc>
          <w:tcPr>
            <w:tcW w:w="1621"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p>
        </w:tc>
        <w:tc>
          <w:tcPr>
            <w:tcW w:w="1527"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Microcytes</w:t>
            </w:r>
          </w:p>
        </w:tc>
        <w:tc>
          <w:tcPr>
            <w:tcW w:w="269"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p>
        </w:tc>
        <w:tc>
          <w:tcPr>
            <w:tcW w:w="1527"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Elliptocytes / ovalocytes</w:t>
            </w: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Rouleaux</w:t>
            </w: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p>
        </w:tc>
        <w:tc>
          <w:tcPr>
            <w:tcW w:w="1534"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Microcytes</w:t>
            </w:r>
          </w:p>
        </w:tc>
        <w:tc>
          <w:tcPr>
            <w:tcW w:w="1419"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Rouleaux</w:t>
            </w:r>
          </w:p>
        </w:tc>
        <w:tc>
          <w:tcPr>
            <w:tcW w:w="1799"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Polychromasia increased</w:t>
            </w:r>
          </w:p>
        </w:tc>
        <w:tc>
          <w:tcPr>
            <w:tcW w:w="1984" w:type="dxa"/>
            <w:tcBorders>
              <w:top w:val="nil"/>
              <w:left w:val="nil"/>
              <w:bottom w:val="nil"/>
              <w:right w:val="single" w:sz="8" w:space="0" w:color="auto"/>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Irregularly contracted cells</w:t>
            </w:r>
          </w:p>
        </w:tc>
      </w:tr>
      <w:tr w:rsidR="002E1AF0" w:rsidRPr="002E1AF0" w:rsidTr="002E1AF0">
        <w:trPr>
          <w:trHeight w:val="300"/>
        </w:trPr>
        <w:tc>
          <w:tcPr>
            <w:tcW w:w="570" w:type="dxa"/>
            <w:vMerge/>
            <w:tcBorders>
              <w:top w:val="single" w:sz="4" w:space="0" w:color="auto"/>
              <w:left w:val="single" w:sz="4" w:space="0" w:color="auto"/>
              <w:bottom w:val="single" w:sz="4" w:space="0" w:color="auto"/>
              <w:right w:val="single" w:sz="4" w:space="0" w:color="auto"/>
            </w:tcBorders>
            <w:vAlign w:val="center"/>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p>
        </w:tc>
        <w:tc>
          <w:tcPr>
            <w:tcW w:w="1621"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Times New Roman" w:eastAsia="Times New Roman" w:hAnsi="Times New Roman" w:cs="Times New Roman"/>
                <w:sz w:val="20"/>
                <w:szCs w:val="20"/>
                <w:lang w:eastAsia="en-AU"/>
              </w:rPr>
            </w:pPr>
          </w:p>
        </w:tc>
        <w:tc>
          <w:tcPr>
            <w:tcW w:w="269"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Times New Roman" w:eastAsia="Times New Roman" w:hAnsi="Times New Roman" w:cs="Times New Roman"/>
                <w:sz w:val="20"/>
                <w:szCs w:val="20"/>
                <w:lang w:eastAsia="en-AU"/>
              </w:rPr>
            </w:pPr>
          </w:p>
        </w:tc>
        <w:tc>
          <w:tcPr>
            <w:tcW w:w="1527"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Hypochromia</w:t>
            </w: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Times New Roman" w:eastAsia="Times New Roman" w:hAnsi="Times New Roman" w:cs="Times New Roman"/>
                <w:sz w:val="20"/>
                <w:szCs w:val="20"/>
                <w:lang w:eastAsia="en-AU"/>
              </w:rPr>
            </w:pPr>
          </w:p>
        </w:tc>
        <w:tc>
          <w:tcPr>
            <w:tcW w:w="1534"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Pencil cells</w:t>
            </w:r>
          </w:p>
        </w:tc>
        <w:tc>
          <w:tcPr>
            <w:tcW w:w="1419"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Pencil cells</w:t>
            </w:r>
          </w:p>
        </w:tc>
        <w:tc>
          <w:tcPr>
            <w:tcW w:w="1799"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Rouleaux</w:t>
            </w:r>
          </w:p>
        </w:tc>
        <w:tc>
          <w:tcPr>
            <w:tcW w:w="1984" w:type="dxa"/>
            <w:tcBorders>
              <w:top w:val="nil"/>
              <w:left w:val="nil"/>
              <w:bottom w:val="nil"/>
              <w:right w:val="single" w:sz="8" w:space="0" w:color="auto"/>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Rouleaux</w:t>
            </w:r>
          </w:p>
        </w:tc>
      </w:tr>
      <w:tr w:rsidR="002E1AF0" w:rsidRPr="002E1AF0" w:rsidTr="002E1AF0">
        <w:trPr>
          <w:trHeight w:val="540"/>
        </w:trPr>
        <w:tc>
          <w:tcPr>
            <w:tcW w:w="570" w:type="dxa"/>
            <w:vMerge/>
            <w:tcBorders>
              <w:top w:val="single" w:sz="4" w:space="0" w:color="auto"/>
              <w:left w:val="single" w:sz="4" w:space="0" w:color="auto"/>
              <w:bottom w:val="single" w:sz="4" w:space="0" w:color="auto"/>
              <w:right w:val="single" w:sz="4" w:space="0" w:color="auto"/>
            </w:tcBorders>
            <w:vAlign w:val="center"/>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p>
        </w:tc>
        <w:tc>
          <w:tcPr>
            <w:tcW w:w="1621"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269"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34"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Tear drop cells</w:t>
            </w:r>
          </w:p>
        </w:tc>
        <w:tc>
          <w:tcPr>
            <w:tcW w:w="1419" w:type="dxa"/>
            <w:tcBorders>
              <w:top w:val="nil"/>
              <w:left w:val="nil"/>
              <w:bottom w:val="single" w:sz="8" w:space="0" w:color="auto"/>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Microcytes</w:t>
            </w:r>
          </w:p>
        </w:tc>
        <w:tc>
          <w:tcPr>
            <w:tcW w:w="1799"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984" w:type="dxa"/>
            <w:tcBorders>
              <w:top w:val="nil"/>
              <w:left w:val="nil"/>
              <w:bottom w:val="single" w:sz="8" w:space="0" w:color="auto"/>
              <w:right w:val="single" w:sz="8" w:space="0" w:color="auto"/>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r>
      <w:tr w:rsidR="002E1AF0" w:rsidRPr="002E1AF0" w:rsidTr="002E1AF0">
        <w:trPr>
          <w:trHeight w:val="525"/>
        </w:trPr>
        <w:tc>
          <w:tcPr>
            <w:tcW w:w="570" w:type="dxa"/>
            <w:vMerge w:val="restart"/>
            <w:tcBorders>
              <w:top w:val="nil"/>
              <w:left w:val="single" w:sz="4" w:space="0" w:color="auto"/>
              <w:bottom w:val="single" w:sz="4" w:space="0" w:color="auto"/>
              <w:right w:val="single" w:sz="4" w:space="0" w:color="auto"/>
            </w:tcBorders>
            <w:shd w:val="clear" w:color="000000" w:fill="BDD7EE"/>
            <w:textDirection w:val="tbRl"/>
            <w:vAlign w:val="center"/>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WBC Features</w:t>
            </w:r>
          </w:p>
        </w:tc>
        <w:tc>
          <w:tcPr>
            <w:tcW w:w="1621" w:type="dxa"/>
            <w:tcBorders>
              <w:top w:val="single" w:sz="8" w:space="0" w:color="auto"/>
              <w:left w:val="nil"/>
              <w:bottom w:val="nil"/>
              <w:right w:val="nil"/>
            </w:tcBorders>
            <w:shd w:val="clear" w:color="000000" w:fill="FFEB9C"/>
            <w:vAlign w:val="bottom"/>
            <w:hideMark/>
          </w:tcPr>
          <w:p w:rsidR="002E1AF0" w:rsidRPr="002E1AF0" w:rsidRDefault="002E1AF0" w:rsidP="002E1AF0">
            <w:pPr>
              <w:spacing w:after="0" w:line="240" w:lineRule="auto"/>
              <w:jc w:val="center"/>
              <w:rPr>
                <w:rFonts w:ascii="Calibri" w:eastAsia="Times New Roman" w:hAnsi="Calibri" w:cs="Calibri"/>
                <w:color w:val="9C5700"/>
                <w:sz w:val="20"/>
                <w:szCs w:val="20"/>
                <w:lang w:eastAsia="en-AU"/>
              </w:rPr>
            </w:pPr>
            <w:r w:rsidRPr="002E1AF0">
              <w:rPr>
                <w:rFonts w:ascii="Calibri" w:eastAsia="Times New Roman" w:hAnsi="Calibri" w:cs="Calibri"/>
                <w:color w:val="9C5700"/>
                <w:sz w:val="20"/>
                <w:szCs w:val="20"/>
                <w:lang w:eastAsia="en-AU"/>
              </w:rPr>
              <w:t>Lymphocytes – abnormal</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Prolymphocytes</w:t>
            </w:r>
          </w:p>
        </w:tc>
        <w:tc>
          <w:tcPr>
            <w:tcW w:w="269"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Blast cells</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Prolymphocytes</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Prolymphocytes</w:t>
            </w:r>
          </w:p>
        </w:tc>
        <w:tc>
          <w:tcPr>
            <w:tcW w:w="1534"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Blast cells</w:t>
            </w:r>
          </w:p>
        </w:tc>
        <w:tc>
          <w:tcPr>
            <w:tcW w:w="1419" w:type="dxa"/>
            <w:tcBorders>
              <w:top w:val="single" w:sz="8" w:space="0" w:color="auto"/>
              <w:left w:val="nil"/>
              <w:bottom w:val="nil"/>
              <w:right w:val="nil"/>
            </w:tcBorders>
            <w:shd w:val="clear" w:color="000000" w:fill="FFEB9C"/>
            <w:vAlign w:val="bottom"/>
            <w:hideMark/>
          </w:tcPr>
          <w:p w:rsidR="002E1AF0" w:rsidRPr="002E1AF0" w:rsidRDefault="002E1AF0" w:rsidP="002E1AF0">
            <w:pPr>
              <w:spacing w:after="0" w:line="240" w:lineRule="auto"/>
              <w:jc w:val="center"/>
              <w:rPr>
                <w:rFonts w:ascii="Calibri" w:eastAsia="Times New Roman" w:hAnsi="Calibri" w:cs="Calibri"/>
                <w:color w:val="9C5700"/>
                <w:sz w:val="20"/>
                <w:szCs w:val="20"/>
                <w:lang w:eastAsia="en-AU"/>
              </w:rPr>
            </w:pPr>
            <w:r w:rsidRPr="002E1AF0">
              <w:rPr>
                <w:rFonts w:ascii="Calibri" w:eastAsia="Times New Roman" w:hAnsi="Calibri" w:cs="Calibri"/>
                <w:color w:val="9C5700"/>
                <w:sz w:val="20"/>
                <w:szCs w:val="20"/>
                <w:lang w:eastAsia="en-AU"/>
              </w:rPr>
              <w:t>Lymphocytes – abnormal</w:t>
            </w:r>
          </w:p>
        </w:tc>
        <w:tc>
          <w:tcPr>
            <w:tcW w:w="1799"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Blast cells</w:t>
            </w:r>
          </w:p>
        </w:tc>
        <w:tc>
          <w:tcPr>
            <w:tcW w:w="1984" w:type="dxa"/>
            <w:tcBorders>
              <w:top w:val="single" w:sz="8" w:space="0" w:color="auto"/>
              <w:left w:val="nil"/>
              <w:bottom w:val="nil"/>
              <w:right w:val="single" w:sz="8" w:space="0" w:color="auto"/>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Prolymphocytes</w:t>
            </w:r>
          </w:p>
        </w:tc>
      </w:tr>
      <w:tr w:rsidR="002E1AF0" w:rsidRPr="002E1AF0" w:rsidTr="002E1AF0">
        <w:trPr>
          <w:trHeight w:val="780"/>
        </w:trPr>
        <w:tc>
          <w:tcPr>
            <w:tcW w:w="570" w:type="dxa"/>
            <w:vMerge/>
            <w:tcBorders>
              <w:top w:val="nil"/>
              <w:left w:val="single" w:sz="4" w:space="0" w:color="auto"/>
              <w:bottom w:val="single" w:sz="4" w:space="0" w:color="auto"/>
              <w:right w:val="single" w:sz="4" w:space="0" w:color="auto"/>
            </w:tcBorders>
            <w:vAlign w:val="center"/>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p>
        </w:tc>
        <w:tc>
          <w:tcPr>
            <w:tcW w:w="1621"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Blast cells</w:t>
            </w: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Neutropenia</w:t>
            </w:r>
          </w:p>
        </w:tc>
        <w:tc>
          <w:tcPr>
            <w:tcW w:w="269"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p>
        </w:tc>
        <w:tc>
          <w:tcPr>
            <w:tcW w:w="1527"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Prolymphocytes</w:t>
            </w:r>
          </w:p>
        </w:tc>
        <w:tc>
          <w:tcPr>
            <w:tcW w:w="1527"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Lymphocytosis</w:t>
            </w:r>
          </w:p>
        </w:tc>
        <w:tc>
          <w:tcPr>
            <w:tcW w:w="1527" w:type="dxa"/>
            <w:tcBorders>
              <w:top w:val="nil"/>
              <w:left w:val="nil"/>
              <w:bottom w:val="nil"/>
              <w:right w:val="nil"/>
            </w:tcBorders>
            <w:shd w:val="clear" w:color="000000" w:fill="FFEB9C"/>
            <w:vAlign w:val="bottom"/>
            <w:hideMark/>
          </w:tcPr>
          <w:p w:rsidR="002E1AF0" w:rsidRPr="002E1AF0" w:rsidRDefault="002E1AF0" w:rsidP="002E1AF0">
            <w:pPr>
              <w:spacing w:after="0" w:line="240" w:lineRule="auto"/>
              <w:jc w:val="center"/>
              <w:rPr>
                <w:rFonts w:ascii="Calibri" w:eastAsia="Times New Roman" w:hAnsi="Calibri" w:cs="Calibri"/>
                <w:color w:val="9C5700"/>
                <w:sz w:val="20"/>
                <w:szCs w:val="20"/>
                <w:lang w:eastAsia="en-AU"/>
              </w:rPr>
            </w:pPr>
            <w:r w:rsidRPr="002E1AF0">
              <w:rPr>
                <w:rFonts w:ascii="Calibri" w:eastAsia="Times New Roman" w:hAnsi="Calibri" w:cs="Calibri"/>
                <w:color w:val="9C5700"/>
                <w:sz w:val="20"/>
                <w:szCs w:val="20"/>
                <w:lang w:eastAsia="en-AU"/>
              </w:rPr>
              <w:t>Lymphocytes – abnormal</w:t>
            </w:r>
          </w:p>
        </w:tc>
        <w:tc>
          <w:tcPr>
            <w:tcW w:w="1534"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Prolymphocytes</w:t>
            </w:r>
          </w:p>
        </w:tc>
        <w:tc>
          <w:tcPr>
            <w:tcW w:w="1419"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Lymphocytosis</w:t>
            </w:r>
          </w:p>
        </w:tc>
        <w:tc>
          <w:tcPr>
            <w:tcW w:w="1799"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Lymphocytosis</w:t>
            </w:r>
          </w:p>
        </w:tc>
        <w:tc>
          <w:tcPr>
            <w:tcW w:w="1984" w:type="dxa"/>
            <w:tcBorders>
              <w:top w:val="nil"/>
              <w:left w:val="nil"/>
              <w:bottom w:val="nil"/>
              <w:right w:val="single" w:sz="8" w:space="0" w:color="auto"/>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Blast cells</w:t>
            </w:r>
          </w:p>
        </w:tc>
      </w:tr>
      <w:tr w:rsidR="002E1AF0" w:rsidRPr="002E1AF0" w:rsidTr="002E1AF0">
        <w:trPr>
          <w:trHeight w:val="780"/>
        </w:trPr>
        <w:tc>
          <w:tcPr>
            <w:tcW w:w="570" w:type="dxa"/>
            <w:vMerge/>
            <w:tcBorders>
              <w:top w:val="nil"/>
              <w:left w:val="single" w:sz="4" w:space="0" w:color="auto"/>
              <w:bottom w:val="single" w:sz="4" w:space="0" w:color="auto"/>
              <w:right w:val="single" w:sz="4" w:space="0" w:color="auto"/>
            </w:tcBorders>
            <w:vAlign w:val="center"/>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p>
        </w:tc>
        <w:tc>
          <w:tcPr>
            <w:tcW w:w="1621"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Eosinophilia</w:t>
            </w: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p>
        </w:tc>
        <w:tc>
          <w:tcPr>
            <w:tcW w:w="269"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Times New Roman" w:eastAsia="Times New Roman" w:hAnsi="Times New Roman" w:cs="Times New Roman"/>
                <w:sz w:val="20"/>
                <w:szCs w:val="20"/>
                <w:lang w:eastAsia="en-AU"/>
              </w:rPr>
            </w:pPr>
          </w:p>
        </w:tc>
        <w:tc>
          <w:tcPr>
            <w:tcW w:w="1527"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Neutropenia</w:t>
            </w:r>
          </w:p>
        </w:tc>
        <w:tc>
          <w:tcPr>
            <w:tcW w:w="1527" w:type="dxa"/>
            <w:tcBorders>
              <w:top w:val="nil"/>
              <w:left w:val="nil"/>
              <w:bottom w:val="nil"/>
              <w:right w:val="nil"/>
            </w:tcBorders>
            <w:shd w:val="clear" w:color="000000" w:fill="FFF2CC"/>
            <w:vAlign w:val="bottom"/>
            <w:hideMark/>
          </w:tcPr>
          <w:p w:rsidR="002E1AF0" w:rsidRPr="002E1AF0" w:rsidRDefault="002E1AF0" w:rsidP="002E1AF0">
            <w:pPr>
              <w:spacing w:after="0" w:line="240" w:lineRule="auto"/>
              <w:jc w:val="center"/>
              <w:rPr>
                <w:rFonts w:ascii="Calibri" w:eastAsia="Times New Roman" w:hAnsi="Calibri" w:cs="Calibri"/>
                <w:color w:val="BF8F00"/>
                <w:sz w:val="20"/>
                <w:szCs w:val="20"/>
                <w:lang w:eastAsia="en-AU"/>
              </w:rPr>
            </w:pPr>
            <w:r w:rsidRPr="002E1AF0">
              <w:rPr>
                <w:rFonts w:ascii="Calibri" w:eastAsia="Times New Roman" w:hAnsi="Calibri" w:cs="Calibri"/>
                <w:color w:val="BF8F00"/>
                <w:sz w:val="20"/>
                <w:szCs w:val="20"/>
                <w:lang w:eastAsia="en-AU"/>
              </w:rPr>
              <w:t>Smear / smudge cells</w:t>
            </w:r>
          </w:p>
        </w:tc>
        <w:tc>
          <w:tcPr>
            <w:tcW w:w="1527"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Lymphocytosis</w:t>
            </w:r>
          </w:p>
        </w:tc>
        <w:tc>
          <w:tcPr>
            <w:tcW w:w="1534" w:type="dxa"/>
            <w:tcBorders>
              <w:top w:val="nil"/>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Lymphocytosis</w:t>
            </w:r>
          </w:p>
        </w:tc>
        <w:tc>
          <w:tcPr>
            <w:tcW w:w="1419"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p>
        </w:tc>
        <w:tc>
          <w:tcPr>
            <w:tcW w:w="1799"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xml:space="preserve">Neutrophils - </w:t>
            </w:r>
            <w:proofErr w:type="spellStart"/>
            <w:r w:rsidRPr="002E1AF0">
              <w:rPr>
                <w:rFonts w:ascii="Calibri" w:eastAsia="Times New Roman" w:hAnsi="Calibri" w:cs="Calibri"/>
                <w:color w:val="000000"/>
                <w:sz w:val="20"/>
                <w:szCs w:val="20"/>
                <w:lang w:eastAsia="en-AU"/>
              </w:rPr>
              <w:t>hypergranulation</w:t>
            </w:r>
            <w:proofErr w:type="spellEnd"/>
          </w:p>
        </w:tc>
        <w:tc>
          <w:tcPr>
            <w:tcW w:w="1984" w:type="dxa"/>
            <w:tcBorders>
              <w:top w:val="nil"/>
              <w:left w:val="nil"/>
              <w:bottom w:val="nil"/>
              <w:right w:val="single" w:sz="8" w:space="0" w:color="auto"/>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Neutropenia</w:t>
            </w:r>
          </w:p>
        </w:tc>
      </w:tr>
      <w:tr w:rsidR="002E1AF0" w:rsidRPr="002E1AF0" w:rsidTr="002E1AF0">
        <w:trPr>
          <w:trHeight w:val="795"/>
        </w:trPr>
        <w:tc>
          <w:tcPr>
            <w:tcW w:w="570" w:type="dxa"/>
            <w:vMerge/>
            <w:tcBorders>
              <w:top w:val="nil"/>
              <w:left w:val="single" w:sz="4" w:space="0" w:color="auto"/>
              <w:bottom w:val="single" w:sz="4" w:space="0" w:color="auto"/>
              <w:right w:val="single" w:sz="4" w:space="0" w:color="auto"/>
            </w:tcBorders>
            <w:vAlign w:val="center"/>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p>
        </w:tc>
        <w:tc>
          <w:tcPr>
            <w:tcW w:w="1621"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xml:space="preserve">Neutrophils - </w:t>
            </w:r>
            <w:proofErr w:type="spellStart"/>
            <w:r w:rsidRPr="002E1AF0">
              <w:rPr>
                <w:rFonts w:ascii="Calibri" w:eastAsia="Times New Roman" w:hAnsi="Calibri" w:cs="Calibri"/>
                <w:color w:val="000000"/>
                <w:sz w:val="20"/>
                <w:szCs w:val="20"/>
                <w:lang w:eastAsia="en-AU"/>
              </w:rPr>
              <w:t>hypergranulation</w:t>
            </w:r>
            <w:proofErr w:type="spellEnd"/>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269"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000000" w:fill="FFF2CC"/>
            <w:vAlign w:val="bottom"/>
            <w:hideMark/>
          </w:tcPr>
          <w:p w:rsidR="002E1AF0" w:rsidRPr="002E1AF0" w:rsidRDefault="002E1AF0" w:rsidP="002E1AF0">
            <w:pPr>
              <w:spacing w:after="0" w:line="240" w:lineRule="auto"/>
              <w:jc w:val="center"/>
              <w:rPr>
                <w:rFonts w:ascii="Calibri" w:eastAsia="Times New Roman" w:hAnsi="Calibri" w:cs="Calibri"/>
                <w:color w:val="BF8F00"/>
                <w:sz w:val="20"/>
                <w:szCs w:val="20"/>
                <w:lang w:eastAsia="en-AU"/>
              </w:rPr>
            </w:pPr>
            <w:r w:rsidRPr="002E1AF0">
              <w:rPr>
                <w:rFonts w:ascii="Calibri" w:eastAsia="Times New Roman" w:hAnsi="Calibri" w:cs="Calibri"/>
                <w:color w:val="BF8F00"/>
                <w:sz w:val="20"/>
                <w:szCs w:val="20"/>
                <w:lang w:eastAsia="en-AU"/>
              </w:rPr>
              <w:t>Smear / smudge cells</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34" w:type="dxa"/>
            <w:tcBorders>
              <w:top w:val="nil"/>
              <w:left w:val="nil"/>
              <w:bottom w:val="single" w:sz="8" w:space="0" w:color="auto"/>
              <w:right w:val="nil"/>
            </w:tcBorders>
            <w:shd w:val="clear" w:color="000000" w:fill="FFF2CC"/>
            <w:vAlign w:val="bottom"/>
            <w:hideMark/>
          </w:tcPr>
          <w:p w:rsidR="002E1AF0" w:rsidRPr="002E1AF0" w:rsidRDefault="002E1AF0" w:rsidP="002E1AF0">
            <w:pPr>
              <w:spacing w:after="0" w:line="240" w:lineRule="auto"/>
              <w:jc w:val="center"/>
              <w:rPr>
                <w:rFonts w:ascii="Calibri" w:eastAsia="Times New Roman" w:hAnsi="Calibri" w:cs="Calibri"/>
                <w:color w:val="BF8F00"/>
                <w:sz w:val="20"/>
                <w:szCs w:val="20"/>
                <w:lang w:eastAsia="en-AU"/>
              </w:rPr>
            </w:pPr>
            <w:r w:rsidRPr="002E1AF0">
              <w:rPr>
                <w:rFonts w:ascii="Calibri" w:eastAsia="Times New Roman" w:hAnsi="Calibri" w:cs="Calibri"/>
                <w:color w:val="BF8F00"/>
                <w:sz w:val="20"/>
                <w:szCs w:val="20"/>
                <w:lang w:eastAsia="en-AU"/>
              </w:rPr>
              <w:t>Smear / smudge cells</w:t>
            </w:r>
          </w:p>
        </w:tc>
        <w:tc>
          <w:tcPr>
            <w:tcW w:w="1419"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799" w:type="dxa"/>
            <w:tcBorders>
              <w:top w:val="nil"/>
              <w:left w:val="nil"/>
              <w:bottom w:val="single" w:sz="8" w:space="0" w:color="auto"/>
              <w:right w:val="nil"/>
            </w:tcBorders>
            <w:shd w:val="clear" w:color="000000" w:fill="FFEB9C"/>
            <w:vAlign w:val="bottom"/>
            <w:hideMark/>
          </w:tcPr>
          <w:p w:rsidR="002E1AF0" w:rsidRPr="002E1AF0" w:rsidRDefault="002E1AF0" w:rsidP="002E1AF0">
            <w:pPr>
              <w:spacing w:after="0" w:line="240" w:lineRule="auto"/>
              <w:jc w:val="center"/>
              <w:rPr>
                <w:rFonts w:ascii="Calibri" w:eastAsia="Times New Roman" w:hAnsi="Calibri" w:cs="Calibri"/>
                <w:color w:val="9C5700"/>
                <w:sz w:val="20"/>
                <w:szCs w:val="20"/>
                <w:lang w:eastAsia="en-AU"/>
              </w:rPr>
            </w:pPr>
            <w:r w:rsidRPr="002E1AF0">
              <w:rPr>
                <w:rFonts w:ascii="Calibri" w:eastAsia="Times New Roman" w:hAnsi="Calibri" w:cs="Calibri"/>
                <w:color w:val="9C5700"/>
                <w:sz w:val="20"/>
                <w:szCs w:val="20"/>
                <w:lang w:eastAsia="en-AU"/>
              </w:rPr>
              <w:t>Lymphocytes – abnormal</w:t>
            </w:r>
          </w:p>
        </w:tc>
        <w:tc>
          <w:tcPr>
            <w:tcW w:w="1984" w:type="dxa"/>
            <w:tcBorders>
              <w:top w:val="nil"/>
              <w:left w:val="nil"/>
              <w:bottom w:val="single" w:sz="8" w:space="0" w:color="auto"/>
              <w:right w:val="single" w:sz="8" w:space="0" w:color="auto"/>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r>
      <w:tr w:rsidR="002E1AF0" w:rsidRPr="002E1AF0" w:rsidTr="002E1AF0">
        <w:trPr>
          <w:trHeight w:val="1035"/>
        </w:trPr>
        <w:tc>
          <w:tcPr>
            <w:tcW w:w="570" w:type="dxa"/>
            <w:vMerge w:val="restart"/>
            <w:tcBorders>
              <w:top w:val="nil"/>
              <w:left w:val="single" w:sz="4" w:space="0" w:color="auto"/>
              <w:bottom w:val="single" w:sz="4" w:space="0" w:color="auto"/>
              <w:right w:val="single" w:sz="4" w:space="0" w:color="auto"/>
            </w:tcBorders>
            <w:shd w:val="clear" w:color="000000" w:fill="D6DCE4"/>
            <w:textDirection w:val="tbRl"/>
            <w:vAlign w:val="center"/>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Platelet Features</w:t>
            </w:r>
          </w:p>
        </w:tc>
        <w:tc>
          <w:tcPr>
            <w:tcW w:w="1621"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No significant morphological platelet abnormality</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No significant morphological platelet abnormality</w:t>
            </w:r>
          </w:p>
        </w:tc>
        <w:tc>
          <w:tcPr>
            <w:tcW w:w="269"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No significant morphological platelet abnormality</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No significant morphological platelet abnormality</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No significant morphological platelet abnormality</w:t>
            </w:r>
          </w:p>
        </w:tc>
        <w:tc>
          <w:tcPr>
            <w:tcW w:w="1534"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Platelet clumps</w:t>
            </w:r>
          </w:p>
        </w:tc>
        <w:tc>
          <w:tcPr>
            <w:tcW w:w="1419"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No significant morphological platelet abnormality</w:t>
            </w:r>
          </w:p>
        </w:tc>
        <w:tc>
          <w:tcPr>
            <w:tcW w:w="1799"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No significant morphological platelet abnormality</w:t>
            </w:r>
          </w:p>
        </w:tc>
        <w:tc>
          <w:tcPr>
            <w:tcW w:w="1984" w:type="dxa"/>
            <w:tcBorders>
              <w:top w:val="single" w:sz="8" w:space="0" w:color="auto"/>
              <w:left w:val="nil"/>
              <w:bottom w:val="nil"/>
              <w:right w:val="single" w:sz="8" w:space="0" w:color="auto"/>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No significant morphological platelet abnormality</w:t>
            </w:r>
          </w:p>
        </w:tc>
      </w:tr>
      <w:tr w:rsidR="002E1AF0" w:rsidRPr="002E1AF0" w:rsidTr="002E1AF0">
        <w:trPr>
          <w:trHeight w:val="540"/>
        </w:trPr>
        <w:tc>
          <w:tcPr>
            <w:tcW w:w="570" w:type="dxa"/>
            <w:vMerge/>
            <w:tcBorders>
              <w:top w:val="nil"/>
              <w:left w:val="single" w:sz="4" w:space="0" w:color="auto"/>
              <w:bottom w:val="single" w:sz="4" w:space="0" w:color="auto"/>
              <w:right w:val="single" w:sz="4" w:space="0" w:color="auto"/>
            </w:tcBorders>
            <w:vAlign w:val="center"/>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p>
        </w:tc>
        <w:tc>
          <w:tcPr>
            <w:tcW w:w="1621"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269"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34"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Inaccurate platelet count</w:t>
            </w:r>
          </w:p>
        </w:tc>
        <w:tc>
          <w:tcPr>
            <w:tcW w:w="1419"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799"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984" w:type="dxa"/>
            <w:tcBorders>
              <w:top w:val="nil"/>
              <w:left w:val="nil"/>
              <w:bottom w:val="single" w:sz="8" w:space="0" w:color="auto"/>
              <w:right w:val="single" w:sz="8" w:space="0" w:color="auto"/>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r>
      <w:tr w:rsidR="002E1AF0" w:rsidRPr="002E1AF0" w:rsidTr="002E1AF0">
        <w:trPr>
          <w:trHeight w:val="780"/>
        </w:trPr>
        <w:tc>
          <w:tcPr>
            <w:tcW w:w="570" w:type="dxa"/>
            <w:vMerge w:val="restart"/>
            <w:tcBorders>
              <w:top w:val="nil"/>
              <w:left w:val="single" w:sz="4" w:space="0" w:color="auto"/>
              <w:bottom w:val="single" w:sz="4" w:space="0" w:color="auto"/>
              <w:right w:val="single" w:sz="4" w:space="0" w:color="auto"/>
            </w:tcBorders>
            <w:shd w:val="clear" w:color="000000" w:fill="F8CBAD"/>
            <w:textDirection w:val="tbRl"/>
            <w:vAlign w:val="center"/>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xml:space="preserve">Primary Diagnosis </w:t>
            </w:r>
          </w:p>
        </w:tc>
        <w:tc>
          <w:tcPr>
            <w:tcW w:w="1621" w:type="dxa"/>
            <w:tcBorders>
              <w:top w:val="single" w:sz="8" w:space="0" w:color="auto"/>
              <w:left w:val="nil"/>
              <w:bottom w:val="nil"/>
              <w:right w:val="nil"/>
            </w:tcBorders>
            <w:shd w:val="clear" w:color="000000" w:fill="FFEB9C"/>
            <w:vAlign w:val="bottom"/>
            <w:hideMark/>
          </w:tcPr>
          <w:p w:rsidR="002E1AF0" w:rsidRPr="002E1AF0" w:rsidRDefault="002E1AF0" w:rsidP="002E1AF0">
            <w:pPr>
              <w:spacing w:after="0" w:line="240" w:lineRule="auto"/>
              <w:jc w:val="center"/>
              <w:rPr>
                <w:rFonts w:ascii="Calibri" w:eastAsia="Times New Roman" w:hAnsi="Calibri" w:cs="Calibri"/>
                <w:color w:val="9C5700"/>
                <w:sz w:val="20"/>
                <w:szCs w:val="20"/>
                <w:lang w:eastAsia="en-AU"/>
              </w:rPr>
            </w:pPr>
            <w:r w:rsidRPr="002E1AF0">
              <w:rPr>
                <w:rFonts w:ascii="Calibri" w:eastAsia="Times New Roman" w:hAnsi="Calibri" w:cs="Calibri"/>
                <w:color w:val="9C5700"/>
                <w:sz w:val="20"/>
                <w:szCs w:val="20"/>
                <w:lang w:eastAsia="en-AU"/>
              </w:rPr>
              <w:t>Mantle cell lymphoma</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B-cell prolymphocytic leukaemia</w:t>
            </w:r>
          </w:p>
        </w:tc>
        <w:tc>
          <w:tcPr>
            <w:tcW w:w="269" w:type="dxa"/>
            <w:tcBorders>
              <w:top w:val="nil"/>
              <w:left w:val="nil"/>
              <w:bottom w:val="nil"/>
              <w:right w:val="nil"/>
            </w:tcBorders>
            <w:shd w:val="clear" w:color="auto" w:fill="auto"/>
            <w:vAlign w:val="bottom"/>
            <w:hideMark/>
          </w:tcPr>
          <w:p w:rsidR="002E1AF0" w:rsidRPr="002E1AF0" w:rsidRDefault="002E1AF0" w:rsidP="002E1AF0">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B-cell prolymphocytic leukaemia</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B-cell prolymphocytic leukaemia</w:t>
            </w:r>
          </w:p>
        </w:tc>
        <w:tc>
          <w:tcPr>
            <w:tcW w:w="1527"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B-cell prolymphocytic leukaemia</w:t>
            </w:r>
          </w:p>
        </w:tc>
        <w:tc>
          <w:tcPr>
            <w:tcW w:w="1534"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B-cell prolymphocytic leukaemia</w:t>
            </w:r>
          </w:p>
        </w:tc>
        <w:tc>
          <w:tcPr>
            <w:tcW w:w="1419" w:type="dxa"/>
            <w:tcBorders>
              <w:top w:val="single" w:sz="8" w:space="0" w:color="auto"/>
              <w:left w:val="nil"/>
              <w:bottom w:val="nil"/>
              <w:right w:val="nil"/>
            </w:tcBorders>
            <w:shd w:val="clear" w:color="000000" w:fill="FFEB9C"/>
            <w:vAlign w:val="bottom"/>
            <w:hideMark/>
          </w:tcPr>
          <w:p w:rsidR="002E1AF0" w:rsidRPr="002E1AF0" w:rsidRDefault="002E1AF0" w:rsidP="002E1AF0">
            <w:pPr>
              <w:spacing w:after="0" w:line="240" w:lineRule="auto"/>
              <w:jc w:val="center"/>
              <w:rPr>
                <w:rFonts w:ascii="Calibri" w:eastAsia="Times New Roman" w:hAnsi="Calibri" w:cs="Calibri"/>
                <w:color w:val="9C5700"/>
                <w:sz w:val="20"/>
                <w:szCs w:val="20"/>
                <w:lang w:eastAsia="en-AU"/>
              </w:rPr>
            </w:pPr>
            <w:r w:rsidRPr="002E1AF0">
              <w:rPr>
                <w:rFonts w:ascii="Calibri" w:eastAsia="Times New Roman" w:hAnsi="Calibri" w:cs="Calibri"/>
                <w:color w:val="9C5700"/>
                <w:sz w:val="20"/>
                <w:szCs w:val="20"/>
                <w:lang w:eastAsia="en-AU"/>
              </w:rPr>
              <w:t>Mantle cell lymphoma</w:t>
            </w:r>
          </w:p>
        </w:tc>
        <w:tc>
          <w:tcPr>
            <w:tcW w:w="1799" w:type="dxa"/>
            <w:tcBorders>
              <w:top w:val="single" w:sz="8" w:space="0" w:color="auto"/>
              <w:left w:val="nil"/>
              <w:bottom w:val="nil"/>
              <w:right w:val="nil"/>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B-cell prolymphocytic leukaemia</w:t>
            </w:r>
          </w:p>
        </w:tc>
        <w:tc>
          <w:tcPr>
            <w:tcW w:w="1984" w:type="dxa"/>
            <w:tcBorders>
              <w:top w:val="single" w:sz="8" w:space="0" w:color="auto"/>
              <w:left w:val="nil"/>
              <w:bottom w:val="nil"/>
              <w:right w:val="single" w:sz="8" w:space="0" w:color="auto"/>
            </w:tcBorders>
            <w:shd w:val="clear" w:color="000000" w:fill="C6EFCE"/>
            <w:vAlign w:val="bottom"/>
            <w:hideMark/>
          </w:tcPr>
          <w:p w:rsidR="002E1AF0" w:rsidRPr="002E1AF0" w:rsidRDefault="002E1AF0" w:rsidP="002E1AF0">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B-cell prolymphocytic leukaemia</w:t>
            </w:r>
          </w:p>
        </w:tc>
      </w:tr>
      <w:tr w:rsidR="002E1AF0" w:rsidRPr="002E1AF0" w:rsidTr="00753611">
        <w:trPr>
          <w:trHeight w:val="334"/>
        </w:trPr>
        <w:tc>
          <w:tcPr>
            <w:tcW w:w="570" w:type="dxa"/>
            <w:vMerge/>
            <w:tcBorders>
              <w:top w:val="nil"/>
              <w:left w:val="single" w:sz="4" w:space="0" w:color="auto"/>
              <w:bottom w:val="single" w:sz="4" w:space="0" w:color="auto"/>
              <w:right w:val="single" w:sz="4" w:space="0" w:color="auto"/>
            </w:tcBorders>
            <w:vAlign w:val="center"/>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p>
        </w:tc>
        <w:tc>
          <w:tcPr>
            <w:tcW w:w="1621"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269"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27"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534"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419"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799" w:type="dxa"/>
            <w:tcBorders>
              <w:top w:val="nil"/>
              <w:left w:val="nil"/>
              <w:bottom w:val="single" w:sz="8" w:space="0" w:color="auto"/>
              <w:right w:val="nil"/>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c>
          <w:tcPr>
            <w:tcW w:w="1984" w:type="dxa"/>
            <w:tcBorders>
              <w:top w:val="nil"/>
              <w:left w:val="nil"/>
              <w:bottom w:val="single" w:sz="8" w:space="0" w:color="auto"/>
              <w:right w:val="single" w:sz="8" w:space="0" w:color="auto"/>
            </w:tcBorders>
            <w:shd w:val="clear" w:color="auto" w:fill="auto"/>
            <w:vAlign w:val="bottom"/>
            <w:hideMark/>
          </w:tcPr>
          <w:p w:rsidR="002E1AF0" w:rsidRPr="002E1AF0" w:rsidRDefault="002E1AF0" w:rsidP="002E1AF0">
            <w:pPr>
              <w:spacing w:after="0" w:line="240" w:lineRule="auto"/>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w:t>
            </w:r>
          </w:p>
        </w:tc>
      </w:tr>
    </w:tbl>
    <w:p w:rsidR="002E1AF0" w:rsidRDefault="002E1AF0">
      <w:pPr>
        <w:rPr>
          <w:noProof/>
        </w:rPr>
      </w:pPr>
    </w:p>
    <w:tbl>
      <w:tblPr>
        <w:tblW w:w="7600" w:type="dxa"/>
        <w:tblLook w:val="04A0" w:firstRow="1" w:lastRow="0" w:firstColumn="1" w:lastColumn="0" w:noHBand="0" w:noVBand="1"/>
      </w:tblPr>
      <w:tblGrid>
        <w:gridCol w:w="1520"/>
        <w:gridCol w:w="1520"/>
        <w:gridCol w:w="1520"/>
        <w:gridCol w:w="1520"/>
        <w:gridCol w:w="1520"/>
      </w:tblGrid>
      <w:tr w:rsidR="00753611" w:rsidRPr="00753611" w:rsidTr="00753611">
        <w:trPr>
          <w:trHeight w:val="780"/>
        </w:trPr>
        <w:tc>
          <w:tcPr>
            <w:tcW w:w="1520"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753611" w:rsidRPr="00753611" w:rsidRDefault="00753611" w:rsidP="00753611">
            <w:pPr>
              <w:spacing w:after="0" w:line="240" w:lineRule="auto"/>
              <w:jc w:val="center"/>
              <w:rPr>
                <w:rFonts w:ascii="Calibri" w:eastAsia="Times New Roman" w:hAnsi="Calibri" w:cs="Calibri"/>
                <w:color w:val="006100"/>
                <w:sz w:val="20"/>
                <w:szCs w:val="20"/>
                <w:lang w:eastAsia="en-AU"/>
              </w:rPr>
            </w:pPr>
            <w:r w:rsidRPr="00753611">
              <w:rPr>
                <w:rFonts w:ascii="Calibri" w:eastAsia="Times New Roman" w:hAnsi="Calibri" w:cs="Calibri"/>
                <w:color w:val="006100"/>
                <w:sz w:val="20"/>
                <w:szCs w:val="20"/>
                <w:lang w:eastAsia="en-AU"/>
              </w:rPr>
              <w:t>High scoring response</w:t>
            </w:r>
          </w:p>
        </w:tc>
        <w:tc>
          <w:tcPr>
            <w:tcW w:w="1520"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753611" w:rsidRPr="00753611" w:rsidRDefault="00753611" w:rsidP="00753611">
            <w:pPr>
              <w:spacing w:after="0" w:line="240" w:lineRule="auto"/>
              <w:jc w:val="center"/>
              <w:rPr>
                <w:rFonts w:ascii="Calibri" w:eastAsia="Times New Roman" w:hAnsi="Calibri" w:cs="Calibri"/>
                <w:color w:val="9C5700"/>
                <w:sz w:val="20"/>
                <w:szCs w:val="20"/>
                <w:lang w:eastAsia="en-AU"/>
              </w:rPr>
            </w:pPr>
            <w:r w:rsidRPr="00753611">
              <w:rPr>
                <w:rFonts w:ascii="Calibri" w:eastAsia="Times New Roman" w:hAnsi="Calibri" w:cs="Calibri"/>
                <w:color w:val="9C5700"/>
                <w:sz w:val="20"/>
                <w:szCs w:val="20"/>
                <w:lang w:eastAsia="en-AU"/>
              </w:rPr>
              <w:t>Moderate scoring response</w:t>
            </w:r>
          </w:p>
        </w:tc>
        <w:tc>
          <w:tcPr>
            <w:tcW w:w="1520" w:type="dxa"/>
            <w:tcBorders>
              <w:top w:val="single" w:sz="8" w:space="0" w:color="auto"/>
              <w:left w:val="nil"/>
              <w:bottom w:val="single" w:sz="8" w:space="0" w:color="auto"/>
              <w:right w:val="single" w:sz="8" w:space="0" w:color="auto"/>
            </w:tcBorders>
            <w:shd w:val="clear" w:color="000000" w:fill="FFF2CC"/>
            <w:vAlign w:val="center"/>
            <w:hideMark/>
          </w:tcPr>
          <w:p w:rsidR="00753611" w:rsidRPr="00753611" w:rsidRDefault="00753611" w:rsidP="00753611">
            <w:pPr>
              <w:spacing w:after="0" w:line="240" w:lineRule="auto"/>
              <w:jc w:val="center"/>
              <w:rPr>
                <w:rFonts w:ascii="Calibri" w:eastAsia="Times New Roman" w:hAnsi="Calibri" w:cs="Calibri"/>
                <w:color w:val="BF8F00"/>
                <w:sz w:val="20"/>
                <w:szCs w:val="20"/>
                <w:lang w:eastAsia="en-AU"/>
              </w:rPr>
            </w:pPr>
            <w:r w:rsidRPr="00753611">
              <w:rPr>
                <w:rFonts w:ascii="Calibri" w:eastAsia="Times New Roman" w:hAnsi="Calibri" w:cs="Calibri"/>
                <w:color w:val="BF8F00"/>
                <w:sz w:val="20"/>
                <w:szCs w:val="20"/>
                <w:lang w:eastAsia="en-AU"/>
              </w:rPr>
              <w:t xml:space="preserve">Low scoring response </w:t>
            </w:r>
          </w:p>
        </w:tc>
        <w:tc>
          <w:tcPr>
            <w:tcW w:w="1520" w:type="dxa"/>
            <w:tcBorders>
              <w:top w:val="single" w:sz="8" w:space="0" w:color="auto"/>
              <w:left w:val="single" w:sz="8" w:space="0" w:color="auto"/>
              <w:bottom w:val="single" w:sz="8" w:space="0" w:color="auto"/>
              <w:right w:val="single" w:sz="8" w:space="0" w:color="auto"/>
            </w:tcBorders>
            <w:shd w:val="clear" w:color="000000" w:fill="FFF2CC"/>
            <w:vAlign w:val="center"/>
            <w:hideMark/>
          </w:tcPr>
          <w:p w:rsidR="00753611" w:rsidRPr="00753611" w:rsidRDefault="00753611" w:rsidP="00753611">
            <w:pPr>
              <w:spacing w:after="0" w:line="240" w:lineRule="auto"/>
              <w:jc w:val="center"/>
              <w:rPr>
                <w:rFonts w:ascii="Calibri" w:eastAsia="Times New Roman" w:hAnsi="Calibri" w:cs="Calibri"/>
                <w:sz w:val="20"/>
                <w:szCs w:val="20"/>
                <w:lang w:eastAsia="en-AU"/>
              </w:rPr>
            </w:pPr>
            <w:r w:rsidRPr="00753611">
              <w:rPr>
                <w:rFonts w:ascii="Calibri" w:eastAsia="Times New Roman" w:hAnsi="Calibri" w:cs="Calibri"/>
                <w:sz w:val="20"/>
                <w:szCs w:val="20"/>
                <w:lang w:eastAsia="en-AU"/>
              </w:rPr>
              <w:t xml:space="preserve">Lowest scoring response </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xml:space="preserve">Response given no score </w:t>
            </w:r>
          </w:p>
        </w:tc>
      </w:tr>
    </w:tbl>
    <w:p w:rsidR="00753611" w:rsidRDefault="00753611">
      <w:pPr>
        <w:rPr>
          <w:noProof/>
        </w:rPr>
      </w:pPr>
    </w:p>
    <w:p w:rsidR="00753611" w:rsidRDefault="00753611">
      <w:pPr>
        <w:rPr>
          <w:noProof/>
        </w:rPr>
        <w:sectPr w:rsidR="00753611" w:rsidSect="002E1AF0">
          <w:pgSz w:w="16838" w:h="11906" w:orient="landscape"/>
          <w:pgMar w:top="720" w:right="720" w:bottom="720" w:left="720" w:header="708" w:footer="708" w:gutter="0"/>
          <w:cols w:space="708"/>
          <w:docGrid w:linePitch="360"/>
        </w:sectPr>
      </w:pPr>
    </w:p>
    <w:tbl>
      <w:tblPr>
        <w:tblW w:w="10860" w:type="dxa"/>
        <w:tblLook w:val="04A0" w:firstRow="1" w:lastRow="0" w:firstColumn="1" w:lastColumn="0" w:noHBand="0" w:noVBand="1"/>
      </w:tblPr>
      <w:tblGrid>
        <w:gridCol w:w="960"/>
        <w:gridCol w:w="1980"/>
        <w:gridCol w:w="2049"/>
        <w:gridCol w:w="1980"/>
        <w:gridCol w:w="1980"/>
        <w:gridCol w:w="1980"/>
      </w:tblGrid>
      <w:tr w:rsidR="00753611" w:rsidRPr="00753611" w:rsidTr="004678FA">
        <w:trPr>
          <w:trHeight w:val="315"/>
        </w:trPr>
        <w:tc>
          <w:tcPr>
            <w:tcW w:w="960" w:type="dxa"/>
            <w:tcBorders>
              <w:top w:val="nil"/>
              <w:left w:val="nil"/>
              <w:bottom w:val="nil"/>
              <w:right w:val="nil"/>
            </w:tcBorders>
            <w:shd w:val="clear" w:color="auto" w:fill="auto"/>
            <w:noWrap/>
            <w:vAlign w:val="bottom"/>
            <w:hideMark/>
          </w:tcPr>
          <w:p w:rsidR="00753611" w:rsidRPr="00753611" w:rsidRDefault="00753611" w:rsidP="00753611">
            <w:pPr>
              <w:spacing w:after="0" w:line="240" w:lineRule="auto"/>
              <w:rPr>
                <w:rFonts w:ascii="Times New Roman" w:eastAsia="Times New Roman" w:hAnsi="Times New Roman" w:cs="Times New Roman"/>
                <w:sz w:val="24"/>
                <w:szCs w:val="24"/>
                <w:lang w:eastAsia="en-AU"/>
              </w:rPr>
            </w:pPr>
          </w:p>
        </w:tc>
        <w:tc>
          <w:tcPr>
            <w:tcW w:w="9900" w:type="dxa"/>
            <w:gridSpan w:val="5"/>
            <w:tcBorders>
              <w:top w:val="single" w:sz="4" w:space="0" w:color="auto"/>
              <w:left w:val="single" w:sz="4" w:space="0" w:color="auto"/>
              <w:bottom w:val="single" w:sz="4" w:space="0" w:color="auto"/>
              <w:right w:val="single" w:sz="4" w:space="0" w:color="000000"/>
            </w:tcBorders>
            <w:shd w:val="clear" w:color="auto" w:fill="F4B083" w:themeFill="accent2" w:themeFillTint="99"/>
            <w:vAlign w:val="bottom"/>
            <w:hideMark/>
          </w:tcPr>
          <w:p w:rsidR="00753611" w:rsidRPr="00753611" w:rsidRDefault="004678FA" w:rsidP="00753611">
            <w:pPr>
              <w:spacing w:after="0" w:line="240" w:lineRule="auto"/>
              <w:jc w:val="center"/>
              <w:rPr>
                <w:rFonts w:ascii="Calibri" w:eastAsia="Times New Roman" w:hAnsi="Calibri" w:cs="Calibri"/>
                <w:b/>
                <w:bCs/>
                <w:color w:val="000000"/>
                <w:sz w:val="20"/>
                <w:szCs w:val="20"/>
                <w:lang w:eastAsia="en-AU"/>
              </w:rPr>
            </w:pPr>
            <w:r>
              <w:rPr>
                <w:rFonts w:ascii="Calibri" w:hAnsi="Calibri" w:cs="Calibri"/>
                <w:b/>
                <w:bCs/>
                <w:color w:val="000000"/>
                <w:sz w:val="20"/>
                <w:szCs w:val="20"/>
              </w:rPr>
              <w:t>RCPA results</w:t>
            </w:r>
          </w:p>
        </w:tc>
      </w:tr>
      <w:tr w:rsidR="00753611" w:rsidRPr="00753611" w:rsidTr="00753611">
        <w:trPr>
          <w:trHeight w:val="525"/>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CCFF"/>
            <w:textDirection w:val="tbRl"/>
            <w:vAlign w:val="center"/>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RBC Features</w:t>
            </w:r>
          </w:p>
        </w:tc>
        <w:tc>
          <w:tcPr>
            <w:tcW w:w="1980"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3611" w:rsidRPr="00753611" w:rsidRDefault="00753611" w:rsidP="00753611">
            <w:pPr>
              <w:spacing w:after="0" w:line="240" w:lineRule="auto"/>
              <w:jc w:val="center"/>
              <w:rPr>
                <w:rFonts w:ascii="Calibri" w:eastAsia="Times New Roman" w:hAnsi="Calibri" w:cs="Calibri"/>
                <w:color w:val="006100"/>
                <w:sz w:val="20"/>
                <w:szCs w:val="20"/>
                <w:lang w:eastAsia="en-AU"/>
              </w:rPr>
            </w:pPr>
            <w:r w:rsidRPr="00753611">
              <w:rPr>
                <w:rFonts w:ascii="Calibri" w:eastAsia="Times New Roman" w:hAnsi="Calibri" w:cs="Calibri"/>
                <w:color w:val="006100"/>
                <w:sz w:val="20"/>
                <w:szCs w:val="20"/>
                <w:lang w:eastAsia="en-AU"/>
              </w:rPr>
              <w:t>Elliptocytes / ovalocytes</w:t>
            </w:r>
          </w:p>
        </w:tc>
        <w:tc>
          <w:tcPr>
            <w:tcW w:w="1980"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3611" w:rsidRPr="00753611" w:rsidRDefault="00753611" w:rsidP="00753611">
            <w:pPr>
              <w:spacing w:after="0" w:line="240" w:lineRule="auto"/>
              <w:jc w:val="center"/>
              <w:rPr>
                <w:rFonts w:ascii="Calibri" w:eastAsia="Times New Roman" w:hAnsi="Calibri" w:cs="Calibri"/>
                <w:color w:val="006100"/>
                <w:sz w:val="20"/>
                <w:szCs w:val="20"/>
                <w:lang w:eastAsia="en-AU"/>
              </w:rPr>
            </w:pPr>
            <w:r w:rsidRPr="00753611">
              <w:rPr>
                <w:rFonts w:ascii="Calibri" w:eastAsia="Times New Roman" w:hAnsi="Calibri" w:cs="Calibri"/>
                <w:color w:val="006100"/>
                <w:sz w:val="20"/>
                <w:szCs w:val="20"/>
                <w:lang w:eastAsia="en-AU"/>
              </w:rPr>
              <w:t>Polychromasia increased</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r>
      <w:tr w:rsidR="00753611" w:rsidRPr="00753611" w:rsidTr="00753611">
        <w:trPr>
          <w:trHeight w:val="78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p>
        </w:tc>
        <w:tc>
          <w:tcPr>
            <w:tcW w:w="1980"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3611" w:rsidRPr="00753611" w:rsidRDefault="00753611" w:rsidP="00753611">
            <w:pPr>
              <w:spacing w:after="0" w:line="240" w:lineRule="auto"/>
              <w:jc w:val="center"/>
              <w:rPr>
                <w:rFonts w:ascii="Calibri" w:eastAsia="Times New Roman" w:hAnsi="Calibri" w:cs="Calibri"/>
                <w:color w:val="006100"/>
                <w:sz w:val="20"/>
                <w:szCs w:val="20"/>
                <w:lang w:eastAsia="en-AU"/>
              </w:rPr>
            </w:pPr>
            <w:r w:rsidRPr="00753611">
              <w:rPr>
                <w:rFonts w:ascii="Calibri" w:eastAsia="Times New Roman" w:hAnsi="Calibri" w:cs="Calibri"/>
                <w:color w:val="006100"/>
                <w:sz w:val="20"/>
                <w:szCs w:val="20"/>
                <w:lang w:eastAsia="en-AU"/>
              </w:rPr>
              <w:t>Microcytes</w:t>
            </w:r>
          </w:p>
        </w:tc>
        <w:tc>
          <w:tcPr>
            <w:tcW w:w="1980" w:type="dxa"/>
            <w:tcBorders>
              <w:top w:val="nil"/>
              <w:left w:val="nil"/>
              <w:bottom w:val="single" w:sz="4" w:space="0" w:color="auto"/>
              <w:right w:val="single" w:sz="4" w:space="0" w:color="auto"/>
            </w:tcBorders>
            <w:shd w:val="clear" w:color="auto" w:fill="auto"/>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r>
      <w:tr w:rsidR="00753611" w:rsidRPr="00753611" w:rsidTr="00753611">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p>
        </w:tc>
        <w:tc>
          <w:tcPr>
            <w:tcW w:w="1980"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3611" w:rsidRPr="00753611" w:rsidRDefault="00753611" w:rsidP="00753611">
            <w:pPr>
              <w:spacing w:after="0" w:line="240" w:lineRule="auto"/>
              <w:jc w:val="center"/>
              <w:rPr>
                <w:rFonts w:ascii="Calibri" w:eastAsia="Times New Roman" w:hAnsi="Calibri" w:cs="Calibri"/>
                <w:color w:val="006100"/>
                <w:sz w:val="20"/>
                <w:szCs w:val="20"/>
                <w:lang w:eastAsia="en-AU"/>
              </w:rPr>
            </w:pPr>
            <w:r w:rsidRPr="00753611">
              <w:rPr>
                <w:rFonts w:ascii="Calibri" w:eastAsia="Times New Roman" w:hAnsi="Calibri" w:cs="Calibri"/>
                <w:color w:val="006100"/>
                <w:sz w:val="20"/>
                <w:szCs w:val="20"/>
                <w:lang w:eastAsia="en-AU"/>
              </w:rPr>
              <w:t>Hypochromia</w:t>
            </w:r>
          </w:p>
        </w:tc>
        <w:tc>
          <w:tcPr>
            <w:tcW w:w="1980" w:type="dxa"/>
            <w:tcBorders>
              <w:top w:val="nil"/>
              <w:left w:val="nil"/>
              <w:bottom w:val="single" w:sz="4" w:space="0" w:color="auto"/>
              <w:right w:val="single" w:sz="4" w:space="0" w:color="auto"/>
            </w:tcBorders>
            <w:shd w:val="clear" w:color="auto" w:fill="auto"/>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r>
      <w:tr w:rsidR="00753611" w:rsidRPr="00753611" w:rsidTr="00753611">
        <w:trPr>
          <w:trHeight w:val="54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p>
        </w:tc>
        <w:tc>
          <w:tcPr>
            <w:tcW w:w="1980"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3611" w:rsidRPr="00753611" w:rsidRDefault="00753611" w:rsidP="00753611">
            <w:pPr>
              <w:spacing w:after="0" w:line="240" w:lineRule="auto"/>
              <w:jc w:val="center"/>
              <w:rPr>
                <w:rFonts w:ascii="Calibri" w:eastAsia="Times New Roman" w:hAnsi="Calibri" w:cs="Calibri"/>
                <w:color w:val="006100"/>
                <w:sz w:val="20"/>
                <w:szCs w:val="20"/>
                <w:lang w:eastAsia="en-AU"/>
              </w:rPr>
            </w:pPr>
            <w:r w:rsidRPr="00753611">
              <w:rPr>
                <w:rFonts w:ascii="Calibri" w:eastAsia="Times New Roman" w:hAnsi="Calibri" w:cs="Calibri"/>
                <w:color w:val="006100"/>
                <w:sz w:val="20"/>
                <w:szCs w:val="20"/>
                <w:lang w:eastAsia="en-AU"/>
              </w:rPr>
              <w:t>Pencil cells</w:t>
            </w:r>
          </w:p>
        </w:tc>
        <w:tc>
          <w:tcPr>
            <w:tcW w:w="1980" w:type="dxa"/>
            <w:tcBorders>
              <w:top w:val="nil"/>
              <w:left w:val="nil"/>
              <w:bottom w:val="single" w:sz="4" w:space="0" w:color="auto"/>
              <w:right w:val="single" w:sz="4" w:space="0" w:color="auto"/>
            </w:tcBorders>
            <w:shd w:val="clear" w:color="auto" w:fill="auto"/>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r>
      <w:tr w:rsidR="00753611" w:rsidRPr="00753611" w:rsidTr="00753611">
        <w:trPr>
          <w:trHeight w:val="525"/>
        </w:trPr>
        <w:tc>
          <w:tcPr>
            <w:tcW w:w="960" w:type="dxa"/>
            <w:vMerge w:val="restart"/>
            <w:tcBorders>
              <w:top w:val="nil"/>
              <w:left w:val="single" w:sz="4" w:space="0" w:color="auto"/>
              <w:bottom w:val="single" w:sz="4" w:space="0" w:color="auto"/>
              <w:right w:val="single" w:sz="4" w:space="0" w:color="auto"/>
            </w:tcBorders>
            <w:shd w:val="clear" w:color="000000" w:fill="BDD7EE"/>
            <w:textDirection w:val="tbRl"/>
            <w:vAlign w:val="center"/>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WBC Features</w:t>
            </w:r>
          </w:p>
        </w:tc>
        <w:tc>
          <w:tcPr>
            <w:tcW w:w="1980"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3611" w:rsidRPr="00753611" w:rsidRDefault="00753611" w:rsidP="00753611">
            <w:pPr>
              <w:spacing w:after="0" w:line="240" w:lineRule="auto"/>
              <w:jc w:val="center"/>
              <w:rPr>
                <w:rFonts w:ascii="Calibri" w:eastAsia="Times New Roman" w:hAnsi="Calibri" w:cs="Calibri"/>
                <w:color w:val="006100"/>
                <w:sz w:val="20"/>
                <w:szCs w:val="20"/>
                <w:lang w:eastAsia="en-AU"/>
              </w:rPr>
            </w:pPr>
            <w:r w:rsidRPr="00753611">
              <w:rPr>
                <w:rFonts w:ascii="Calibri" w:eastAsia="Times New Roman" w:hAnsi="Calibri" w:cs="Calibri"/>
                <w:color w:val="006100"/>
                <w:sz w:val="20"/>
                <w:szCs w:val="20"/>
                <w:lang w:eastAsia="en-AU"/>
              </w:rPr>
              <w:t>Prolymphocytes</w:t>
            </w:r>
          </w:p>
        </w:tc>
        <w:tc>
          <w:tcPr>
            <w:tcW w:w="1980"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753611" w:rsidRPr="00753611" w:rsidRDefault="00753611" w:rsidP="00753611">
            <w:pPr>
              <w:spacing w:after="0" w:line="240" w:lineRule="auto"/>
              <w:jc w:val="center"/>
              <w:rPr>
                <w:rFonts w:ascii="Calibri" w:eastAsia="Times New Roman" w:hAnsi="Calibri" w:cs="Calibri"/>
                <w:color w:val="9C5700"/>
                <w:sz w:val="20"/>
                <w:szCs w:val="20"/>
                <w:lang w:eastAsia="en-AU"/>
              </w:rPr>
            </w:pPr>
            <w:r w:rsidRPr="00753611">
              <w:rPr>
                <w:rFonts w:ascii="Calibri" w:eastAsia="Times New Roman" w:hAnsi="Calibri" w:cs="Calibri"/>
                <w:color w:val="9C5700"/>
                <w:sz w:val="20"/>
                <w:szCs w:val="20"/>
                <w:lang w:eastAsia="en-AU"/>
              </w:rPr>
              <w:t>Lymphocytes – abnormal</w:t>
            </w:r>
          </w:p>
        </w:tc>
        <w:tc>
          <w:tcPr>
            <w:tcW w:w="1980"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753611" w:rsidRPr="00753611" w:rsidRDefault="00753611" w:rsidP="00753611">
            <w:pPr>
              <w:spacing w:after="0" w:line="240" w:lineRule="auto"/>
              <w:jc w:val="center"/>
              <w:rPr>
                <w:rFonts w:ascii="Calibri" w:eastAsia="Times New Roman" w:hAnsi="Calibri" w:cs="Calibri"/>
                <w:color w:val="BF8F00"/>
                <w:sz w:val="20"/>
                <w:szCs w:val="20"/>
                <w:lang w:eastAsia="en-AU"/>
              </w:rPr>
            </w:pPr>
            <w:r w:rsidRPr="00753611">
              <w:rPr>
                <w:rFonts w:ascii="Calibri" w:eastAsia="Times New Roman" w:hAnsi="Calibri" w:cs="Calibri"/>
                <w:color w:val="BF8F00"/>
                <w:sz w:val="20"/>
                <w:szCs w:val="20"/>
                <w:lang w:eastAsia="en-AU"/>
              </w:rPr>
              <w:t>Smear / smudge cells</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r>
      <w:tr w:rsidR="00753611" w:rsidRPr="00753611" w:rsidTr="00753611">
        <w:trPr>
          <w:trHeight w:val="780"/>
        </w:trPr>
        <w:tc>
          <w:tcPr>
            <w:tcW w:w="960" w:type="dxa"/>
            <w:vMerge/>
            <w:tcBorders>
              <w:top w:val="nil"/>
              <w:left w:val="single" w:sz="4" w:space="0" w:color="auto"/>
              <w:bottom w:val="single" w:sz="4" w:space="0" w:color="auto"/>
              <w:right w:val="single" w:sz="4" w:space="0" w:color="auto"/>
            </w:tcBorders>
            <w:vAlign w:val="center"/>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p>
        </w:tc>
        <w:tc>
          <w:tcPr>
            <w:tcW w:w="1980"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3611" w:rsidRPr="00753611" w:rsidRDefault="00753611" w:rsidP="00753611">
            <w:pPr>
              <w:spacing w:after="0" w:line="240" w:lineRule="auto"/>
              <w:jc w:val="center"/>
              <w:rPr>
                <w:rFonts w:ascii="Calibri" w:eastAsia="Times New Roman" w:hAnsi="Calibri" w:cs="Calibri"/>
                <w:color w:val="006100"/>
                <w:sz w:val="20"/>
                <w:szCs w:val="20"/>
                <w:lang w:eastAsia="en-AU"/>
              </w:rPr>
            </w:pPr>
            <w:r w:rsidRPr="00753611">
              <w:rPr>
                <w:rFonts w:ascii="Calibri" w:eastAsia="Times New Roman" w:hAnsi="Calibri" w:cs="Calibri"/>
                <w:color w:val="006100"/>
                <w:sz w:val="20"/>
                <w:szCs w:val="20"/>
                <w:lang w:eastAsia="en-AU"/>
              </w:rPr>
              <w:t>Lymphocytosis</w:t>
            </w:r>
          </w:p>
        </w:tc>
        <w:tc>
          <w:tcPr>
            <w:tcW w:w="1980" w:type="dxa"/>
            <w:tcBorders>
              <w:top w:val="nil"/>
              <w:left w:val="nil"/>
              <w:bottom w:val="single" w:sz="4" w:space="0" w:color="auto"/>
              <w:right w:val="single" w:sz="4" w:space="0" w:color="auto"/>
            </w:tcBorders>
            <w:shd w:val="clear" w:color="auto" w:fill="auto"/>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r>
      <w:tr w:rsidR="00753611" w:rsidRPr="00753611" w:rsidTr="00753611">
        <w:trPr>
          <w:trHeight w:val="264"/>
        </w:trPr>
        <w:tc>
          <w:tcPr>
            <w:tcW w:w="960" w:type="dxa"/>
            <w:vMerge/>
            <w:tcBorders>
              <w:top w:val="nil"/>
              <w:left w:val="single" w:sz="4" w:space="0" w:color="auto"/>
              <w:bottom w:val="single" w:sz="4" w:space="0" w:color="auto"/>
              <w:right w:val="single" w:sz="4" w:space="0" w:color="auto"/>
            </w:tcBorders>
            <w:vAlign w:val="center"/>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p>
        </w:tc>
        <w:tc>
          <w:tcPr>
            <w:tcW w:w="1980" w:type="dxa"/>
            <w:tcBorders>
              <w:top w:val="nil"/>
              <w:left w:val="nil"/>
              <w:bottom w:val="single" w:sz="4" w:space="0" w:color="auto"/>
              <w:right w:val="single" w:sz="4" w:space="0" w:color="auto"/>
            </w:tcBorders>
            <w:shd w:val="clear" w:color="auto" w:fill="auto"/>
            <w:vAlign w:val="center"/>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r>
      <w:tr w:rsidR="00753611" w:rsidRPr="00753611" w:rsidTr="00753611">
        <w:trPr>
          <w:trHeight w:val="70"/>
        </w:trPr>
        <w:tc>
          <w:tcPr>
            <w:tcW w:w="960" w:type="dxa"/>
            <w:vMerge/>
            <w:tcBorders>
              <w:top w:val="nil"/>
              <w:left w:val="single" w:sz="4" w:space="0" w:color="auto"/>
              <w:bottom w:val="single" w:sz="4" w:space="0" w:color="auto"/>
              <w:right w:val="single" w:sz="4" w:space="0" w:color="auto"/>
            </w:tcBorders>
            <w:vAlign w:val="center"/>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p>
        </w:tc>
        <w:tc>
          <w:tcPr>
            <w:tcW w:w="1980" w:type="dxa"/>
            <w:tcBorders>
              <w:top w:val="nil"/>
              <w:left w:val="nil"/>
              <w:bottom w:val="single" w:sz="4" w:space="0" w:color="auto"/>
              <w:right w:val="single" w:sz="4" w:space="0" w:color="auto"/>
            </w:tcBorders>
            <w:shd w:val="clear" w:color="auto" w:fill="auto"/>
            <w:vAlign w:val="center"/>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r>
      <w:tr w:rsidR="00753611" w:rsidRPr="00753611" w:rsidTr="00753611">
        <w:trPr>
          <w:trHeight w:val="1035"/>
        </w:trPr>
        <w:tc>
          <w:tcPr>
            <w:tcW w:w="960" w:type="dxa"/>
            <w:vMerge w:val="restart"/>
            <w:tcBorders>
              <w:top w:val="nil"/>
              <w:left w:val="single" w:sz="4" w:space="0" w:color="auto"/>
              <w:bottom w:val="single" w:sz="4" w:space="0" w:color="auto"/>
              <w:right w:val="single" w:sz="4" w:space="0" w:color="auto"/>
            </w:tcBorders>
            <w:shd w:val="clear" w:color="000000" w:fill="D6DCE4"/>
            <w:textDirection w:val="tbRl"/>
            <w:vAlign w:val="center"/>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Platelet Features</w:t>
            </w:r>
          </w:p>
        </w:tc>
        <w:tc>
          <w:tcPr>
            <w:tcW w:w="1980"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3611" w:rsidRPr="00753611" w:rsidRDefault="00753611" w:rsidP="00753611">
            <w:pPr>
              <w:spacing w:after="0" w:line="240" w:lineRule="auto"/>
              <w:jc w:val="center"/>
              <w:rPr>
                <w:rFonts w:ascii="Calibri" w:eastAsia="Times New Roman" w:hAnsi="Calibri" w:cs="Calibri"/>
                <w:color w:val="006100"/>
                <w:sz w:val="20"/>
                <w:szCs w:val="20"/>
                <w:lang w:eastAsia="en-AU"/>
              </w:rPr>
            </w:pPr>
            <w:r w:rsidRPr="00753611">
              <w:rPr>
                <w:rFonts w:ascii="Calibri" w:eastAsia="Times New Roman" w:hAnsi="Calibri" w:cs="Calibri"/>
                <w:color w:val="006100"/>
                <w:sz w:val="20"/>
                <w:szCs w:val="20"/>
                <w:lang w:eastAsia="en-AU"/>
              </w:rPr>
              <w:t>No significant morphological platelet abnormality</w:t>
            </w:r>
          </w:p>
        </w:tc>
        <w:tc>
          <w:tcPr>
            <w:tcW w:w="1980" w:type="dxa"/>
            <w:tcBorders>
              <w:top w:val="nil"/>
              <w:left w:val="nil"/>
              <w:bottom w:val="single" w:sz="4" w:space="0" w:color="auto"/>
              <w:right w:val="single" w:sz="4" w:space="0" w:color="auto"/>
            </w:tcBorders>
            <w:shd w:val="clear" w:color="auto" w:fill="auto"/>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r>
      <w:tr w:rsidR="00753611" w:rsidRPr="00753611" w:rsidTr="00753611">
        <w:trPr>
          <w:trHeight w:val="540"/>
        </w:trPr>
        <w:tc>
          <w:tcPr>
            <w:tcW w:w="960" w:type="dxa"/>
            <w:vMerge/>
            <w:tcBorders>
              <w:top w:val="nil"/>
              <w:left w:val="single" w:sz="4" w:space="0" w:color="auto"/>
              <w:bottom w:val="single" w:sz="4" w:space="0" w:color="auto"/>
              <w:right w:val="single" w:sz="4" w:space="0" w:color="auto"/>
            </w:tcBorders>
            <w:vAlign w:val="center"/>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p>
        </w:tc>
        <w:tc>
          <w:tcPr>
            <w:tcW w:w="1980" w:type="dxa"/>
            <w:tcBorders>
              <w:top w:val="nil"/>
              <w:left w:val="nil"/>
              <w:bottom w:val="single" w:sz="4" w:space="0" w:color="auto"/>
              <w:right w:val="single" w:sz="4" w:space="0" w:color="auto"/>
            </w:tcBorders>
            <w:shd w:val="clear" w:color="auto" w:fill="auto"/>
            <w:vAlign w:val="center"/>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vAlign w:val="center"/>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r>
      <w:tr w:rsidR="00753611" w:rsidRPr="00753611" w:rsidTr="00753611">
        <w:trPr>
          <w:trHeight w:val="780"/>
        </w:trPr>
        <w:tc>
          <w:tcPr>
            <w:tcW w:w="960" w:type="dxa"/>
            <w:vMerge w:val="restart"/>
            <w:tcBorders>
              <w:top w:val="nil"/>
              <w:left w:val="single" w:sz="4" w:space="0" w:color="auto"/>
              <w:bottom w:val="single" w:sz="4" w:space="0" w:color="auto"/>
              <w:right w:val="single" w:sz="4" w:space="0" w:color="auto"/>
            </w:tcBorders>
            <w:shd w:val="clear" w:color="000000" w:fill="F8CBAD"/>
            <w:textDirection w:val="tbRl"/>
            <w:vAlign w:val="center"/>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xml:space="preserve">Primary Diagnosis </w:t>
            </w:r>
          </w:p>
        </w:tc>
        <w:tc>
          <w:tcPr>
            <w:tcW w:w="1980"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753611" w:rsidRPr="00753611" w:rsidRDefault="00753611" w:rsidP="00753611">
            <w:pPr>
              <w:spacing w:after="0" w:line="240" w:lineRule="auto"/>
              <w:jc w:val="center"/>
              <w:rPr>
                <w:rFonts w:ascii="Calibri" w:eastAsia="Times New Roman" w:hAnsi="Calibri" w:cs="Calibri"/>
                <w:color w:val="006100"/>
                <w:sz w:val="20"/>
                <w:szCs w:val="20"/>
                <w:lang w:eastAsia="en-AU"/>
              </w:rPr>
            </w:pPr>
            <w:r w:rsidRPr="00753611">
              <w:rPr>
                <w:rFonts w:ascii="Calibri" w:eastAsia="Times New Roman" w:hAnsi="Calibri" w:cs="Calibri"/>
                <w:color w:val="006100"/>
                <w:sz w:val="20"/>
                <w:szCs w:val="20"/>
                <w:lang w:eastAsia="en-AU"/>
              </w:rPr>
              <w:t>B-cell prolymphocytic leukaemia</w:t>
            </w:r>
          </w:p>
        </w:tc>
        <w:tc>
          <w:tcPr>
            <w:tcW w:w="1980"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753611" w:rsidRPr="00753611" w:rsidRDefault="00753611" w:rsidP="00753611">
            <w:pPr>
              <w:spacing w:after="0" w:line="240" w:lineRule="auto"/>
              <w:jc w:val="center"/>
              <w:rPr>
                <w:rFonts w:ascii="Calibri" w:eastAsia="Times New Roman" w:hAnsi="Calibri" w:cs="Calibri"/>
                <w:color w:val="9C5700"/>
                <w:sz w:val="20"/>
                <w:szCs w:val="20"/>
                <w:lang w:eastAsia="en-AU"/>
              </w:rPr>
            </w:pPr>
            <w:r w:rsidRPr="00753611">
              <w:rPr>
                <w:rFonts w:ascii="Calibri" w:eastAsia="Times New Roman" w:hAnsi="Calibri" w:cs="Calibri"/>
                <w:color w:val="9C5700"/>
                <w:sz w:val="20"/>
                <w:szCs w:val="20"/>
                <w:lang w:eastAsia="en-AU"/>
              </w:rPr>
              <w:t>T-cell prolymphocytic leukaemia</w:t>
            </w:r>
          </w:p>
        </w:tc>
        <w:tc>
          <w:tcPr>
            <w:tcW w:w="1980"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753611" w:rsidRPr="00753611" w:rsidRDefault="00753611" w:rsidP="00753611">
            <w:pPr>
              <w:spacing w:after="0" w:line="240" w:lineRule="auto"/>
              <w:jc w:val="center"/>
              <w:rPr>
                <w:rFonts w:ascii="Calibri" w:eastAsia="Times New Roman" w:hAnsi="Calibri" w:cs="Calibri"/>
                <w:color w:val="9C5700"/>
                <w:sz w:val="20"/>
                <w:szCs w:val="20"/>
                <w:lang w:eastAsia="en-AU"/>
              </w:rPr>
            </w:pPr>
            <w:r w:rsidRPr="00753611">
              <w:rPr>
                <w:rFonts w:ascii="Calibri" w:eastAsia="Times New Roman" w:hAnsi="Calibri" w:cs="Calibri"/>
                <w:color w:val="9C5700"/>
                <w:sz w:val="20"/>
                <w:szCs w:val="20"/>
                <w:lang w:eastAsia="en-AU"/>
              </w:rPr>
              <w:t>Chronic lymphocytic leukaemia - Large cell transformation</w:t>
            </w:r>
          </w:p>
        </w:tc>
        <w:tc>
          <w:tcPr>
            <w:tcW w:w="1980"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753611" w:rsidRPr="00753611" w:rsidRDefault="00753611" w:rsidP="00753611">
            <w:pPr>
              <w:spacing w:after="0" w:line="240" w:lineRule="auto"/>
              <w:jc w:val="center"/>
              <w:rPr>
                <w:rFonts w:ascii="Calibri" w:eastAsia="Times New Roman" w:hAnsi="Calibri" w:cs="Calibri"/>
                <w:color w:val="9C5700"/>
                <w:sz w:val="20"/>
                <w:szCs w:val="20"/>
                <w:lang w:eastAsia="en-AU"/>
              </w:rPr>
            </w:pPr>
            <w:r w:rsidRPr="00753611">
              <w:rPr>
                <w:rFonts w:ascii="Calibri" w:eastAsia="Times New Roman" w:hAnsi="Calibri" w:cs="Calibri"/>
                <w:color w:val="9C5700"/>
                <w:sz w:val="20"/>
                <w:szCs w:val="20"/>
                <w:lang w:eastAsia="en-AU"/>
              </w:rPr>
              <w:t>Mantle cell lymphoma</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r>
      <w:tr w:rsidR="00753611" w:rsidRPr="00753611" w:rsidTr="00753611">
        <w:trPr>
          <w:trHeight w:val="618"/>
        </w:trPr>
        <w:tc>
          <w:tcPr>
            <w:tcW w:w="960" w:type="dxa"/>
            <w:vMerge/>
            <w:tcBorders>
              <w:top w:val="nil"/>
              <w:left w:val="single" w:sz="4" w:space="0" w:color="auto"/>
              <w:bottom w:val="single" w:sz="4" w:space="0" w:color="auto"/>
              <w:right w:val="single" w:sz="4" w:space="0" w:color="auto"/>
            </w:tcBorders>
            <w:vAlign w:val="center"/>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753611" w:rsidRPr="00753611" w:rsidRDefault="00753611" w:rsidP="00753611">
            <w:pPr>
              <w:spacing w:after="0" w:line="240" w:lineRule="auto"/>
              <w:jc w:val="center"/>
              <w:rPr>
                <w:rFonts w:ascii="Calibri" w:eastAsia="Times New Roman" w:hAnsi="Calibri" w:cs="Calibri"/>
                <w:color w:val="9C5700"/>
                <w:sz w:val="20"/>
                <w:szCs w:val="20"/>
                <w:lang w:eastAsia="en-AU"/>
              </w:rPr>
            </w:pPr>
            <w:r w:rsidRPr="00753611">
              <w:rPr>
                <w:rFonts w:ascii="Calibri" w:eastAsia="Times New Roman" w:hAnsi="Calibri" w:cs="Calibri"/>
                <w:color w:val="9C5700"/>
                <w:sz w:val="20"/>
                <w:szCs w:val="20"/>
                <w:lang w:eastAsia="en-AU"/>
              </w:rPr>
              <w:t>Hairy cell leukaemia variant / Splenic B cell lymphoma/leukaemia, unclassifiable</w:t>
            </w:r>
          </w:p>
        </w:tc>
        <w:tc>
          <w:tcPr>
            <w:tcW w:w="1980"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753611" w:rsidRPr="00753611" w:rsidRDefault="00753611" w:rsidP="00753611">
            <w:pPr>
              <w:spacing w:after="0" w:line="240" w:lineRule="auto"/>
              <w:jc w:val="center"/>
              <w:rPr>
                <w:rFonts w:ascii="Calibri" w:eastAsia="Times New Roman" w:hAnsi="Calibri" w:cs="Calibri"/>
                <w:color w:val="9C5700"/>
                <w:sz w:val="20"/>
                <w:szCs w:val="20"/>
                <w:lang w:eastAsia="en-AU"/>
              </w:rPr>
            </w:pPr>
            <w:r w:rsidRPr="00753611">
              <w:rPr>
                <w:rFonts w:ascii="Calibri" w:eastAsia="Times New Roman" w:hAnsi="Calibri" w:cs="Calibri"/>
                <w:color w:val="9C5700"/>
                <w:sz w:val="20"/>
                <w:szCs w:val="20"/>
                <w:lang w:eastAsia="en-AU"/>
              </w:rPr>
              <w:t>Chronic lymphocytic leukaemia / Small lymphocytic lymphoma</w:t>
            </w:r>
          </w:p>
        </w:tc>
        <w:tc>
          <w:tcPr>
            <w:tcW w:w="1980" w:type="dxa"/>
            <w:tcBorders>
              <w:top w:val="nil"/>
              <w:left w:val="nil"/>
              <w:bottom w:val="single" w:sz="4" w:space="0" w:color="auto"/>
              <w:right w:val="single" w:sz="4"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753611" w:rsidRPr="00753611" w:rsidRDefault="00753611" w:rsidP="00753611">
            <w:pPr>
              <w:spacing w:after="0" w:line="240" w:lineRule="auto"/>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r>
    </w:tbl>
    <w:p w:rsidR="00753611" w:rsidRDefault="00753611">
      <w:pPr>
        <w:rPr>
          <w:noProof/>
        </w:rPr>
      </w:pPr>
    </w:p>
    <w:tbl>
      <w:tblPr>
        <w:tblW w:w="4560" w:type="dxa"/>
        <w:tblLook w:val="04A0" w:firstRow="1" w:lastRow="0" w:firstColumn="1" w:lastColumn="0" w:noHBand="0" w:noVBand="1"/>
      </w:tblPr>
      <w:tblGrid>
        <w:gridCol w:w="1520"/>
        <w:gridCol w:w="1520"/>
        <w:gridCol w:w="1520"/>
      </w:tblGrid>
      <w:tr w:rsidR="00753611" w:rsidRPr="00753611" w:rsidTr="00753611">
        <w:trPr>
          <w:trHeight w:val="780"/>
        </w:trPr>
        <w:tc>
          <w:tcPr>
            <w:tcW w:w="1520"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753611" w:rsidRPr="00753611" w:rsidRDefault="00753611" w:rsidP="00753611">
            <w:pPr>
              <w:spacing w:after="0" w:line="240" w:lineRule="auto"/>
              <w:jc w:val="center"/>
              <w:rPr>
                <w:rFonts w:ascii="Calibri" w:eastAsia="Times New Roman" w:hAnsi="Calibri" w:cs="Calibri"/>
                <w:color w:val="006100"/>
                <w:sz w:val="20"/>
                <w:szCs w:val="20"/>
                <w:lang w:eastAsia="en-AU"/>
              </w:rPr>
            </w:pPr>
            <w:r w:rsidRPr="00753611">
              <w:rPr>
                <w:rFonts w:ascii="Calibri" w:eastAsia="Times New Roman" w:hAnsi="Calibri" w:cs="Calibri"/>
                <w:color w:val="006100"/>
                <w:sz w:val="20"/>
                <w:szCs w:val="20"/>
                <w:lang w:eastAsia="en-AU"/>
              </w:rPr>
              <w:t>High scoring response</w:t>
            </w:r>
          </w:p>
        </w:tc>
        <w:tc>
          <w:tcPr>
            <w:tcW w:w="1520"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753611" w:rsidRPr="00753611" w:rsidRDefault="00753611" w:rsidP="00753611">
            <w:pPr>
              <w:spacing w:after="0" w:line="240" w:lineRule="auto"/>
              <w:jc w:val="center"/>
              <w:rPr>
                <w:rFonts w:ascii="Calibri" w:eastAsia="Times New Roman" w:hAnsi="Calibri" w:cs="Calibri"/>
                <w:color w:val="9C5700"/>
                <w:sz w:val="20"/>
                <w:szCs w:val="20"/>
                <w:lang w:eastAsia="en-AU"/>
              </w:rPr>
            </w:pPr>
            <w:r w:rsidRPr="00753611">
              <w:rPr>
                <w:rFonts w:ascii="Calibri" w:eastAsia="Times New Roman" w:hAnsi="Calibri" w:cs="Calibri"/>
                <w:color w:val="9C5700"/>
                <w:sz w:val="20"/>
                <w:szCs w:val="20"/>
                <w:lang w:eastAsia="en-AU"/>
              </w:rPr>
              <w:t>Moderate scoring response</w:t>
            </w:r>
          </w:p>
        </w:tc>
        <w:tc>
          <w:tcPr>
            <w:tcW w:w="1520" w:type="dxa"/>
            <w:tcBorders>
              <w:top w:val="single" w:sz="8" w:space="0" w:color="auto"/>
              <w:left w:val="nil"/>
              <w:bottom w:val="single" w:sz="8" w:space="0" w:color="auto"/>
              <w:right w:val="single" w:sz="8" w:space="0" w:color="auto"/>
            </w:tcBorders>
            <w:shd w:val="clear" w:color="000000" w:fill="FFF2CC"/>
            <w:vAlign w:val="center"/>
            <w:hideMark/>
          </w:tcPr>
          <w:p w:rsidR="00753611" w:rsidRPr="00753611" w:rsidRDefault="00753611" w:rsidP="00753611">
            <w:pPr>
              <w:spacing w:after="0" w:line="240" w:lineRule="auto"/>
              <w:jc w:val="center"/>
              <w:rPr>
                <w:rFonts w:ascii="Calibri" w:eastAsia="Times New Roman" w:hAnsi="Calibri" w:cs="Calibri"/>
                <w:color w:val="BF8F00"/>
                <w:sz w:val="20"/>
                <w:szCs w:val="20"/>
                <w:lang w:eastAsia="en-AU"/>
              </w:rPr>
            </w:pPr>
            <w:r w:rsidRPr="00753611">
              <w:rPr>
                <w:rFonts w:ascii="Calibri" w:eastAsia="Times New Roman" w:hAnsi="Calibri" w:cs="Calibri"/>
                <w:color w:val="BF8F00"/>
                <w:sz w:val="20"/>
                <w:szCs w:val="20"/>
                <w:lang w:eastAsia="en-AU"/>
              </w:rPr>
              <w:t xml:space="preserve">Low scoring response </w:t>
            </w:r>
          </w:p>
        </w:tc>
      </w:tr>
    </w:tbl>
    <w:p w:rsidR="00753611" w:rsidRDefault="00753611">
      <w:pPr>
        <w:rPr>
          <w:noProof/>
        </w:rPr>
      </w:pPr>
    </w:p>
    <w:p w:rsidR="00753611" w:rsidRDefault="00753611">
      <w:pPr>
        <w:rPr>
          <w:noProof/>
        </w:rPr>
      </w:pPr>
    </w:p>
    <w:p w:rsidR="00753611" w:rsidRDefault="00753611">
      <w:pPr>
        <w:rPr>
          <w:noProof/>
        </w:rPr>
      </w:pPr>
    </w:p>
    <w:tbl>
      <w:tblPr>
        <w:tblW w:w="6080" w:type="dxa"/>
        <w:tblLook w:val="04A0" w:firstRow="1" w:lastRow="0" w:firstColumn="1" w:lastColumn="0" w:noHBand="0" w:noVBand="1"/>
      </w:tblPr>
      <w:tblGrid>
        <w:gridCol w:w="1520"/>
        <w:gridCol w:w="1520"/>
        <w:gridCol w:w="1520"/>
        <w:gridCol w:w="1520"/>
      </w:tblGrid>
      <w:tr w:rsidR="00753611" w:rsidRPr="00753611" w:rsidTr="00753611">
        <w:trPr>
          <w:trHeight w:val="315"/>
        </w:trPr>
        <w:tc>
          <w:tcPr>
            <w:tcW w:w="1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CLOSED 06/04/2021</w:t>
            </w:r>
          </w:p>
        </w:tc>
        <w:tc>
          <w:tcPr>
            <w:tcW w:w="1520" w:type="dxa"/>
            <w:tcBorders>
              <w:top w:val="single" w:sz="8" w:space="0" w:color="auto"/>
              <w:left w:val="nil"/>
              <w:bottom w:val="single" w:sz="8" w:space="0" w:color="auto"/>
              <w:right w:val="nil"/>
            </w:tcBorders>
            <w:shd w:val="clear" w:color="auto" w:fill="auto"/>
            <w:noWrap/>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 xml:space="preserve">Submissions </w:t>
            </w:r>
          </w:p>
        </w:tc>
        <w:tc>
          <w:tcPr>
            <w:tcW w:w="1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Total</w:t>
            </w:r>
          </w:p>
        </w:tc>
        <w:tc>
          <w:tcPr>
            <w:tcW w:w="1520" w:type="dxa"/>
            <w:tcBorders>
              <w:top w:val="single" w:sz="8" w:space="0" w:color="auto"/>
              <w:left w:val="nil"/>
              <w:bottom w:val="single" w:sz="8" w:space="0" w:color="auto"/>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w:t>
            </w:r>
          </w:p>
        </w:tc>
      </w:tr>
      <w:tr w:rsidR="00753611" w:rsidRPr="00753611" w:rsidTr="00753611">
        <w:trPr>
          <w:trHeight w:val="300"/>
        </w:trPr>
        <w:tc>
          <w:tcPr>
            <w:tcW w:w="1520" w:type="dxa"/>
            <w:tcBorders>
              <w:top w:val="nil"/>
              <w:left w:val="single" w:sz="8" w:space="0" w:color="auto"/>
              <w:bottom w:val="nil"/>
              <w:right w:val="single" w:sz="8" w:space="0" w:color="auto"/>
            </w:tcBorders>
            <w:shd w:val="clear" w:color="auto" w:fill="auto"/>
            <w:noWrap/>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All Staff</w:t>
            </w:r>
          </w:p>
        </w:tc>
        <w:tc>
          <w:tcPr>
            <w:tcW w:w="1520" w:type="dxa"/>
            <w:tcBorders>
              <w:top w:val="nil"/>
              <w:left w:val="nil"/>
              <w:bottom w:val="nil"/>
              <w:right w:val="nil"/>
            </w:tcBorders>
            <w:shd w:val="clear" w:color="auto" w:fill="auto"/>
            <w:noWrap/>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21</w:t>
            </w:r>
          </w:p>
        </w:tc>
        <w:tc>
          <w:tcPr>
            <w:tcW w:w="1520" w:type="dxa"/>
            <w:tcBorders>
              <w:top w:val="nil"/>
              <w:left w:val="single" w:sz="8" w:space="0" w:color="auto"/>
              <w:bottom w:val="nil"/>
              <w:right w:val="single" w:sz="8" w:space="0" w:color="auto"/>
            </w:tcBorders>
            <w:shd w:val="clear" w:color="auto" w:fill="auto"/>
            <w:noWrap/>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46</w:t>
            </w:r>
          </w:p>
        </w:tc>
        <w:tc>
          <w:tcPr>
            <w:tcW w:w="1520" w:type="dxa"/>
            <w:tcBorders>
              <w:top w:val="nil"/>
              <w:left w:val="nil"/>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45.7</w:t>
            </w:r>
          </w:p>
        </w:tc>
      </w:tr>
      <w:tr w:rsidR="00753611" w:rsidRPr="00753611" w:rsidTr="00753611">
        <w:trPr>
          <w:trHeight w:val="300"/>
        </w:trPr>
        <w:tc>
          <w:tcPr>
            <w:tcW w:w="1520" w:type="dxa"/>
            <w:tcBorders>
              <w:top w:val="nil"/>
              <w:left w:val="single" w:sz="8" w:space="0" w:color="auto"/>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520" w:type="dxa"/>
            <w:tcBorders>
              <w:top w:val="nil"/>
              <w:left w:val="nil"/>
              <w:bottom w:val="nil"/>
              <w:right w:val="nil"/>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p>
        </w:tc>
        <w:tc>
          <w:tcPr>
            <w:tcW w:w="1520" w:type="dxa"/>
            <w:tcBorders>
              <w:top w:val="nil"/>
              <w:left w:val="single" w:sz="8" w:space="0" w:color="auto"/>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520" w:type="dxa"/>
            <w:tcBorders>
              <w:top w:val="nil"/>
              <w:left w:val="nil"/>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r>
      <w:tr w:rsidR="00753611" w:rsidRPr="00753611" w:rsidTr="00753611">
        <w:trPr>
          <w:trHeight w:val="300"/>
        </w:trPr>
        <w:tc>
          <w:tcPr>
            <w:tcW w:w="1520" w:type="dxa"/>
            <w:tcBorders>
              <w:top w:val="nil"/>
              <w:left w:val="single" w:sz="8" w:space="0" w:color="auto"/>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520" w:type="dxa"/>
            <w:tcBorders>
              <w:top w:val="nil"/>
              <w:left w:val="nil"/>
              <w:bottom w:val="nil"/>
              <w:right w:val="nil"/>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p>
        </w:tc>
        <w:tc>
          <w:tcPr>
            <w:tcW w:w="1520" w:type="dxa"/>
            <w:tcBorders>
              <w:top w:val="nil"/>
              <w:left w:val="single" w:sz="8" w:space="0" w:color="auto"/>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520" w:type="dxa"/>
            <w:tcBorders>
              <w:top w:val="nil"/>
              <w:left w:val="nil"/>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r>
      <w:tr w:rsidR="00753611" w:rsidRPr="00753611" w:rsidTr="00753611">
        <w:trPr>
          <w:trHeight w:val="300"/>
        </w:trPr>
        <w:tc>
          <w:tcPr>
            <w:tcW w:w="1520" w:type="dxa"/>
            <w:tcBorders>
              <w:top w:val="nil"/>
              <w:left w:val="single" w:sz="8" w:space="0" w:color="auto"/>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520" w:type="dxa"/>
            <w:tcBorders>
              <w:top w:val="nil"/>
              <w:left w:val="nil"/>
              <w:bottom w:val="nil"/>
              <w:right w:val="nil"/>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p>
        </w:tc>
        <w:tc>
          <w:tcPr>
            <w:tcW w:w="1520" w:type="dxa"/>
            <w:tcBorders>
              <w:top w:val="nil"/>
              <w:left w:val="single" w:sz="8" w:space="0" w:color="auto"/>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520" w:type="dxa"/>
            <w:tcBorders>
              <w:top w:val="nil"/>
              <w:left w:val="nil"/>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r>
      <w:tr w:rsidR="00753611" w:rsidRPr="00753611" w:rsidTr="00753611">
        <w:trPr>
          <w:trHeight w:val="300"/>
        </w:trPr>
        <w:tc>
          <w:tcPr>
            <w:tcW w:w="1520" w:type="dxa"/>
            <w:tcBorders>
              <w:top w:val="nil"/>
              <w:left w:val="single" w:sz="8" w:space="0" w:color="auto"/>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 xml:space="preserve">Morph Trained </w:t>
            </w:r>
          </w:p>
        </w:tc>
        <w:tc>
          <w:tcPr>
            <w:tcW w:w="1520" w:type="dxa"/>
            <w:tcBorders>
              <w:top w:val="nil"/>
              <w:left w:val="nil"/>
              <w:bottom w:val="nil"/>
              <w:right w:val="nil"/>
            </w:tcBorders>
            <w:shd w:val="clear" w:color="auto" w:fill="auto"/>
            <w:noWrap/>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12</w:t>
            </w:r>
          </w:p>
        </w:tc>
        <w:tc>
          <w:tcPr>
            <w:tcW w:w="1520" w:type="dxa"/>
            <w:tcBorders>
              <w:top w:val="nil"/>
              <w:left w:val="single" w:sz="8" w:space="0" w:color="auto"/>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22</w:t>
            </w:r>
          </w:p>
        </w:tc>
        <w:tc>
          <w:tcPr>
            <w:tcW w:w="1520" w:type="dxa"/>
            <w:tcBorders>
              <w:top w:val="nil"/>
              <w:left w:val="nil"/>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54.5</w:t>
            </w:r>
          </w:p>
        </w:tc>
      </w:tr>
      <w:tr w:rsidR="00753611" w:rsidRPr="00753611" w:rsidTr="00753611">
        <w:trPr>
          <w:trHeight w:val="300"/>
        </w:trPr>
        <w:tc>
          <w:tcPr>
            <w:tcW w:w="1520" w:type="dxa"/>
            <w:tcBorders>
              <w:top w:val="nil"/>
              <w:left w:val="single" w:sz="8" w:space="0" w:color="auto"/>
              <w:bottom w:val="nil"/>
              <w:right w:val="single" w:sz="8" w:space="0" w:color="auto"/>
            </w:tcBorders>
            <w:shd w:val="clear" w:color="auto" w:fill="auto"/>
            <w:noWrap/>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 xml:space="preserve">Incomplete </w:t>
            </w:r>
          </w:p>
        </w:tc>
        <w:tc>
          <w:tcPr>
            <w:tcW w:w="1520" w:type="dxa"/>
            <w:tcBorders>
              <w:top w:val="nil"/>
              <w:left w:val="nil"/>
              <w:bottom w:val="nil"/>
              <w:right w:val="nil"/>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2</w:t>
            </w:r>
          </w:p>
        </w:tc>
        <w:tc>
          <w:tcPr>
            <w:tcW w:w="1520" w:type="dxa"/>
            <w:tcBorders>
              <w:top w:val="nil"/>
              <w:left w:val="single" w:sz="8" w:space="0" w:color="auto"/>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 </w:t>
            </w:r>
          </w:p>
        </w:tc>
        <w:tc>
          <w:tcPr>
            <w:tcW w:w="1520" w:type="dxa"/>
            <w:tcBorders>
              <w:top w:val="nil"/>
              <w:left w:val="nil"/>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4.3</w:t>
            </w:r>
          </w:p>
        </w:tc>
      </w:tr>
      <w:tr w:rsidR="00753611" w:rsidRPr="00753611" w:rsidTr="00753611">
        <w:trPr>
          <w:trHeight w:val="300"/>
        </w:trPr>
        <w:tc>
          <w:tcPr>
            <w:tcW w:w="1520" w:type="dxa"/>
            <w:tcBorders>
              <w:top w:val="nil"/>
              <w:left w:val="single" w:sz="8" w:space="0" w:color="auto"/>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Routine</w:t>
            </w:r>
          </w:p>
        </w:tc>
        <w:tc>
          <w:tcPr>
            <w:tcW w:w="1520" w:type="dxa"/>
            <w:tcBorders>
              <w:top w:val="nil"/>
              <w:left w:val="nil"/>
              <w:bottom w:val="nil"/>
              <w:right w:val="nil"/>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4</w:t>
            </w:r>
          </w:p>
        </w:tc>
        <w:tc>
          <w:tcPr>
            <w:tcW w:w="1520" w:type="dxa"/>
            <w:tcBorders>
              <w:top w:val="nil"/>
              <w:left w:val="single" w:sz="8" w:space="0" w:color="auto"/>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12</w:t>
            </w:r>
          </w:p>
        </w:tc>
        <w:tc>
          <w:tcPr>
            <w:tcW w:w="1520" w:type="dxa"/>
            <w:tcBorders>
              <w:top w:val="nil"/>
              <w:left w:val="nil"/>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33.3</w:t>
            </w:r>
          </w:p>
        </w:tc>
      </w:tr>
      <w:tr w:rsidR="00753611" w:rsidRPr="00753611" w:rsidTr="00753611">
        <w:trPr>
          <w:trHeight w:val="300"/>
        </w:trPr>
        <w:tc>
          <w:tcPr>
            <w:tcW w:w="1520" w:type="dxa"/>
            <w:tcBorders>
              <w:top w:val="nil"/>
              <w:left w:val="single" w:sz="8" w:space="0" w:color="auto"/>
              <w:bottom w:val="nil"/>
              <w:right w:val="single" w:sz="8" w:space="0" w:color="auto"/>
            </w:tcBorders>
            <w:shd w:val="clear" w:color="auto" w:fill="auto"/>
            <w:noWrap/>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 xml:space="preserve">SANDY </w:t>
            </w:r>
          </w:p>
        </w:tc>
        <w:tc>
          <w:tcPr>
            <w:tcW w:w="1520" w:type="dxa"/>
            <w:tcBorders>
              <w:top w:val="nil"/>
              <w:left w:val="nil"/>
              <w:bottom w:val="nil"/>
              <w:right w:val="nil"/>
            </w:tcBorders>
            <w:shd w:val="clear" w:color="auto" w:fill="auto"/>
            <w:noWrap/>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1</w:t>
            </w:r>
          </w:p>
        </w:tc>
        <w:tc>
          <w:tcPr>
            <w:tcW w:w="1520" w:type="dxa"/>
            <w:tcBorders>
              <w:top w:val="nil"/>
              <w:left w:val="single" w:sz="8" w:space="0" w:color="auto"/>
              <w:bottom w:val="nil"/>
              <w:right w:val="single" w:sz="8" w:space="0" w:color="auto"/>
            </w:tcBorders>
            <w:shd w:val="clear" w:color="auto" w:fill="auto"/>
            <w:noWrap/>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3</w:t>
            </w:r>
          </w:p>
        </w:tc>
        <w:tc>
          <w:tcPr>
            <w:tcW w:w="1520" w:type="dxa"/>
            <w:tcBorders>
              <w:top w:val="nil"/>
              <w:left w:val="nil"/>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33.3</w:t>
            </w:r>
          </w:p>
        </w:tc>
      </w:tr>
      <w:tr w:rsidR="00753611" w:rsidRPr="00753611" w:rsidTr="00753611">
        <w:trPr>
          <w:trHeight w:val="300"/>
        </w:trPr>
        <w:tc>
          <w:tcPr>
            <w:tcW w:w="1520" w:type="dxa"/>
            <w:tcBorders>
              <w:top w:val="nil"/>
              <w:left w:val="single" w:sz="8" w:space="0" w:color="auto"/>
              <w:bottom w:val="nil"/>
              <w:right w:val="single" w:sz="8" w:space="0" w:color="auto"/>
            </w:tcBorders>
            <w:shd w:val="clear" w:color="auto" w:fill="auto"/>
            <w:noWrap/>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CORE</w:t>
            </w:r>
          </w:p>
        </w:tc>
        <w:tc>
          <w:tcPr>
            <w:tcW w:w="1520" w:type="dxa"/>
            <w:tcBorders>
              <w:top w:val="nil"/>
              <w:left w:val="nil"/>
              <w:bottom w:val="nil"/>
              <w:right w:val="nil"/>
            </w:tcBorders>
            <w:shd w:val="clear" w:color="auto" w:fill="auto"/>
            <w:noWrap/>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3</w:t>
            </w:r>
          </w:p>
        </w:tc>
        <w:tc>
          <w:tcPr>
            <w:tcW w:w="1520" w:type="dxa"/>
            <w:tcBorders>
              <w:top w:val="nil"/>
              <w:left w:val="single" w:sz="8" w:space="0" w:color="auto"/>
              <w:bottom w:val="nil"/>
              <w:right w:val="single" w:sz="8" w:space="0" w:color="auto"/>
            </w:tcBorders>
            <w:shd w:val="clear" w:color="auto" w:fill="auto"/>
            <w:noWrap/>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8</w:t>
            </w:r>
          </w:p>
        </w:tc>
        <w:tc>
          <w:tcPr>
            <w:tcW w:w="1520" w:type="dxa"/>
            <w:tcBorders>
              <w:top w:val="nil"/>
              <w:left w:val="nil"/>
              <w:bottom w:val="nil"/>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37.5</w:t>
            </w:r>
          </w:p>
        </w:tc>
      </w:tr>
      <w:tr w:rsidR="00753611" w:rsidRPr="00753611" w:rsidTr="00753611">
        <w:trPr>
          <w:trHeight w:val="315"/>
        </w:trPr>
        <w:tc>
          <w:tcPr>
            <w:tcW w:w="1520" w:type="dxa"/>
            <w:tcBorders>
              <w:top w:val="nil"/>
              <w:left w:val="single" w:sz="8" w:space="0" w:color="auto"/>
              <w:bottom w:val="single" w:sz="8" w:space="0" w:color="auto"/>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Flow</w:t>
            </w:r>
          </w:p>
        </w:tc>
        <w:tc>
          <w:tcPr>
            <w:tcW w:w="1520" w:type="dxa"/>
            <w:tcBorders>
              <w:top w:val="nil"/>
              <w:left w:val="nil"/>
              <w:bottom w:val="single" w:sz="8" w:space="0" w:color="auto"/>
              <w:right w:val="nil"/>
            </w:tcBorders>
            <w:shd w:val="clear" w:color="auto" w:fill="auto"/>
            <w:noWrap/>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1</w:t>
            </w:r>
          </w:p>
        </w:tc>
        <w:tc>
          <w:tcPr>
            <w:tcW w:w="1520" w:type="dxa"/>
            <w:tcBorders>
              <w:top w:val="nil"/>
              <w:left w:val="single" w:sz="8" w:space="0" w:color="auto"/>
              <w:bottom w:val="single" w:sz="8" w:space="0" w:color="auto"/>
              <w:right w:val="single" w:sz="8" w:space="0" w:color="auto"/>
            </w:tcBorders>
            <w:shd w:val="clear" w:color="auto" w:fill="auto"/>
            <w:noWrap/>
            <w:vAlign w:val="bottom"/>
            <w:hideMark/>
          </w:tcPr>
          <w:p w:rsidR="00753611" w:rsidRPr="00753611" w:rsidRDefault="00753611" w:rsidP="00753611">
            <w:pPr>
              <w:spacing w:after="0" w:line="240" w:lineRule="auto"/>
              <w:jc w:val="center"/>
              <w:rPr>
                <w:rFonts w:ascii="Calibri" w:eastAsia="Times New Roman" w:hAnsi="Calibri" w:cs="Calibri"/>
                <w:b/>
                <w:bCs/>
                <w:color w:val="000000"/>
                <w:sz w:val="20"/>
                <w:szCs w:val="20"/>
                <w:lang w:eastAsia="en-AU"/>
              </w:rPr>
            </w:pPr>
            <w:r w:rsidRPr="00753611">
              <w:rPr>
                <w:rFonts w:ascii="Calibri" w:eastAsia="Times New Roman" w:hAnsi="Calibri" w:cs="Calibri"/>
                <w:b/>
                <w:bCs/>
                <w:color w:val="000000"/>
                <w:sz w:val="20"/>
                <w:szCs w:val="20"/>
                <w:lang w:eastAsia="en-AU"/>
              </w:rPr>
              <w:t>6</w:t>
            </w:r>
          </w:p>
        </w:tc>
        <w:tc>
          <w:tcPr>
            <w:tcW w:w="1520" w:type="dxa"/>
            <w:tcBorders>
              <w:top w:val="nil"/>
              <w:left w:val="nil"/>
              <w:bottom w:val="single" w:sz="8" w:space="0" w:color="auto"/>
              <w:right w:val="single" w:sz="8" w:space="0" w:color="auto"/>
            </w:tcBorders>
            <w:shd w:val="clear" w:color="auto" w:fill="auto"/>
            <w:vAlign w:val="bottom"/>
            <w:hideMark/>
          </w:tcPr>
          <w:p w:rsidR="00753611" w:rsidRPr="00753611" w:rsidRDefault="00753611" w:rsidP="00753611">
            <w:pPr>
              <w:spacing w:after="0" w:line="240" w:lineRule="auto"/>
              <w:jc w:val="center"/>
              <w:rPr>
                <w:rFonts w:ascii="Calibri" w:eastAsia="Times New Roman" w:hAnsi="Calibri" w:cs="Calibri"/>
                <w:color w:val="000000"/>
                <w:sz w:val="20"/>
                <w:szCs w:val="20"/>
                <w:lang w:eastAsia="en-AU"/>
              </w:rPr>
            </w:pPr>
            <w:r w:rsidRPr="00753611">
              <w:rPr>
                <w:rFonts w:ascii="Calibri" w:eastAsia="Times New Roman" w:hAnsi="Calibri" w:cs="Calibri"/>
                <w:color w:val="000000"/>
                <w:sz w:val="20"/>
                <w:szCs w:val="20"/>
                <w:lang w:eastAsia="en-AU"/>
              </w:rPr>
              <w:t>16.7</w:t>
            </w:r>
          </w:p>
        </w:tc>
      </w:tr>
    </w:tbl>
    <w:p w:rsidR="00753611" w:rsidRDefault="00753611">
      <w:pPr>
        <w:rPr>
          <w:noProof/>
        </w:rPr>
      </w:pPr>
    </w:p>
    <w:p w:rsidR="00753611" w:rsidRDefault="00753611">
      <w:pPr>
        <w:rPr>
          <w:noProof/>
        </w:rPr>
      </w:pPr>
    </w:p>
    <w:p w:rsidR="00753611" w:rsidRDefault="00753611">
      <w:pPr>
        <w:rPr>
          <w:noProof/>
        </w:rPr>
      </w:pPr>
    </w:p>
    <w:p w:rsidR="00753611" w:rsidRDefault="00753611">
      <w:pPr>
        <w:rPr>
          <w:noProof/>
        </w:rPr>
        <w:sectPr w:rsidR="00753611" w:rsidSect="00753611">
          <w:pgSz w:w="11906" w:h="16838"/>
          <w:pgMar w:top="720" w:right="720" w:bottom="720" w:left="720" w:header="708" w:footer="708" w:gutter="0"/>
          <w:cols w:space="708"/>
          <w:docGrid w:linePitch="360"/>
        </w:sectPr>
      </w:pPr>
    </w:p>
    <w:p w:rsidR="00753611" w:rsidRDefault="00753611">
      <w:pPr>
        <w:rPr>
          <w:noProof/>
        </w:rPr>
      </w:pPr>
    </w:p>
    <w:p w:rsidR="002E1AF0" w:rsidRDefault="002E1AF0">
      <w:pPr>
        <w:rPr>
          <w:noProof/>
        </w:rPr>
      </w:pPr>
      <w:r>
        <w:rPr>
          <w:noProof/>
        </w:rPr>
        <w:drawing>
          <wp:inline distT="0" distB="0" distL="0" distR="0" wp14:anchorId="3A12D8A8" wp14:editId="180392C1">
            <wp:extent cx="8863330" cy="3131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3330" cy="3131820"/>
                    </a:xfrm>
                    <a:prstGeom prst="rect">
                      <a:avLst/>
                    </a:prstGeom>
                  </pic:spPr>
                </pic:pic>
              </a:graphicData>
            </a:graphic>
          </wp:inline>
        </w:drawing>
      </w:r>
    </w:p>
    <w:p w:rsidR="002E1AF0" w:rsidRDefault="002E1AF0"/>
    <w:p w:rsidR="002E1AF0" w:rsidRDefault="002E1AF0">
      <w:r>
        <w:rPr>
          <w:noProof/>
        </w:rPr>
        <w:drawing>
          <wp:inline distT="0" distB="0" distL="0" distR="0" wp14:anchorId="36E8442F" wp14:editId="33B9E9E2">
            <wp:extent cx="6115050" cy="255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5050" cy="2552700"/>
                    </a:xfrm>
                    <a:prstGeom prst="rect">
                      <a:avLst/>
                    </a:prstGeom>
                  </pic:spPr>
                </pic:pic>
              </a:graphicData>
            </a:graphic>
          </wp:inline>
        </w:drawing>
      </w:r>
    </w:p>
    <w:sectPr w:rsidR="002E1AF0" w:rsidSect="0075361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1BD"/>
    <w:rsid w:val="002E1AF0"/>
    <w:rsid w:val="002F14CF"/>
    <w:rsid w:val="004360D7"/>
    <w:rsid w:val="004678FA"/>
    <w:rsid w:val="00502D86"/>
    <w:rsid w:val="005503F3"/>
    <w:rsid w:val="0057583B"/>
    <w:rsid w:val="005D4F46"/>
    <w:rsid w:val="00753611"/>
    <w:rsid w:val="007D254E"/>
    <w:rsid w:val="00B111BD"/>
    <w:rsid w:val="00D74FEB"/>
    <w:rsid w:val="00D820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7558D"/>
  <w15:chartTrackingRefBased/>
  <w15:docId w15:val="{D242E851-B2B7-48B1-9392-765F38C63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8469">
      <w:bodyDiv w:val="1"/>
      <w:marLeft w:val="0"/>
      <w:marRight w:val="0"/>
      <w:marTop w:val="0"/>
      <w:marBottom w:val="0"/>
      <w:divBdr>
        <w:top w:val="none" w:sz="0" w:space="0" w:color="auto"/>
        <w:left w:val="none" w:sz="0" w:space="0" w:color="auto"/>
        <w:bottom w:val="none" w:sz="0" w:space="0" w:color="auto"/>
        <w:right w:val="none" w:sz="0" w:space="0" w:color="auto"/>
      </w:divBdr>
    </w:div>
    <w:div w:id="757017813">
      <w:bodyDiv w:val="1"/>
      <w:marLeft w:val="0"/>
      <w:marRight w:val="0"/>
      <w:marTop w:val="0"/>
      <w:marBottom w:val="0"/>
      <w:divBdr>
        <w:top w:val="none" w:sz="0" w:space="0" w:color="auto"/>
        <w:left w:val="none" w:sz="0" w:space="0" w:color="auto"/>
        <w:bottom w:val="none" w:sz="0" w:space="0" w:color="auto"/>
        <w:right w:val="none" w:sz="0" w:space="0" w:color="auto"/>
      </w:divBdr>
    </w:div>
    <w:div w:id="877475900">
      <w:bodyDiv w:val="1"/>
      <w:marLeft w:val="0"/>
      <w:marRight w:val="0"/>
      <w:marTop w:val="0"/>
      <w:marBottom w:val="0"/>
      <w:divBdr>
        <w:top w:val="none" w:sz="0" w:space="0" w:color="auto"/>
        <w:left w:val="none" w:sz="0" w:space="0" w:color="auto"/>
        <w:bottom w:val="none" w:sz="0" w:space="0" w:color="auto"/>
        <w:right w:val="none" w:sz="0" w:space="0" w:color="auto"/>
      </w:divBdr>
    </w:div>
    <w:div w:id="1432436161">
      <w:bodyDiv w:val="1"/>
      <w:marLeft w:val="0"/>
      <w:marRight w:val="0"/>
      <w:marTop w:val="0"/>
      <w:marBottom w:val="0"/>
      <w:divBdr>
        <w:top w:val="none" w:sz="0" w:space="0" w:color="auto"/>
        <w:left w:val="none" w:sz="0" w:space="0" w:color="auto"/>
        <w:bottom w:val="none" w:sz="0" w:space="0" w:color="auto"/>
        <w:right w:val="none" w:sz="0" w:space="0" w:color="auto"/>
      </w:divBdr>
    </w:div>
    <w:div w:id="1572962080">
      <w:bodyDiv w:val="1"/>
      <w:marLeft w:val="0"/>
      <w:marRight w:val="0"/>
      <w:marTop w:val="0"/>
      <w:marBottom w:val="0"/>
      <w:divBdr>
        <w:top w:val="none" w:sz="0" w:space="0" w:color="auto"/>
        <w:left w:val="none" w:sz="0" w:space="0" w:color="auto"/>
        <w:bottom w:val="none" w:sz="0" w:space="0" w:color="auto"/>
        <w:right w:val="none" w:sz="0" w:space="0" w:color="auto"/>
      </w:divBdr>
    </w:div>
    <w:div w:id="1891383846">
      <w:bodyDiv w:val="1"/>
      <w:marLeft w:val="0"/>
      <w:marRight w:val="0"/>
      <w:marTop w:val="0"/>
      <w:marBottom w:val="0"/>
      <w:divBdr>
        <w:top w:val="none" w:sz="0" w:space="0" w:color="auto"/>
        <w:left w:val="none" w:sz="0" w:space="0" w:color="auto"/>
        <w:bottom w:val="none" w:sz="0" w:space="0" w:color="auto"/>
        <w:right w:val="none" w:sz="0" w:space="0" w:color="auto"/>
      </w:divBdr>
    </w:div>
    <w:div w:id="1915892057">
      <w:bodyDiv w:val="1"/>
      <w:marLeft w:val="0"/>
      <w:marRight w:val="0"/>
      <w:marTop w:val="0"/>
      <w:marBottom w:val="0"/>
      <w:divBdr>
        <w:top w:val="none" w:sz="0" w:space="0" w:color="auto"/>
        <w:left w:val="none" w:sz="0" w:space="0" w:color="auto"/>
        <w:bottom w:val="none" w:sz="0" w:space="0" w:color="auto"/>
        <w:right w:val="none" w:sz="0" w:space="0" w:color="auto"/>
      </w:divBdr>
    </w:div>
    <w:div w:id="2072927408">
      <w:bodyDiv w:val="1"/>
      <w:marLeft w:val="0"/>
      <w:marRight w:val="0"/>
      <w:marTop w:val="0"/>
      <w:marBottom w:val="0"/>
      <w:divBdr>
        <w:top w:val="none" w:sz="0" w:space="0" w:color="auto"/>
        <w:left w:val="none" w:sz="0" w:space="0" w:color="auto"/>
        <w:bottom w:val="none" w:sz="0" w:space="0" w:color="auto"/>
        <w:right w:val="none" w:sz="0" w:space="0" w:color="auto"/>
      </w:divBdr>
      <w:divsChild>
        <w:div w:id="1760827614">
          <w:marLeft w:val="0"/>
          <w:marRight w:val="0"/>
          <w:marTop w:val="0"/>
          <w:marBottom w:val="0"/>
          <w:divBdr>
            <w:top w:val="none" w:sz="0" w:space="0" w:color="auto"/>
            <w:left w:val="none" w:sz="0" w:space="0" w:color="auto"/>
            <w:bottom w:val="none" w:sz="0" w:space="0" w:color="auto"/>
            <w:right w:val="none" w:sz="0" w:space="0" w:color="auto"/>
          </w:divBdr>
          <w:divsChild>
            <w:div w:id="932274626">
              <w:marLeft w:val="0"/>
              <w:marRight w:val="0"/>
              <w:marTop w:val="0"/>
              <w:marBottom w:val="0"/>
              <w:divBdr>
                <w:top w:val="none" w:sz="0" w:space="0" w:color="auto"/>
                <w:left w:val="none" w:sz="0" w:space="0" w:color="auto"/>
                <w:bottom w:val="none" w:sz="0" w:space="0" w:color="auto"/>
                <w:right w:val="none" w:sz="0" w:space="0" w:color="auto"/>
              </w:divBdr>
              <w:divsChild>
                <w:div w:id="944196391">
                  <w:marLeft w:val="0"/>
                  <w:marRight w:val="0"/>
                  <w:marTop w:val="0"/>
                  <w:marBottom w:val="0"/>
                  <w:divBdr>
                    <w:top w:val="none" w:sz="0" w:space="0" w:color="auto"/>
                    <w:left w:val="none" w:sz="0" w:space="0" w:color="auto"/>
                    <w:bottom w:val="none" w:sz="0" w:space="0" w:color="auto"/>
                    <w:right w:val="none" w:sz="0" w:space="0" w:color="auto"/>
                  </w:divBdr>
                  <w:divsChild>
                    <w:div w:id="1781610838">
                      <w:marLeft w:val="0"/>
                      <w:marRight w:val="0"/>
                      <w:marTop w:val="0"/>
                      <w:marBottom w:val="0"/>
                      <w:divBdr>
                        <w:top w:val="none" w:sz="0" w:space="0" w:color="auto"/>
                        <w:left w:val="none" w:sz="0" w:space="0" w:color="auto"/>
                        <w:bottom w:val="none" w:sz="0" w:space="0" w:color="auto"/>
                        <w:right w:val="none" w:sz="0" w:space="0" w:color="auto"/>
                      </w:divBdr>
                      <w:divsChild>
                        <w:div w:id="1714501489">
                          <w:marLeft w:val="0"/>
                          <w:marRight w:val="0"/>
                          <w:marTop w:val="15"/>
                          <w:marBottom w:val="0"/>
                          <w:divBdr>
                            <w:top w:val="none" w:sz="0" w:space="0" w:color="auto"/>
                            <w:left w:val="none" w:sz="0" w:space="0" w:color="auto"/>
                            <w:bottom w:val="none" w:sz="0" w:space="0" w:color="auto"/>
                            <w:right w:val="none" w:sz="0" w:space="0" w:color="auto"/>
                          </w:divBdr>
                          <w:divsChild>
                            <w:div w:id="1078361136">
                              <w:marLeft w:val="0"/>
                              <w:marRight w:val="0"/>
                              <w:marTop w:val="0"/>
                              <w:marBottom w:val="0"/>
                              <w:divBdr>
                                <w:top w:val="none" w:sz="0" w:space="0" w:color="auto"/>
                                <w:left w:val="none" w:sz="0" w:space="0" w:color="auto"/>
                                <w:bottom w:val="none" w:sz="0" w:space="0" w:color="auto"/>
                                <w:right w:val="none" w:sz="0" w:space="0" w:color="auto"/>
                              </w:divBdr>
                            </w:div>
                          </w:divsChild>
                        </w:div>
                        <w:div w:id="1080904699">
                          <w:marLeft w:val="0"/>
                          <w:marRight w:val="0"/>
                          <w:marTop w:val="15"/>
                          <w:marBottom w:val="0"/>
                          <w:divBdr>
                            <w:top w:val="none" w:sz="0" w:space="0" w:color="auto"/>
                            <w:left w:val="none" w:sz="0" w:space="0" w:color="auto"/>
                            <w:bottom w:val="none" w:sz="0" w:space="0" w:color="auto"/>
                            <w:right w:val="none" w:sz="0" w:space="0" w:color="auto"/>
                          </w:divBdr>
                          <w:divsChild>
                            <w:div w:id="20658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C1D73-B360-4D32-9701-4504ABF0D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8</Pages>
  <Words>1138</Words>
  <Characters>6490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Shackles, Jocelyn</dc:creator>
  <cp:keywords/>
  <dc:description/>
  <cp:lastModifiedBy>Shackles, Jocelyn</cp:lastModifiedBy>
  <cp:revision>4</cp:revision>
  <dcterms:created xsi:type="dcterms:W3CDTF">2021-08-05T06:06:00Z</dcterms:created>
  <dcterms:modified xsi:type="dcterms:W3CDTF">2021-08-20T00:50:00Z</dcterms:modified>
</cp:coreProperties>
</file>