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FEB" w:rsidRDefault="0045275C" w:rsidP="0045275C">
      <w:pPr>
        <w:shd w:val="clear" w:color="auto" w:fill="FFFFFF"/>
        <w:spacing w:after="0" w:line="240" w:lineRule="auto"/>
        <w:rPr>
          <w:rFonts w:ascii="Arial" w:hAnsi="Arial" w:cs="Arial"/>
        </w:rPr>
      </w:pPr>
      <w:r w:rsidRPr="0045275C">
        <w:rPr>
          <w:rFonts w:ascii="Arial" w:eastAsia="Times New Roman" w:hAnsi="Arial" w:cs="Arial"/>
          <w:sz w:val="27"/>
          <w:szCs w:val="27"/>
          <w:lang w:eastAsia="en-AU"/>
        </w:rPr>
        <w:t>CASE STUDY: HA-MO-21-08</w:t>
      </w:r>
    </w:p>
    <w:p w:rsidR="0045275C" w:rsidRDefault="0045275C"/>
    <w:p w:rsidR="0045275C" w:rsidRPr="0045275C" w:rsidRDefault="0045275C" w:rsidP="0045275C">
      <w:pPr>
        <w:shd w:val="clear" w:color="auto" w:fill="FFFFFF"/>
        <w:spacing w:after="0" w:line="240" w:lineRule="auto"/>
        <w:rPr>
          <w:rFonts w:ascii="Arial" w:hAnsi="Arial" w:cs="Arial"/>
          <w:sz w:val="27"/>
          <w:szCs w:val="27"/>
        </w:rPr>
      </w:pPr>
      <w:r w:rsidRPr="0045275C">
        <w:rPr>
          <w:rFonts w:ascii="Arial" w:hAnsi="Arial" w:cs="Arial"/>
          <w:sz w:val="27"/>
          <w:szCs w:val="27"/>
        </w:rPr>
        <w:t>Acute Myeloid Leukaemia with Myelodysplasia - Related Changes</w:t>
      </w:r>
    </w:p>
    <w:p w:rsidR="0045275C" w:rsidRDefault="0045275C">
      <w:pPr>
        <w:rPr>
          <w:rFonts w:ascii="Arial" w:hAnsi="Arial" w:cs="Arial"/>
        </w:rPr>
      </w:pPr>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 xml:space="preserve">22-year-old male, routine medical check. </w:t>
      </w:r>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WCC: 6.8 x 109/L</w:t>
      </w:r>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RCC: 5.0 x 1012/L</w:t>
      </w:r>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Hb: 148 g/L</w:t>
      </w:r>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 xml:space="preserve">MCV: 89 </w:t>
      </w:r>
      <w:proofErr w:type="spellStart"/>
      <w:r w:rsidRPr="0045275C">
        <w:rPr>
          <w:rFonts w:ascii="Arial" w:eastAsia="Times New Roman" w:hAnsi="Arial" w:cs="Arial"/>
          <w:szCs w:val="26"/>
          <w:lang w:eastAsia="en-AU"/>
        </w:rPr>
        <w:t>fL</w:t>
      </w:r>
      <w:proofErr w:type="spellEnd"/>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 xml:space="preserve">MCH: 30 </w:t>
      </w:r>
      <w:proofErr w:type="spellStart"/>
      <w:r w:rsidRPr="0045275C">
        <w:rPr>
          <w:rFonts w:ascii="Arial" w:eastAsia="Times New Roman" w:hAnsi="Arial" w:cs="Arial"/>
          <w:szCs w:val="26"/>
          <w:lang w:eastAsia="en-AU"/>
        </w:rPr>
        <w:t>pg</w:t>
      </w:r>
      <w:proofErr w:type="spellEnd"/>
    </w:p>
    <w:p w:rsidR="0045275C" w:rsidRPr="0045275C" w:rsidRDefault="0045275C" w:rsidP="0045275C">
      <w:pPr>
        <w:shd w:val="clear" w:color="auto" w:fill="FFFFFF"/>
        <w:spacing w:after="0" w:line="240" w:lineRule="auto"/>
        <w:rPr>
          <w:rFonts w:ascii="Arial" w:eastAsia="Times New Roman" w:hAnsi="Arial" w:cs="Arial"/>
          <w:szCs w:val="26"/>
          <w:lang w:eastAsia="en-AU"/>
        </w:rPr>
      </w:pPr>
      <w:r w:rsidRPr="0045275C">
        <w:rPr>
          <w:rFonts w:ascii="Arial" w:eastAsia="Times New Roman" w:hAnsi="Arial" w:cs="Arial"/>
          <w:szCs w:val="26"/>
          <w:lang w:eastAsia="en-AU"/>
        </w:rPr>
        <w:t>MCHC: 335 g/L</w:t>
      </w:r>
    </w:p>
    <w:p w:rsidR="0045275C" w:rsidRPr="0045275C" w:rsidRDefault="0045275C" w:rsidP="0045275C">
      <w:pPr>
        <w:shd w:val="clear" w:color="auto" w:fill="FFFFFF"/>
        <w:spacing w:after="0" w:line="240" w:lineRule="auto"/>
        <w:rPr>
          <w:rFonts w:ascii="Arial" w:eastAsia="Times New Roman" w:hAnsi="Arial" w:cs="Arial"/>
          <w:szCs w:val="26"/>
          <w:lang w:eastAsia="en-AU"/>
        </w:rPr>
      </w:pPr>
      <w:proofErr w:type="spellStart"/>
      <w:r w:rsidRPr="0045275C">
        <w:rPr>
          <w:rFonts w:ascii="Arial" w:eastAsia="Times New Roman" w:hAnsi="Arial" w:cs="Arial"/>
          <w:szCs w:val="26"/>
          <w:lang w:eastAsia="en-AU"/>
        </w:rPr>
        <w:t>Plt</w:t>
      </w:r>
      <w:proofErr w:type="spellEnd"/>
      <w:r w:rsidRPr="0045275C">
        <w:rPr>
          <w:rFonts w:ascii="Arial" w:eastAsia="Times New Roman" w:hAnsi="Arial" w:cs="Arial"/>
          <w:szCs w:val="26"/>
          <w:lang w:eastAsia="en-AU"/>
        </w:rPr>
        <w:t>: 165 x 109/L</w:t>
      </w:r>
    </w:p>
    <w:p w:rsidR="0045275C" w:rsidRPr="0045275C" w:rsidRDefault="0045275C" w:rsidP="0045275C">
      <w:pPr>
        <w:shd w:val="clear" w:color="auto" w:fill="FFFFFF"/>
        <w:spacing w:after="0" w:line="240" w:lineRule="auto"/>
        <w:rPr>
          <w:rFonts w:ascii="Arial" w:eastAsia="Times New Roman" w:hAnsi="Arial" w:cs="Arial"/>
          <w:sz w:val="24"/>
          <w:szCs w:val="26"/>
          <w:lang w:eastAsia="en-AU"/>
        </w:rPr>
      </w:pPr>
    </w:p>
    <w:p w:rsidR="0045275C" w:rsidRDefault="0045275C">
      <w:pPr>
        <w:rPr>
          <w:rFonts w:ascii="Arial" w:hAnsi="Arial" w:cs="Arial"/>
        </w:rPr>
      </w:pPr>
      <w:r>
        <w:rPr>
          <w:rFonts w:ascii="Arial" w:hAnsi="Arial" w:cs="Arial"/>
        </w:rPr>
        <w:t xml:space="preserve">This film showed a population of blast cells, which were intermediate sized with a high nuclear/cytoplasmic ratio, immature prominent nucleoli and scant basophilic cytoplasm. Auer rods were infrequently seen. </w:t>
      </w:r>
    </w:p>
    <w:p w:rsidR="0045275C" w:rsidRDefault="0045275C" w:rsidP="0045275C">
      <w:pPr>
        <w:jc w:val="center"/>
        <w:rPr>
          <w:rFonts w:ascii="Arial" w:hAnsi="Arial" w:cs="Arial"/>
        </w:rPr>
      </w:pPr>
      <w:r>
        <w:rPr>
          <w:noProof/>
        </w:rPr>
        <w:drawing>
          <wp:inline distT="0" distB="0" distL="0" distR="0" wp14:anchorId="6C840134" wp14:editId="0C799906">
            <wp:extent cx="4981575" cy="24300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3888" cy="2436083"/>
                    </a:xfrm>
                    <a:prstGeom prst="rect">
                      <a:avLst/>
                    </a:prstGeom>
                  </pic:spPr>
                </pic:pic>
              </a:graphicData>
            </a:graphic>
          </wp:inline>
        </w:drawing>
      </w:r>
    </w:p>
    <w:p w:rsidR="0045275C" w:rsidRDefault="0045275C">
      <w:pPr>
        <w:rPr>
          <w:rFonts w:ascii="Arial" w:hAnsi="Arial" w:cs="Arial"/>
        </w:rPr>
      </w:pPr>
      <w:r>
        <w:rPr>
          <w:rFonts w:ascii="Arial" w:hAnsi="Arial" w:cs="Arial"/>
        </w:rPr>
        <w:t xml:space="preserve">Dysplastic neutrophils with </w:t>
      </w:r>
      <w:proofErr w:type="spellStart"/>
      <w:r>
        <w:rPr>
          <w:rFonts w:ascii="Arial" w:hAnsi="Arial" w:cs="Arial"/>
        </w:rPr>
        <w:t>hypogranulation</w:t>
      </w:r>
      <w:proofErr w:type="spellEnd"/>
      <w:r>
        <w:rPr>
          <w:rFonts w:ascii="Arial" w:hAnsi="Arial" w:cs="Arial"/>
        </w:rPr>
        <w:t xml:space="preserve"> and </w:t>
      </w:r>
      <w:proofErr w:type="spellStart"/>
      <w:r>
        <w:rPr>
          <w:rFonts w:ascii="Arial" w:hAnsi="Arial" w:cs="Arial"/>
        </w:rPr>
        <w:t>hyposegmentation</w:t>
      </w:r>
      <w:proofErr w:type="spellEnd"/>
      <w:r>
        <w:rPr>
          <w:rFonts w:ascii="Arial" w:hAnsi="Arial" w:cs="Arial"/>
        </w:rPr>
        <w:t xml:space="preserve"> were present. The red cells showed nucleated RBC, elliptocytosis and tear drop cells. Giant platelets were present. </w:t>
      </w:r>
    </w:p>
    <w:p w:rsidR="0045275C" w:rsidRDefault="0045275C">
      <w:pPr>
        <w:rPr>
          <w:rFonts w:ascii="Arial" w:hAnsi="Arial" w:cs="Arial"/>
        </w:rPr>
      </w:pPr>
      <w:r>
        <w:rPr>
          <w:noProof/>
        </w:rPr>
        <w:drawing>
          <wp:inline distT="0" distB="0" distL="0" distR="0" wp14:anchorId="64260E43" wp14:editId="1D5E026E">
            <wp:extent cx="5731510" cy="23437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343785"/>
                    </a:xfrm>
                    <a:prstGeom prst="rect">
                      <a:avLst/>
                    </a:prstGeom>
                  </pic:spPr>
                </pic:pic>
              </a:graphicData>
            </a:graphic>
          </wp:inline>
        </w:drawing>
      </w:r>
    </w:p>
    <w:p w:rsidR="0045275C" w:rsidRDefault="0045275C">
      <w:pPr>
        <w:rPr>
          <w:rFonts w:ascii="Arial" w:hAnsi="Arial" w:cs="Arial"/>
        </w:rPr>
      </w:pPr>
      <w:r>
        <w:rPr>
          <w:rFonts w:ascii="Arial" w:hAnsi="Arial" w:cs="Arial"/>
        </w:rPr>
        <w:t xml:space="preserve">The blast cell features together with the dysplastic features are suggestive of acute myeloid leukaemia with myelodysplasia-related changes (AML-MRC). </w:t>
      </w:r>
    </w:p>
    <w:p w:rsidR="0045275C" w:rsidRDefault="0045275C">
      <w:pPr>
        <w:rPr>
          <w:rFonts w:ascii="Arial" w:hAnsi="Arial" w:cs="Arial"/>
        </w:rPr>
      </w:pPr>
      <w:r>
        <w:rPr>
          <w:noProof/>
        </w:rPr>
        <w:lastRenderedPageBreak/>
        <w:drawing>
          <wp:inline distT="0" distB="0" distL="0" distR="0" wp14:anchorId="477D2E6B" wp14:editId="560BAF48">
            <wp:extent cx="5731510" cy="23145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314575"/>
                    </a:xfrm>
                    <a:prstGeom prst="rect">
                      <a:avLst/>
                    </a:prstGeom>
                  </pic:spPr>
                </pic:pic>
              </a:graphicData>
            </a:graphic>
          </wp:inline>
        </w:drawing>
      </w:r>
      <w:r>
        <w:rPr>
          <w:rFonts w:ascii="Arial" w:hAnsi="Arial" w:cs="Arial"/>
        </w:rPr>
        <w:t xml:space="preserve">The majority of participants reported the blasts, which were considered the essential diagnostic feature of the film and scored 10. The presence of Auer rods, dysplastic changes, neutrophil </w:t>
      </w:r>
      <w:proofErr w:type="spellStart"/>
      <w:r>
        <w:rPr>
          <w:rFonts w:ascii="Arial" w:hAnsi="Arial" w:cs="Arial"/>
        </w:rPr>
        <w:t>hypogranulation</w:t>
      </w:r>
      <w:proofErr w:type="spellEnd"/>
      <w:r>
        <w:rPr>
          <w:rFonts w:ascii="Arial" w:hAnsi="Arial" w:cs="Arial"/>
        </w:rPr>
        <w:t xml:space="preserve"> and </w:t>
      </w:r>
      <w:proofErr w:type="spellStart"/>
      <w:r>
        <w:rPr>
          <w:rFonts w:ascii="Arial" w:hAnsi="Arial" w:cs="Arial"/>
        </w:rPr>
        <w:t>hyposegmentation</w:t>
      </w:r>
      <w:proofErr w:type="spellEnd"/>
      <w:r>
        <w:rPr>
          <w:rFonts w:ascii="Arial" w:hAnsi="Arial" w:cs="Arial"/>
        </w:rPr>
        <w:t>, as well as nucleated RBC were considered major features and awarded 5. Several minor white cell and red cell changes were also present and scored accordingly. The presence of giant platelets in significant numbers, and small platelet clumps were acknowledged in the scoring.</w:t>
      </w:r>
      <w:r>
        <w:rPr>
          <w:rFonts w:ascii="Arial" w:hAnsi="Arial" w:cs="Arial"/>
        </w:rPr>
        <w:t xml:space="preserve"> </w:t>
      </w:r>
      <w:proofErr w:type="gramStart"/>
      <w:r>
        <w:rPr>
          <w:rFonts w:ascii="Arial" w:hAnsi="Arial" w:cs="Arial"/>
        </w:rPr>
        <w:t>With</w:t>
      </w:r>
      <w:proofErr w:type="gramEnd"/>
      <w:r>
        <w:rPr>
          <w:rFonts w:ascii="Arial" w:hAnsi="Arial" w:cs="Arial"/>
        </w:rPr>
        <w:t xml:space="preserve"> respect to the morphological features described, the most likely diagnoses were AML MRC as well as AML. Acute leukaemia and MDS with excess blasts were considered diagnoses with the majority of the expected features present and were scored 4. Other diagnoses with fewer consistent </w:t>
      </w:r>
      <w:r>
        <w:rPr>
          <w:rFonts w:ascii="Arial" w:hAnsi="Arial" w:cs="Arial"/>
        </w:rPr>
        <w:t>f</w:t>
      </w:r>
      <w:r>
        <w:rPr>
          <w:rFonts w:ascii="Arial" w:hAnsi="Arial" w:cs="Arial"/>
        </w:rPr>
        <w:t>eatures were scored accordingly.</w:t>
      </w:r>
    </w:p>
    <w:p w:rsidR="0045275C" w:rsidRDefault="0045275C">
      <w:pPr>
        <w:rPr>
          <w:rFonts w:ascii="Arial" w:hAnsi="Arial" w:cs="Arial"/>
        </w:rPr>
      </w:pPr>
      <w:r>
        <w:rPr>
          <w:rFonts w:ascii="Arial" w:hAnsi="Arial" w:cs="Arial"/>
        </w:rPr>
        <w:t xml:space="preserve">This patient's bone marrow aspirate was normocellular with trilineage dysplasia and blasts accounting for 23% of total nucleated cells, features which are consistent with acute myeloid leukaemia with myelodysplasia-related changes. </w:t>
      </w:r>
    </w:p>
    <w:p w:rsidR="0045275C" w:rsidRDefault="0045275C">
      <w:pPr>
        <w:rPr>
          <w:rFonts w:ascii="Arial" w:hAnsi="Arial" w:cs="Arial"/>
        </w:rPr>
      </w:pPr>
      <w:r>
        <w:rPr>
          <w:rFonts w:ascii="Arial" w:hAnsi="Arial" w:cs="Arial"/>
        </w:rPr>
        <w:t xml:space="preserve">The flow cytometry showed 36% of total nucleated cells which expressed CD34, CD117, HLA-DR, CD33, CD15, CD64, </w:t>
      </w:r>
      <w:proofErr w:type="spellStart"/>
      <w:r>
        <w:rPr>
          <w:rFonts w:ascii="Arial" w:hAnsi="Arial" w:cs="Arial"/>
        </w:rPr>
        <w:t>cytoMPO</w:t>
      </w:r>
      <w:proofErr w:type="spellEnd"/>
      <w:r>
        <w:rPr>
          <w:rFonts w:ascii="Arial" w:hAnsi="Arial" w:cs="Arial"/>
        </w:rPr>
        <w:t xml:space="preserve">, CD7 dim, CD13 dim, and CD14 neg, cytoCD3 neg. There was a bi-allelic CEBPA mutation detected, FLT3 ITD and NPM1 rearrangements were not detected and cytogenetics were normal. The presence of the bi-allelic CEBPA mutation may prompt further investigations for possible germline abnormalities. </w:t>
      </w:r>
    </w:p>
    <w:p w:rsidR="0045275C" w:rsidRDefault="0045275C">
      <w:pPr>
        <w:rPr>
          <w:rFonts w:ascii="Arial" w:hAnsi="Arial" w:cs="Arial"/>
          <w:b/>
          <w:sz w:val="20"/>
        </w:rPr>
      </w:pPr>
      <w:r w:rsidRPr="0045275C">
        <w:rPr>
          <w:rFonts w:ascii="Arial" w:hAnsi="Arial" w:cs="Arial"/>
          <w:b/>
          <w:sz w:val="20"/>
        </w:rPr>
        <w:t xml:space="preserve">Reference: WHO Classification of Tumours of Haematopoietic and Lymphoid Tissues, </w:t>
      </w:r>
      <w:proofErr w:type="spellStart"/>
      <w:r w:rsidRPr="0045275C">
        <w:rPr>
          <w:rFonts w:ascii="Arial" w:hAnsi="Arial" w:cs="Arial"/>
          <w:b/>
          <w:sz w:val="20"/>
        </w:rPr>
        <w:t>Swerdlow</w:t>
      </w:r>
      <w:proofErr w:type="spellEnd"/>
      <w:r w:rsidRPr="0045275C">
        <w:rPr>
          <w:rFonts w:ascii="Arial" w:hAnsi="Arial" w:cs="Arial"/>
          <w:b/>
          <w:sz w:val="20"/>
        </w:rPr>
        <w:t>, S et al, revised 4</w:t>
      </w:r>
      <w:r w:rsidRPr="0045275C">
        <w:rPr>
          <w:rFonts w:ascii="Arial" w:hAnsi="Arial" w:cs="Arial"/>
          <w:b/>
          <w:sz w:val="14"/>
          <w:szCs w:val="16"/>
        </w:rPr>
        <w:t>th</w:t>
      </w:r>
      <w:r w:rsidRPr="0045275C">
        <w:rPr>
          <w:rFonts w:ascii="Arial" w:hAnsi="Arial" w:cs="Arial"/>
          <w:b/>
          <w:sz w:val="20"/>
        </w:rPr>
        <w:t xml:space="preserve"> edition, 2017</w:t>
      </w:r>
    </w:p>
    <w:p w:rsidR="0045275C" w:rsidRDefault="0045275C">
      <w:pPr>
        <w:rPr>
          <w:b/>
          <w:sz w:val="20"/>
        </w:rPr>
      </w:pPr>
    </w:p>
    <w:p w:rsidR="0045275C" w:rsidRDefault="0045275C">
      <w:pPr>
        <w:rPr>
          <w:b/>
          <w:sz w:val="20"/>
        </w:rPr>
      </w:pPr>
    </w:p>
    <w:p w:rsidR="0045275C" w:rsidRDefault="0045275C">
      <w:pPr>
        <w:rPr>
          <w:noProof/>
        </w:rPr>
        <w:sectPr w:rsidR="0045275C">
          <w:pgSz w:w="11906" w:h="16838"/>
          <w:pgMar w:top="1440" w:right="1440" w:bottom="1440" w:left="1440" w:header="708" w:footer="708" w:gutter="0"/>
          <w:cols w:space="708"/>
          <w:docGrid w:linePitch="360"/>
        </w:sectPr>
      </w:pPr>
    </w:p>
    <w:tbl>
      <w:tblPr>
        <w:tblW w:w="15877" w:type="dxa"/>
        <w:tblInd w:w="-289" w:type="dxa"/>
        <w:tblLook w:val="04A0" w:firstRow="1" w:lastRow="0" w:firstColumn="1" w:lastColumn="0" w:noHBand="0" w:noVBand="1"/>
      </w:tblPr>
      <w:tblGrid>
        <w:gridCol w:w="851"/>
        <w:gridCol w:w="1716"/>
        <w:gridCol w:w="1430"/>
        <w:gridCol w:w="1430"/>
        <w:gridCol w:w="1430"/>
        <w:gridCol w:w="1430"/>
        <w:gridCol w:w="1430"/>
        <w:gridCol w:w="1418"/>
        <w:gridCol w:w="1843"/>
        <w:gridCol w:w="1481"/>
        <w:gridCol w:w="1418"/>
      </w:tblGrid>
      <w:tr w:rsidR="0045275C" w:rsidRPr="0045275C" w:rsidTr="0045275C">
        <w:trPr>
          <w:trHeight w:val="269"/>
        </w:trPr>
        <w:tc>
          <w:tcPr>
            <w:tcW w:w="851" w:type="dxa"/>
            <w:tcBorders>
              <w:top w:val="nil"/>
              <w:left w:val="single" w:sz="4" w:space="0" w:color="auto"/>
              <w:bottom w:val="nil"/>
              <w:right w:val="single" w:sz="4" w:space="0" w:color="auto"/>
            </w:tcBorders>
            <w:shd w:val="clear" w:color="auto" w:fill="auto"/>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lastRenderedPageBreak/>
              <w:t> </w:t>
            </w:r>
          </w:p>
        </w:tc>
        <w:tc>
          <w:tcPr>
            <w:tcW w:w="15026" w:type="dxa"/>
            <w:gridSpan w:val="10"/>
            <w:tcBorders>
              <w:top w:val="single" w:sz="8" w:space="0" w:color="auto"/>
              <w:left w:val="nil"/>
              <w:bottom w:val="single" w:sz="8" w:space="0" w:color="auto"/>
              <w:right w:val="nil"/>
            </w:tcBorders>
            <w:shd w:val="clear" w:color="000000" w:fill="FFFF00"/>
            <w:noWrap/>
            <w:vAlign w:val="bottom"/>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HA-MO-21-08</w:t>
            </w:r>
          </w:p>
        </w:tc>
      </w:tr>
      <w:tr w:rsidR="0045275C" w:rsidRPr="0045275C" w:rsidTr="0045275C">
        <w:trPr>
          <w:trHeight w:val="1128"/>
        </w:trPr>
        <w:tc>
          <w:tcPr>
            <w:tcW w:w="851" w:type="dxa"/>
            <w:vMerge w:val="restart"/>
            <w:tcBorders>
              <w:top w:val="single" w:sz="8" w:space="0" w:color="auto"/>
              <w:left w:val="single" w:sz="8" w:space="0" w:color="auto"/>
              <w:bottom w:val="single" w:sz="4" w:space="0" w:color="000000"/>
              <w:right w:val="single" w:sz="8" w:space="0" w:color="auto"/>
            </w:tcBorders>
            <w:shd w:val="clear" w:color="000000" w:fill="FF99FF"/>
            <w:noWrap/>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RBC Features</w:t>
            </w:r>
          </w:p>
        </w:tc>
        <w:tc>
          <w:tcPr>
            <w:tcW w:w="1716" w:type="dxa"/>
            <w:tcBorders>
              <w:top w:val="single" w:sz="8" w:space="0" w:color="auto"/>
              <w:left w:val="single" w:sz="8"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Polychromasia increased</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No significant morphological red blood cell abnormality</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Target cells</w:t>
            </w:r>
          </w:p>
        </w:tc>
        <w:tc>
          <w:tcPr>
            <w:tcW w:w="1418"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907"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417"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418"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r>
      <w:tr w:rsidR="0045275C" w:rsidRPr="0045275C" w:rsidTr="0045275C">
        <w:trPr>
          <w:trHeight w:val="615"/>
        </w:trPr>
        <w:tc>
          <w:tcPr>
            <w:tcW w:w="851" w:type="dxa"/>
            <w:vMerge/>
            <w:tcBorders>
              <w:top w:val="single" w:sz="8" w:space="0" w:color="auto"/>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single" w:sz="4" w:space="0" w:color="auto"/>
              <w:left w:val="single" w:sz="8"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41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Dimorphism / Dimorphic red blood cells</w:t>
            </w:r>
          </w:p>
        </w:tc>
        <w:tc>
          <w:tcPr>
            <w:tcW w:w="190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Sickle cells</w:t>
            </w:r>
          </w:p>
        </w:tc>
        <w:tc>
          <w:tcPr>
            <w:tcW w:w="141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r>
      <w:tr w:rsidR="0045275C" w:rsidRPr="0045275C" w:rsidTr="0045275C">
        <w:trPr>
          <w:trHeight w:val="410"/>
        </w:trPr>
        <w:tc>
          <w:tcPr>
            <w:tcW w:w="851" w:type="dxa"/>
            <w:vMerge/>
            <w:tcBorders>
              <w:top w:val="single" w:sz="8" w:space="0" w:color="auto"/>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single" w:sz="4" w:space="0" w:color="auto"/>
              <w:left w:val="single" w:sz="8"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41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41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Nucleated red blood cells</w:t>
            </w:r>
          </w:p>
        </w:tc>
      </w:tr>
      <w:tr w:rsidR="0045275C" w:rsidRPr="0045275C" w:rsidTr="0045275C">
        <w:trPr>
          <w:trHeight w:val="423"/>
        </w:trPr>
        <w:tc>
          <w:tcPr>
            <w:tcW w:w="851" w:type="dxa"/>
            <w:vMerge/>
            <w:tcBorders>
              <w:top w:val="single" w:sz="8" w:space="0" w:color="auto"/>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Nucleated red blood cells</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r>
      <w:tr w:rsidR="0045275C" w:rsidRPr="0045275C" w:rsidTr="0045275C">
        <w:trPr>
          <w:trHeight w:val="782"/>
        </w:trPr>
        <w:tc>
          <w:tcPr>
            <w:tcW w:w="851" w:type="dxa"/>
            <w:vMerge w:val="restart"/>
            <w:tcBorders>
              <w:top w:val="nil"/>
              <w:left w:val="single" w:sz="8" w:space="0" w:color="auto"/>
              <w:bottom w:val="single" w:sz="4" w:space="0" w:color="auto"/>
              <w:right w:val="single" w:sz="8" w:space="0" w:color="auto"/>
            </w:tcBorders>
            <w:shd w:val="clear" w:color="000000" w:fill="B4C6E7"/>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WBC Features</w:t>
            </w:r>
          </w:p>
        </w:tc>
        <w:tc>
          <w:tcPr>
            <w:tcW w:w="1716" w:type="dxa"/>
            <w:tcBorders>
              <w:top w:val="single" w:sz="8" w:space="0" w:color="auto"/>
              <w:left w:val="single" w:sz="8"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3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3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90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1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r>
      <w:tr w:rsidR="0045275C" w:rsidRPr="0045275C" w:rsidTr="0045275C">
        <w:trPr>
          <w:trHeight w:val="576"/>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single" w:sz="4" w:space="0" w:color="auto"/>
              <w:left w:val="single" w:sz="8"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4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Band form neutrophils</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Eosinophilia</w:t>
            </w:r>
          </w:p>
        </w:tc>
        <w:tc>
          <w:tcPr>
            <w:tcW w:w="141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41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xml:space="preserve">Neutrophils - </w:t>
            </w:r>
            <w:proofErr w:type="spellStart"/>
            <w:r w:rsidRPr="0045275C">
              <w:rPr>
                <w:rFonts w:ascii="Calibri" w:eastAsia="Times New Roman" w:hAnsi="Calibri" w:cs="Calibri"/>
                <w:color w:val="000000"/>
                <w:sz w:val="18"/>
                <w:szCs w:val="18"/>
                <w:lang w:eastAsia="en-AU"/>
              </w:rPr>
              <w:t>hypergranulation</w:t>
            </w:r>
            <w:proofErr w:type="spellEnd"/>
          </w:p>
        </w:tc>
        <w:tc>
          <w:tcPr>
            <w:tcW w:w="1418"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r>
      <w:tr w:rsidR="0045275C" w:rsidRPr="0045275C" w:rsidTr="0045275C">
        <w:trPr>
          <w:trHeight w:val="576"/>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proofErr w:type="spellStart"/>
            <w:r w:rsidRPr="0045275C">
              <w:rPr>
                <w:rFonts w:ascii="Calibri" w:eastAsia="Times New Roman" w:hAnsi="Calibri" w:cs="Calibri"/>
                <w:color w:val="000000"/>
                <w:sz w:val="18"/>
                <w:szCs w:val="18"/>
                <w:lang w:eastAsia="en-AU"/>
              </w:rPr>
              <w:t>Monocytosis</w:t>
            </w:r>
            <w:proofErr w:type="spellEnd"/>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43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41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Lymphocytes – abnormal</w:t>
            </w:r>
          </w:p>
        </w:tc>
        <w:tc>
          <w:tcPr>
            <w:tcW w:w="1417"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Lymphocytes - reactive</w:t>
            </w:r>
          </w:p>
        </w:tc>
        <w:tc>
          <w:tcPr>
            <w:tcW w:w="1418"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Eosinophilia</w:t>
            </w:r>
          </w:p>
        </w:tc>
      </w:tr>
      <w:tr w:rsidR="0045275C" w:rsidRPr="0045275C" w:rsidTr="0045275C">
        <w:trPr>
          <w:trHeight w:val="423"/>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Lymphocytes - reactive</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single" w:sz="4" w:space="0" w:color="auto"/>
              <w:left w:val="single" w:sz="4" w:space="0" w:color="auto"/>
              <w:bottom w:val="single" w:sz="8" w:space="0" w:color="auto"/>
              <w:right w:val="single" w:sz="4"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Eosinophilia</w:t>
            </w:r>
          </w:p>
        </w:tc>
        <w:tc>
          <w:tcPr>
            <w:tcW w:w="1417"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418"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r>
      <w:tr w:rsidR="0045275C" w:rsidRPr="0045275C" w:rsidTr="0045275C">
        <w:trPr>
          <w:trHeight w:val="782"/>
        </w:trPr>
        <w:tc>
          <w:tcPr>
            <w:tcW w:w="851" w:type="dxa"/>
            <w:vMerge w:val="restart"/>
            <w:tcBorders>
              <w:top w:val="nil"/>
              <w:left w:val="single" w:sz="8" w:space="0" w:color="auto"/>
              <w:bottom w:val="single" w:sz="4" w:space="0" w:color="auto"/>
              <w:right w:val="single" w:sz="8" w:space="0" w:color="auto"/>
            </w:tcBorders>
            <w:shd w:val="clear" w:color="000000" w:fill="C6E0B4"/>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Platelet Features</w:t>
            </w:r>
          </w:p>
        </w:tc>
        <w:tc>
          <w:tcPr>
            <w:tcW w:w="1716" w:type="dxa"/>
            <w:tcBorders>
              <w:top w:val="single" w:sz="8" w:space="0" w:color="auto"/>
              <w:left w:val="single" w:sz="8"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90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41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r>
      <w:tr w:rsidR="0045275C" w:rsidRPr="0045275C" w:rsidTr="0045275C">
        <w:trPr>
          <w:trHeight w:val="1115"/>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716"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Inaccurate platelet count</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41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r>
      <w:tr w:rsidR="0045275C" w:rsidRPr="0045275C" w:rsidTr="0045275C">
        <w:trPr>
          <w:trHeight w:val="1038"/>
        </w:trPr>
        <w:tc>
          <w:tcPr>
            <w:tcW w:w="851" w:type="dxa"/>
            <w:vMerge w:val="restart"/>
            <w:tcBorders>
              <w:top w:val="nil"/>
              <w:left w:val="single" w:sz="8" w:space="0" w:color="auto"/>
              <w:bottom w:val="single" w:sz="8" w:space="0" w:color="000000"/>
              <w:right w:val="single" w:sz="8" w:space="0" w:color="auto"/>
            </w:tcBorders>
            <w:shd w:val="clear" w:color="000000" w:fill="FFE699"/>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sz w:val="18"/>
                <w:szCs w:val="18"/>
                <w:lang w:eastAsia="en-AU"/>
              </w:rPr>
            </w:pPr>
            <w:r w:rsidRPr="0045275C">
              <w:rPr>
                <w:rFonts w:ascii="Calibri" w:eastAsia="Times New Roman" w:hAnsi="Calibri" w:cs="Calibri"/>
                <w:b/>
                <w:bCs/>
                <w:color w:val="000000"/>
                <w:sz w:val="18"/>
                <w:szCs w:val="18"/>
                <w:lang w:eastAsia="en-AU"/>
              </w:rPr>
              <w:t xml:space="preserve">Primary Diagnosis </w:t>
            </w:r>
          </w:p>
        </w:tc>
        <w:tc>
          <w:tcPr>
            <w:tcW w:w="1716"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Acute myelomonocytic leukaemia</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43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Acute leukaemia</w:t>
            </w:r>
          </w:p>
        </w:tc>
        <w:tc>
          <w:tcPr>
            <w:tcW w:w="143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Acute leukaemia</w:t>
            </w:r>
          </w:p>
        </w:tc>
        <w:tc>
          <w:tcPr>
            <w:tcW w:w="143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907"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Acute myeloid leukaemia with abnormal eosinophils / eosinophilia</w:t>
            </w:r>
          </w:p>
        </w:tc>
        <w:tc>
          <w:tcPr>
            <w:tcW w:w="141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41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r>
      <w:tr w:rsidR="0045275C" w:rsidRPr="0045275C" w:rsidTr="0045275C">
        <w:trPr>
          <w:trHeight w:val="322"/>
        </w:trPr>
        <w:tc>
          <w:tcPr>
            <w:tcW w:w="851" w:type="dxa"/>
            <w:vMerge/>
            <w:tcBorders>
              <w:top w:val="nil"/>
              <w:left w:val="single" w:sz="8" w:space="0" w:color="auto"/>
              <w:bottom w:val="single" w:sz="8"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sz w:val="18"/>
                <w:szCs w:val="18"/>
                <w:lang w:eastAsia="en-AU"/>
              </w:rPr>
            </w:pPr>
          </w:p>
        </w:tc>
        <w:tc>
          <w:tcPr>
            <w:tcW w:w="1716"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3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90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41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r>
    </w:tbl>
    <w:p w:rsidR="0045275C" w:rsidRDefault="0045275C">
      <w:pPr>
        <w:rPr>
          <w:noProof/>
        </w:rPr>
      </w:pPr>
    </w:p>
    <w:tbl>
      <w:tblPr>
        <w:tblW w:w="7600" w:type="dxa"/>
        <w:tblLook w:val="04A0" w:firstRow="1" w:lastRow="0" w:firstColumn="1" w:lastColumn="0" w:noHBand="0" w:noVBand="1"/>
      </w:tblPr>
      <w:tblGrid>
        <w:gridCol w:w="1520"/>
        <w:gridCol w:w="1520"/>
        <w:gridCol w:w="1520"/>
        <w:gridCol w:w="1520"/>
        <w:gridCol w:w="1520"/>
      </w:tblGrid>
      <w:tr w:rsidR="0045275C" w:rsidRPr="002E1AF0" w:rsidTr="0051099E">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45275C" w:rsidRPr="002E1AF0" w:rsidRDefault="0045275C" w:rsidP="0051099E">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45275C" w:rsidRPr="002E1AF0" w:rsidRDefault="0045275C" w:rsidP="0051099E">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45275C" w:rsidRPr="002E1AF0" w:rsidRDefault="0045275C" w:rsidP="0051099E">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 xml:space="preserve">Low scoring response </w:t>
            </w:r>
          </w:p>
        </w:tc>
        <w:tc>
          <w:tcPr>
            <w:tcW w:w="15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45275C" w:rsidRPr="002E1AF0" w:rsidRDefault="0045275C" w:rsidP="0051099E">
            <w:pPr>
              <w:spacing w:after="0" w:line="240" w:lineRule="auto"/>
              <w:jc w:val="center"/>
              <w:rPr>
                <w:rFonts w:ascii="Calibri" w:eastAsia="Times New Roman" w:hAnsi="Calibri" w:cs="Calibri"/>
                <w:sz w:val="20"/>
                <w:szCs w:val="20"/>
                <w:lang w:eastAsia="en-AU"/>
              </w:rPr>
            </w:pPr>
            <w:r w:rsidRPr="002E1AF0">
              <w:rPr>
                <w:rFonts w:ascii="Calibri" w:eastAsia="Times New Roman" w:hAnsi="Calibri" w:cs="Calibri"/>
                <w:sz w:val="20"/>
                <w:szCs w:val="20"/>
                <w:lang w:eastAsia="en-AU"/>
              </w:rPr>
              <w:t xml:space="preserve">Lowest scoring response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45275C" w:rsidRPr="002E1AF0" w:rsidRDefault="0045275C" w:rsidP="0051099E">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Response given no score </w:t>
            </w:r>
          </w:p>
        </w:tc>
      </w:tr>
    </w:tbl>
    <w:p w:rsidR="0045275C" w:rsidRDefault="0045275C">
      <w:pPr>
        <w:rPr>
          <w:noProof/>
        </w:rPr>
      </w:pPr>
    </w:p>
    <w:tbl>
      <w:tblPr>
        <w:tblW w:w="16019" w:type="dxa"/>
        <w:tblInd w:w="-284" w:type="dxa"/>
        <w:tblLook w:val="04A0" w:firstRow="1" w:lastRow="0" w:firstColumn="1" w:lastColumn="0" w:noHBand="0" w:noVBand="1"/>
      </w:tblPr>
      <w:tblGrid>
        <w:gridCol w:w="851"/>
        <w:gridCol w:w="1870"/>
        <w:gridCol w:w="398"/>
        <w:gridCol w:w="2410"/>
        <w:gridCol w:w="1843"/>
        <w:gridCol w:w="1877"/>
        <w:gridCol w:w="1632"/>
        <w:gridCol w:w="1632"/>
        <w:gridCol w:w="1632"/>
        <w:gridCol w:w="1874"/>
      </w:tblGrid>
      <w:tr w:rsidR="0045275C" w:rsidRPr="0045275C" w:rsidTr="00E0664B">
        <w:trPr>
          <w:trHeight w:val="311"/>
        </w:trPr>
        <w:tc>
          <w:tcPr>
            <w:tcW w:w="851" w:type="dxa"/>
            <w:tcBorders>
              <w:top w:val="single" w:sz="8" w:space="0" w:color="auto"/>
              <w:left w:val="nil"/>
              <w:bottom w:val="single" w:sz="8" w:space="0" w:color="auto"/>
              <w:right w:val="nil"/>
            </w:tcBorders>
            <w:shd w:val="clear" w:color="000000" w:fill="FFFF00"/>
            <w:noWrap/>
            <w:vAlign w:val="bottom"/>
            <w:hideMark/>
          </w:tcPr>
          <w:p w:rsidR="0045275C" w:rsidRPr="0045275C" w:rsidRDefault="0045275C" w:rsidP="0045275C">
            <w:pPr>
              <w:spacing w:after="0" w:line="240" w:lineRule="auto"/>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lastRenderedPageBreak/>
              <w:t> </w:t>
            </w:r>
          </w:p>
        </w:tc>
        <w:tc>
          <w:tcPr>
            <w:tcW w:w="15168" w:type="dxa"/>
            <w:gridSpan w:val="9"/>
            <w:tcBorders>
              <w:top w:val="single" w:sz="8" w:space="0" w:color="auto"/>
              <w:left w:val="single" w:sz="4" w:space="0" w:color="auto"/>
              <w:bottom w:val="single" w:sz="8" w:space="0" w:color="auto"/>
              <w:right w:val="nil"/>
            </w:tcBorders>
            <w:shd w:val="clear" w:color="000000" w:fill="FFFF00"/>
            <w:noWrap/>
            <w:vAlign w:val="bottom"/>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HA-MO-21-08</w:t>
            </w:r>
          </w:p>
        </w:tc>
      </w:tr>
      <w:tr w:rsidR="0045275C" w:rsidRPr="0045275C" w:rsidTr="00E0664B">
        <w:trPr>
          <w:trHeight w:val="645"/>
        </w:trPr>
        <w:tc>
          <w:tcPr>
            <w:tcW w:w="851" w:type="dxa"/>
            <w:vMerge w:val="restart"/>
            <w:tcBorders>
              <w:top w:val="nil"/>
              <w:left w:val="single" w:sz="8" w:space="0" w:color="auto"/>
              <w:bottom w:val="single" w:sz="4" w:space="0" w:color="000000"/>
              <w:right w:val="single" w:sz="8" w:space="0" w:color="auto"/>
            </w:tcBorders>
            <w:shd w:val="clear" w:color="000000" w:fill="FF99FF"/>
            <w:noWrap/>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RBC Features</w:t>
            </w:r>
          </w:p>
        </w:tc>
        <w:tc>
          <w:tcPr>
            <w:tcW w:w="187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843"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877"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632"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632"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632"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874" w:type="dxa"/>
            <w:tcBorders>
              <w:top w:val="single" w:sz="8" w:space="0" w:color="auto"/>
              <w:left w:val="single" w:sz="4" w:space="0" w:color="auto"/>
              <w:bottom w:val="single" w:sz="4" w:space="0" w:color="auto"/>
              <w:right w:val="single" w:sz="8"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r>
      <w:tr w:rsidR="0045275C" w:rsidRPr="0045275C" w:rsidTr="00E0664B">
        <w:trPr>
          <w:trHeight w:val="711"/>
        </w:trPr>
        <w:tc>
          <w:tcPr>
            <w:tcW w:w="851" w:type="dxa"/>
            <w:vMerge/>
            <w:tcBorders>
              <w:top w:val="nil"/>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Acanthocytes</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843"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87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Elliptocytes / ovalocytes</w:t>
            </w:r>
          </w:p>
        </w:tc>
        <w:tc>
          <w:tcPr>
            <w:tcW w:w="1632"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Irregularly contracted cells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c>
          <w:tcPr>
            <w:tcW w:w="1874" w:type="dxa"/>
            <w:tcBorders>
              <w:top w:val="single" w:sz="4" w:space="0" w:color="auto"/>
              <w:left w:val="single" w:sz="4" w:space="0" w:color="auto"/>
              <w:bottom w:val="single" w:sz="4" w:space="0" w:color="auto"/>
              <w:right w:val="single" w:sz="8"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r>
      <w:tr w:rsidR="0045275C" w:rsidRPr="0045275C" w:rsidTr="00E0664B">
        <w:trPr>
          <w:trHeight w:val="474"/>
        </w:trPr>
        <w:tc>
          <w:tcPr>
            <w:tcW w:w="851" w:type="dxa"/>
            <w:vMerge/>
            <w:tcBorders>
              <w:top w:val="nil"/>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4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Nucleated red blood cells</w:t>
            </w:r>
          </w:p>
        </w:tc>
        <w:tc>
          <w:tcPr>
            <w:tcW w:w="187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Nucleated red blood cells</w:t>
            </w:r>
          </w:p>
        </w:tc>
        <w:tc>
          <w:tcPr>
            <w:tcW w:w="1632"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Schistocytes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Pencil cells</w:t>
            </w:r>
          </w:p>
        </w:tc>
        <w:tc>
          <w:tcPr>
            <w:tcW w:w="1632"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4" w:type="dxa"/>
            <w:tcBorders>
              <w:top w:val="nil"/>
              <w:left w:val="nil"/>
              <w:bottom w:val="single" w:sz="4" w:space="0" w:color="auto"/>
              <w:right w:val="single" w:sz="8"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Howell Jolly bodies</w:t>
            </w:r>
          </w:p>
        </w:tc>
      </w:tr>
      <w:tr w:rsidR="0045275C" w:rsidRPr="0045275C" w:rsidTr="00E0664B">
        <w:trPr>
          <w:trHeight w:val="488"/>
        </w:trPr>
        <w:tc>
          <w:tcPr>
            <w:tcW w:w="851" w:type="dxa"/>
            <w:vMerge/>
            <w:tcBorders>
              <w:top w:val="nil"/>
              <w:left w:val="single" w:sz="8" w:space="0" w:color="auto"/>
              <w:bottom w:val="single" w:sz="4"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43"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7"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Tear drop cells</w:t>
            </w:r>
          </w:p>
        </w:tc>
        <w:tc>
          <w:tcPr>
            <w:tcW w:w="1632"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Spherocytes</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4" w:type="dxa"/>
            <w:tcBorders>
              <w:top w:val="nil"/>
              <w:left w:val="nil"/>
              <w:bottom w:val="single" w:sz="8" w:space="0" w:color="auto"/>
              <w:right w:val="single" w:sz="8"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r>
      <w:tr w:rsidR="0045275C" w:rsidRPr="0045275C" w:rsidTr="00E0664B">
        <w:trPr>
          <w:trHeight w:val="904"/>
        </w:trPr>
        <w:tc>
          <w:tcPr>
            <w:tcW w:w="851" w:type="dxa"/>
            <w:vMerge w:val="restart"/>
            <w:tcBorders>
              <w:top w:val="nil"/>
              <w:left w:val="single" w:sz="8" w:space="0" w:color="auto"/>
              <w:bottom w:val="single" w:sz="4" w:space="0" w:color="auto"/>
              <w:right w:val="single" w:sz="8" w:space="0" w:color="auto"/>
            </w:tcBorders>
            <w:shd w:val="clear" w:color="000000" w:fill="B4C6E7"/>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WBC Features</w:t>
            </w:r>
          </w:p>
        </w:tc>
        <w:tc>
          <w:tcPr>
            <w:tcW w:w="187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843"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87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632" w:type="dxa"/>
            <w:tcBorders>
              <w:top w:val="single" w:sz="8"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874" w:type="dxa"/>
            <w:tcBorders>
              <w:top w:val="single" w:sz="8" w:space="0" w:color="auto"/>
              <w:left w:val="single" w:sz="4" w:space="0" w:color="auto"/>
              <w:bottom w:val="single" w:sz="4" w:space="0" w:color="auto"/>
              <w:right w:val="single" w:sz="8"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Promyelocytes / metamyelocytes / myelocytes</w:t>
            </w:r>
          </w:p>
        </w:tc>
      </w:tr>
      <w:tr w:rsidR="0045275C" w:rsidRPr="0045275C" w:rsidTr="00E0664B">
        <w:trPr>
          <w:trHeight w:val="667"/>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xml:space="preserve">Neutrophils - </w:t>
            </w:r>
            <w:proofErr w:type="spellStart"/>
            <w:r w:rsidRPr="0045275C">
              <w:rPr>
                <w:rFonts w:ascii="Calibri" w:eastAsia="Times New Roman" w:hAnsi="Calibri" w:cs="Calibri"/>
                <w:color w:val="000000"/>
                <w:sz w:val="18"/>
                <w:szCs w:val="18"/>
                <w:lang w:eastAsia="en-AU"/>
              </w:rPr>
              <w:t>hypergranulation</w:t>
            </w:r>
            <w:proofErr w:type="spellEnd"/>
          </w:p>
        </w:tc>
        <w:tc>
          <w:tcPr>
            <w:tcW w:w="1843"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87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63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874" w:type="dxa"/>
            <w:tcBorders>
              <w:top w:val="single" w:sz="4" w:space="0" w:color="auto"/>
              <w:left w:val="single" w:sz="4" w:space="0" w:color="auto"/>
              <w:bottom w:val="single" w:sz="4" w:space="0" w:color="auto"/>
              <w:right w:val="single" w:sz="8"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r>
      <w:tr w:rsidR="0045275C" w:rsidRPr="0045275C" w:rsidTr="00E0664B">
        <w:trPr>
          <w:trHeight w:val="667"/>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Auer rods</w:t>
            </w:r>
          </w:p>
        </w:tc>
        <w:tc>
          <w:tcPr>
            <w:tcW w:w="184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c>
          <w:tcPr>
            <w:tcW w:w="187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 xml:space="preserve">Neutrophil – </w:t>
            </w:r>
            <w:proofErr w:type="spellStart"/>
            <w:r w:rsidRPr="0045275C">
              <w:rPr>
                <w:rFonts w:ascii="Calibri" w:eastAsia="Times New Roman" w:hAnsi="Calibri" w:cs="Calibri"/>
                <w:color w:val="9C5700"/>
                <w:sz w:val="18"/>
                <w:szCs w:val="18"/>
                <w:lang w:eastAsia="en-AU"/>
              </w:rPr>
              <w:t>Hypogranulation</w:t>
            </w:r>
            <w:proofErr w:type="spellEnd"/>
            <w:r w:rsidRPr="0045275C">
              <w:rPr>
                <w:rFonts w:ascii="Calibri" w:eastAsia="Times New Roman" w:hAnsi="Calibri" w:cs="Calibri"/>
                <w:color w:val="9C5700"/>
                <w:sz w:val="18"/>
                <w:szCs w:val="18"/>
                <w:lang w:eastAsia="en-AU"/>
              </w:rPr>
              <w:t>.</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63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Dysplastic changes</w:t>
            </w:r>
          </w:p>
        </w:tc>
        <w:tc>
          <w:tcPr>
            <w:tcW w:w="1874" w:type="dxa"/>
            <w:tcBorders>
              <w:top w:val="single" w:sz="4" w:space="0" w:color="auto"/>
              <w:left w:val="single" w:sz="4" w:space="0" w:color="auto"/>
              <w:bottom w:val="single" w:sz="4" w:space="0" w:color="auto"/>
              <w:right w:val="single" w:sz="8"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Blast cells</w:t>
            </w:r>
          </w:p>
        </w:tc>
      </w:tr>
      <w:tr w:rsidR="0045275C" w:rsidRPr="0045275C" w:rsidTr="00E0664B">
        <w:trPr>
          <w:trHeight w:val="488"/>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43"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7"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 xml:space="preserve">Neutrophil – </w:t>
            </w:r>
            <w:proofErr w:type="spellStart"/>
            <w:r w:rsidRPr="0045275C">
              <w:rPr>
                <w:rFonts w:ascii="Calibri" w:eastAsia="Times New Roman" w:hAnsi="Calibri" w:cs="Calibri"/>
                <w:color w:val="9C5700"/>
                <w:sz w:val="18"/>
                <w:szCs w:val="18"/>
                <w:lang w:eastAsia="en-AU"/>
              </w:rPr>
              <w:t>Hypogranulation</w:t>
            </w:r>
            <w:proofErr w:type="spellEnd"/>
            <w:r w:rsidRPr="0045275C">
              <w:rPr>
                <w:rFonts w:ascii="Calibri" w:eastAsia="Times New Roman" w:hAnsi="Calibri" w:cs="Calibri"/>
                <w:color w:val="9C5700"/>
                <w:sz w:val="18"/>
                <w:szCs w:val="18"/>
                <w:lang w:eastAsia="en-AU"/>
              </w:rPr>
              <w:t>.</w:t>
            </w:r>
          </w:p>
        </w:tc>
        <w:tc>
          <w:tcPr>
            <w:tcW w:w="1632" w:type="dxa"/>
            <w:tcBorders>
              <w:top w:val="single" w:sz="4" w:space="0" w:color="auto"/>
              <w:left w:val="single" w:sz="4" w:space="0" w:color="auto"/>
              <w:bottom w:val="single" w:sz="8" w:space="0" w:color="auto"/>
              <w:right w:val="single" w:sz="4" w:space="0" w:color="auto"/>
            </w:tcBorders>
            <w:shd w:val="clear" w:color="000000" w:fill="FFEB9C"/>
            <w:vAlign w:val="center"/>
            <w:hideMark/>
          </w:tcPr>
          <w:p w:rsidR="0045275C" w:rsidRPr="0045275C" w:rsidRDefault="0045275C" w:rsidP="0045275C">
            <w:pPr>
              <w:spacing w:after="0" w:line="240" w:lineRule="auto"/>
              <w:jc w:val="center"/>
              <w:rPr>
                <w:rFonts w:ascii="Calibri" w:eastAsia="Times New Roman" w:hAnsi="Calibri" w:cs="Calibri"/>
                <w:color w:val="9C5700"/>
                <w:sz w:val="18"/>
                <w:szCs w:val="18"/>
                <w:lang w:eastAsia="en-AU"/>
              </w:rPr>
            </w:pPr>
            <w:r w:rsidRPr="0045275C">
              <w:rPr>
                <w:rFonts w:ascii="Calibri" w:eastAsia="Times New Roman" w:hAnsi="Calibri" w:cs="Calibri"/>
                <w:color w:val="9C5700"/>
                <w:sz w:val="18"/>
                <w:szCs w:val="18"/>
                <w:lang w:eastAsia="en-AU"/>
              </w:rPr>
              <w:t xml:space="preserve">Neutrophils - </w:t>
            </w:r>
            <w:proofErr w:type="spellStart"/>
            <w:r w:rsidRPr="0045275C">
              <w:rPr>
                <w:rFonts w:ascii="Calibri" w:eastAsia="Times New Roman" w:hAnsi="Calibri" w:cs="Calibri"/>
                <w:color w:val="9C5700"/>
                <w:sz w:val="18"/>
                <w:szCs w:val="18"/>
                <w:lang w:eastAsia="en-AU"/>
              </w:rPr>
              <w:t>hyposegmented</w:t>
            </w:r>
            <w:proofErr w:type="spellEnd"/>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4" w:type="dxa"/>
            <w:tcBorders>
              <w:top w:val="nil"/>
              <w:left w:val="nil"/>
              <w:bottom w:val="single" w:sz="8" w:space="0" w:color="auto"/>
              <w:right w:val="single" w:sz="8"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r>
      <w:tr w:rsidR="0045275C" w:rsidRPr="0045275C" w:rsidTr="00E0664B">
        <w:trPr>
          <w:trHeight w:val="904"/>
        </w:trPr>
        <w:tc>
          <w:tcPr>
            <w:tcW w:w="851" w:type="dxa"/>
            <w:vMerge w:val="restart"/>
            <w:tcBorders>
              <w:top w:val="nil"/>
              <w:left w:val="single" w:sz="8" w:space="0" w:color="auto"/>
              <w:bottom w:val="single" w:sz="4" w:space="0" w:color="auto"/>
              <w:right w:val="single" w:sz="8" w:space="0" w:color="auto"/>
            </w:tcBorders>
            <w:shd w:val="clear" w:color="000000" w:fill="C6E0B4"/>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lang w:eastAsia="en-AU"/>
              </w:rPr>
            </w:pPr>
            <w:r w:rsidRPr="0045275C">
              <w:rPr>
                <w:rFonts w:ascii="Calibri" w:eastAsia="Times New Roman" w:hAnsi="Calibri" w:cs="Calibri"/>
                <w:b/>
                <w:bCs/>
                <w:color w:val="000000"/>
                <w:lang w:eastAsia="en-AU"/>
              </w:rPr>
              <w:t>Platelet Features</w:t>
            </w:r>
          </w:p>
        </w:tc>
        <w:tc>
          <w:tcPr>
            <w:tcW w:w="187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843"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No significant morphological platelet abnormality</w:t>
            </w:r>
          </w:p>
        </w:tc>
        <w:tc>
          <w:tcPr>
            <w:tcW w:w="187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c>
          <w:tcPr>
            <w:tcW w:w="1874" w:type="dxa"/>
            <w:tcBorders>
              <w:top w:val="single" w:sz="8" w:space="0" w:color="auto"/>
              <w:left w:val="single" w:sz="4" w:space="0" w:color="auto"/>
              <w:bottom w:val="single" w:sz="4" w:space="0" w:color="auto"/>
              <w:right w:val="single" w:sz="8"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Platelet clumps</w:t>
            </w:r>
          </w:p>
        </w:tc>
      </w:tr>
      <w:tr w:rsidR="0045275C" w:rsidRPr="0045275C" w:rsidTr="00E0664B">
        <w:trPr>
          <w:trHeight w:val="1055"/>
        </w:trPr>
        <w:tc>
          <w:tcPr>
            <w:tcW w:w="851" w:type="dxa"/>
            <w:vMerge/>
            <w:tcBorders>
              <w:top w:val="nil"/>
              <w:left w:val="single" w:sz="8" w:space="0" w:color="auto"/>
              <w:bottom w:val="single" w:sz="4" w:space="0" w:color="auto"/>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lang w:eastAsia="en-AU"/>
              </w:rPr>
            </w:pPr>
          </w:p>
        </w:tc>
        <w:tc>
          <w:tcPr>
            <w:tcW w:w="1870" w:type="dxa"/>
            <w:tcBorders>
              <w:top w:val="nil"/>
              <w:left w:val="single" w:sz="4" w:space="0" w:color="auto"/>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43"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Inaccurate platelet count</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4" w:type="dxa"/>
            <w:tcBorders>
              <w:top w:val="nil"/>
              <w:left w:val="nil"/>
              <w:bottom w:val="single" w:sz="8" w:space="0" w:color="auto"/>
              <w:right w:val="single" w:sz="8"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Giant platelets / significant numbers of large platelets. *ICSH definition</w:t>
            </w:r>
          </w:p>
        </w:tc>
      </w:tr>
      <w:tr w:rsidR="0045275C" w:rsidRPr="0045275C" w:rsidTr="00E0664B">
        <w:trPr>
          <w:trHeight w:val="1201"/>
        </w:trPr>
        <w:tc>
          <w:tcPr>
            <w:tcW w:w="851" w:type="dxa"/>
            <w:vMerge w:val="restart"/>
            <w:tcBorders>
              <w:top w:val="nil"/>
              <w:left w:val="single" w:sz="8" w:space="0" w:color="auto"/>
              <w:bottom w:val="single" w:sz="8" w:space="0" w:color="000000"/>
              <w:right w:val="single" w:sz="8" w:space="0" w:color="auto"/>
            </w:tcBorders>
            <w:shd w:val="clear" w:color="000000" w:fill="FFE699"/>
            <w:textDirection w:val="tbRl"/>
            <w:vAlign w:val="center"/>
            <w:hideMark/>
          </w:tcPr>
          <w:p w:rsidR="0045275C" w:rsidRPr="0045275C" w:rsidRDefault="0045275C" w:rsidP="0045275C">
            <w:pPr>
              <w:spacing w:after="0" w:line="240" w:lineRule="auto"/>
              <w:jc w:val="center"/>
              <w:rPr>
                <w:rFonts w:ascii="Calibri" w:eastAsia="Times New Roman" w:hAnsi="Calibri" w:cs="Calibri"/>
                <w:b/>
                <w:bCs/>
                <w:color w:val="000000"/>
                <w:sz w:val="18"/>
                <w:szCs w:val="18"/>
                <w:lang w:eastAsia="en-AU"/>
              </w:rPr>
            </w:pPr>
            <w:r w:rsidRPr="0045275C">
              <w:rPr>
                <w:rFonts w:ascii="Calibri" w:eastAsia="Times New Roman" w:hAnsi="Calibri" w:cs="Calibri"/>
                <w:b/>
                <w:bCs/>
                <w:color w:val="000000"/>
                <w:sz w:val="18"/>
                <w:szCs w:val="18"/>
                <w:lang w:eastAsia="en-AU"/>
              </w:rPr>
              <w:t xml:space="preserve">Primary Diagnosis </w:t>
            </w:r>
          </w:p>
        </w:tc>
        <w:tc>
          <w:tcPr>
            <w:tcW w:w="1870" w:type="dxa"/>
            <w:tcBorders>
              <w:top w:val="nil"/>
              <w:left w:val="single" w:sz="4" w:space="0" w:color="auto"/>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Acute myelomonocytic leukaemia</w:t>
            </w:r>
          </w:p>
        </w:tc>
        <w:tc>
          <w:tcPr>
            <w:tcW w:w="398" w:type="dxa"/>
            <w:tcBorders>
              <w:top w:val="nil"/>
              <w:left w:val="nil"/>
              <w:bottom w:val="single" w:sz="4"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45275C" w:rsidRPr="0045275C" w:rsidRDefault="0045275C" w:rsidP="0045275C">
            <w:pPr>
              <w:spacing w:after="0" w:line="240" w:lineRule="auto"/>
              <w:jc w:val="center"/>
              <w:rPr>
                <w:rFonts w:ascii="Calibri" w:eastAsia="Times New Roman" w:hAnsi="Calibri" w:cs="Calibri"/>
                <w:color w:val="BF8F00"/>
                <w:sz w:val="18"/>
                <w:szCs w:val="18"/>
                <w:lang w:eastAsia="en-AU"/>
              </w:rPr>
            </w:pPr>
            <w:r w:rsidRPr="0045275C">
              <w:rPr>
                <w:rFonts w:ascii="Calibri" w:eastAsia="Times New Roman" w:hAnsi="Calibri" w:cs="Calibri"/>
                <w:color w:val="BF8F00"/>
                <w:sz w:val="18"/>
                <w:szCs w:val="18"/>
                <w:lang w:eastAsia="en-AU"/>
              </w:rPr>
              <w:t>Acute myeloid leukaemia with abnormal eosinophils / eosinophilia</w:t>
            </w:r>
          </w:p>
        </w:tc>
        <w:tc>
          <w:tcPr>
            <w:tcW w:w="1843"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leukemia with myelodysplasia - related changes</w:t>
            </w:r>
          </w:p>
        </w:tc>
        <w:tc>
          <w:tcPr>
            <w:tcW w:w="187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leukemia with myelodysplasia - related changes</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63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leukaemia</w:t>
            </w:r>
          </w:p>
        </w:tc>
        <w:tc>
          <w:tcPr>
            <w:tcW w:w="1874" w:type="dxa"/>
            <w:tcBorders>
              <w:top w:val="single" w:sz="8" w:space="0" w:color="auto"/>
              <w:left w:val="single" w:sz="4" w:space="0" w:color="auto"/>
              <w:bottom w:val="single" w:sz="4" w:space="0" w:color="auto"/>
              <w:right w:val="single" w:sz="8" w:space="0" w:color="auto"/>
            </w:tcBorders>
            <w:shd w:val="clear" w:color="000000" w:fill="C6EFCE"/>
            <w:vAlign w:val="center"/>
            <w:hideMark/>
          </w:tcPr>
          <w:p w:rsidR="0045275C" w:rsidRPr="0045275C" w:rsidRDefault="0045275C" w:rsidP="0045275C">
            <w:pPr>
              <w:spacing w:after="0" w:line="240" w:lineRule="auto"/>
              <w:jc w:val="center"/>
              <w:rPr>
                <w:rFonts w:ascii="Calibri" w:eastAsia="Times New Roman" w:hAnsi="Calibri" w:cs="Calibri"/>
                <w:color w:val="006100"/>
                <w:sz w:val="18"/>
                <w:szCs w:val="18"/>
                <w:lang w:eastAsia="en-AU"/>
              </w:rPr>
            </w:pPr>
            <w:r w:rsidRPr="0045275C">
              <w:rPr>
                <w:rFonts w:ascii="Calibri" w:eastAsia="Times New Roman" w:hAnsi="Calibri" w:cs="Calibri"/>
                <w:color w:val="006100"/>
                <w:sz w:val="18"/>
                <w:szCs w:val="18"/>
                <w:lang w:eastAsia="en-AU"/>
              </w:rPr>
              <w:t>Acute myeloid leukemia with myelodysplasia - related changes</w:t>
            </w:r>
          </w:p>
        </w:tc>
      </w:tr>
      <w:tr w:rsidR="0045275C" w:rsidRPr="0045275C" w:rsidTr="00E0664B">
        <w:trPr>
          <w:trHeight w:val="58"/>
        </w:trPr>
        <w:tc>
          <w:tcPr>
            <w:tcW w:w="851" w:type="dxa"/>
            <w:vMerge/>
            <w:tcBorders>
              <w:top w:val="nil"/>
              <w:left w:val="single" w:sz="8" w:space="0" w:color="auto"/>
              <w:bottom w:val="single" w:sz="8" w:space="0" w:color="000000"/>
              <w:right w:val="single" w:sz="8" w:space="0" w:color="auto"/>
            </w:tcBorders>
            <w:vAlign w:val="center"/>
            <w:hideMark/>
          </w:tcPr>
          <w:p w:rsidR="0045275C" w:rsidRPr="0045275C" w:rsidRDefault="0045275C" w:rsidP="0045275C">
            <w:pPr>
              <w:spacing w:after="0" w:line="240" w:lineRule="auto"/>
              <w:rPr>
                <w:rFonts w:ascii="Calibri" w:eastAsia="Times New Roman" w:hAnsi="Calibri" w:cs="Calibri"/>
                <w:b/>
                <w:bCs/>
                <w:color w:val="000000"/>
                <w:sz w:val="18"/>
                <w:szCs w:val="18"/>
                <w:lang w:eastAsia="en-AU"/>
              </w:rPr>
            </w:pPr>
          </w:p>
        </w:tc>
        <w:tc>
          <w:tcPr>
            <w:tcW w:w="1870" w:type="dxa"/>
            <w:tcBorders>
              <w:top w:val="nil"/>
              <w:left w:val="single" w:sz="4" w:space="0" w:color="auto"/>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398"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2410"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43"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7"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632" w:type="dxa"/>
            <w:tcBorders>
              <w:top w:val="nil"/>
              <w:left w:val="nil"/>
              <w:bottom w:val="single" w:sz="8" w:space="0" w:color="auto"/>
              <w:right w:val="single" w:sz="4"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c>
          <w:tcPr>
            <w:tcW w:w="1874" w:type="dxa"/>
            <w:tcBorders>
              <w:top w:val="nil"/>
              <w:left w:val="nil"/>
              <w:bottom w:val="single" w:sz="8" w:space="0" w:color="auto"/>
              <w:right w:val="single" w:sz="8" w:space="0" w:color="auto"/>
            </w:tcBorders>
            <w:shd w:val="clear" w:color="auto" w:fill="auto"/>
            <w:vAlign w:val="center"/>
            <w:hideMark/>
          </w:tcPr>
          <w:p w:rsidR="0045275C" w:rsidRPr="0045275C" w:rsidRDefault="0045275C" w:rsidP="0045275C">
            <w:pPr>
              <w:spacing w:after="0" w:line="240" w:lineRule="auto"/>
              <w:jc w:val="center"/>
              <w:rPr>
                <w:rFonts w:ascii="Calibri" w:eastAsia="Times New Roman" w:hAnsi="Calibri" w:cs="Calibri"/>
                <w:color w:val="000000"/>
                <w:sz w:val="18"/>
                <w:szCs w:val="18"/>
                <w:lang w:eastAsia="en-AU"/>
              </w:rPr>
            </w:pPr>
            <w:r w:rsidRPr="0045275C">
              <w:rPr>
                <w:rFonts w:ascii="Calibri" w:eastAsia="Times New Roman" w:hAnsi="Calibri" w:cs="Calibri"/>
                <w:color w:val="000000"/>
                <w:sz w:val="18"/>
                <w:szCs w:val="18"/>
                <w:lang w:eastAsia="en-AU"/>
              </w:rPr>
              <w:t> </w:t>
            </w:r>
          </w:p>
        </w:tc>
      </w:tr>
    </w:tbl>
    <w:p w:rsidR="0045275C" w:rsidRDefault="0045275C">
      <w:pPr>
        <w:rPr>
          <w:noProof/>
        </w:rPr>
      </w:pPr>
    </w:p>
    <w:tbl>
      <w:tblPr>
        <w:tblW w:w="7600" w:type="dxa"/>
        <w:tblLook w:val="04A0" w:firstRow="1" w:lastRow="0" w:firstColumn="1" w:lastColumn="0" w:noHBand="0" w:noVBand="1"/>
      </w:tblPr>
      <w:tblGrid>
        <w:gridCol w:w="1520"/>
        <w:gridCol w:w="1520"/>
        <w:gridCol w:w="1520"/>
        <w:gridCol w:w="1520"/>
        <w:gridCol w:w="1520"/>
      </w:tblGrid>
      <w:tr w:rsidR="00E0664B" w:rsidRPr="002E1AF0" w:rsidTr="0051099E">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E0664B" w:rsidRPr="002E1AF0" w:rsidRDefault="00E0664B" w:rsidP="0051099E">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E0664B" w:rsidRPr="002E1AF0" w:rsidRDefault="00E0664B" w:rsidP="0051099E">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E0664B" w:rsidRPr="002E1AF0" w:rsidRDefault="00E0664B" w:rsidP="0051099E">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 xml:space="preserve">Low scoring response </w:t>
            </w:r>
          </w:p>
        </w:tc>
        <w:tc>
          <w:tcPr>
            <w:tcW w:w="15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E0664B" w:rsidRPr="002E1AF0" w:rsidRDefault="00E0664B" w:rsidP="0051099E">
            <w:pPr>
              <w:spacing w:after="0" w:line="240" w:lineRule="auto"/>
              <w:jc w:val="center"/>
              <w:rPr>
                <w:rFonts w:ascii="Calibri" w:eastAsia="Times New Roman" w:hAnsi="Calibri" w:cs="Calibri"/>
                <w:sz w:val="20"/>
                <w:szCs w:val="20"/>
                <w:lang w:eastAsia="en-AU"/>
              </w:rPr>
            </w:pPr>
            <w:r w:rsidRPr="002E1AF0">
              <w:rPr>
                <w:rFonts w:ascii="Calibri" w:eastAsia="Times New Roman" w:hAnsi="Calibri" w:cs="Calibri"/>
                <w:sz w:val="20"/>
                <w:szCs w:val="20"/>
                <w:lang w:eastAsia="en-AU"/>
              </w:rPr>
              <w:t xml:space="preserve">Lowest scoring response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E0664B" w:rsidRPr="002E1AF0" w:rsidRDefault="00E0664B" w:rsidP="0051099E">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Response given no score </w:t>
            </w:r>
          </w:p>
        </w:tc>
      </w:tr>
    </w:tbl>
    <w:p w:rsidR="00E0664B" w:rsidRDefault="00E0664B">
      <w:pPr>
        <w:rPr>
          <w:noProof/>
        </w:rPr>
        <w:sectPr w:rsidR="00E0664B" w:rsidSect="0045275C">
          <w:pgSz w:w="16838" w:h="11906" w:orient="landscape"/>
          <w:pgMar w:top="720" w:right="720" w:bottom="720" w:left="720" w:header="708" w:footer="708" w:gutter="0"/>
          <w:cols w:space="708"/>
          <w:docGrid w:linePitch="360"/>
        </w:sectPr>
      </w:pPr>
    </w:p>
    <w:tbl>
      <w:tblPr>
        <w:tblW w:w="8961" w:type="dxa"/>
        <w:tblLook w:val="04A0" w:firstRow="1" w:lastRow="0" w:firstColumn="1" w:lastColumn="0" w:noHBand="0" w:noVBand="1"/>
      </w:tblPr>
      <w:tblGrid>
        <w:gridCol w:w="960"/>
        <w:gridCol w:w="1591"/>
        <w:gridCol w:w="1600"/>
        <w:gridCol w:w="1542"/>
        <w:gridCol w:w="1683"/>
        <w:gridCol w:w="1585"/>
      </w:tblGrid>
      <w:tr w:rsidR="00E0664B" w:rsidRPr="00E0664B" w:rsidTr="00E0664B">
        <w:trPr>
          <w:trHeight w:val="408"/>
        </w:trPr>
        <w:tc>
          <w:tcPr>
            <w:tcW w:w="8961" w:type="dxa"/>
            <w:gridSpan w:val="6"/>
            <w:vMerge w:val="restart"/>
            <w:tcBorders>
              <w:top w:val="nil"/>
              <w:left w:val="nil"/>
              <w:bottom w:val="nil"/>
              <w:right w:val="nil"/>
            </w:tcBorders>
            <w:shd w:val="clear" w:color="000000" w:fill="F4B084"/>
            <w:noWrap/>
            <w:vAlign w:val="center"/>
            <w:hideMark/>
          </w:tcPr>
          <w:p w:rsidR="00E0664B" w:rsidRPr="00E0664B" w:rsidRDefault="00E0664B" w:rsidP="00E0664B">
            <w:pPr>
              <w:spacing w:after="0" w:line="240" w:lineRule="auto"/>
              <w:jc w:val="center"/>
              <w:rPr>
                <w:rFonts w:ascii="Calibri" w:eastAsia="Times New Roman" w:hAnsi="Calibri" w:cs="Calibri"/>
                <w:b/>
                <w:bCs/>
                <w:color w:val="000000"/>
                <w:sz w:val="20"/>
                <w:szCs w:val="20"/>
                <w:lang w:eastAsia="en-AU"/>
              </w:rPr>
            </w:pPr>
            <w:r w:rsidRPr="00E0664B">
              <w:rPr>
                <w:rFonts w:ascii="Calibri" w:eastAsia="Times New Roman" w:hAnsi="Calibri" w:cs="Calibri"/>
                <w:b/>
                <w:bCs/>
                <w:color w:val="000000"/>
                <w:sz w:val="20"/>
                <w:szCs w:val="20"/>
                <w:lang w:eastAsia="en-AU"/>
              </w:rPr>
              <w:lastRenderedPageBreak/>
              <w:t>RCPA results. Report 24Aug2021</w:t>
            </w:r>
          </w:p>
        </w:tc>
      </w:tr>
      <w:tr w:rsidR="00E0664B" w:rsidRPr="00E0664B" w:rsidTr="00E0664B">
        <w:trPr>
          <w:trHeight w:val="408"/>
        </w:trPr>
        <w:tc>
          <w:tcPr>
            <w:tcW w:w="8961" w:type="dxa"/>
            <w:gridSpan w:val="6"/>
            <w:vMerge/>
            <w:tcBorders>
              <w:top w:val="nil"/>
              <w:left w:val="nil"/>
              <w:bottom w:val="nil"/>
              <w:right w:val="nil"/>
            </w:tcBorders>
            <w:vAlign w:val="center"/>
            <w:hideMark/>
          </w:tcPr>
          <w:p w:rsidR="00E0664B" w:rsidRPr="00E0664B" w:rsidRDefault="00E0664B" w:rsidP="00E0664B">
            <w:pPr>
              <w:spacing w:after="0" w:line="240" w:lineRule="auto"/>
              <w:rPr>
                <w:rFonts w:ascii="Calibri" w:eastAsia="Times New Roman" w:hAnsi="Calibri" w:cs="Calibri"/>
                <w:b/>
                <w:bCs/>
                <w:color w:val="000000"/>
                <w:sz w:val="20"/>
                <w:szCs w:val="20"/>
                <w:lang w:eastAsia="en-AU"/>
              </w:rPr>
            </w:pPr>
          </w:p>
        </w:tc>
      </w:tr>
      <w:tr w:rsidR="00E0664B" w:rsidRPr="00E0664B" w:rsidTr="00E0664B">
        <w:trPr>
          <w:trHeight w:val="315"/>
        </w:trPr>
        <w:tc>
          <w:tcPr>
            <w:tcW w:w="8961" w:type="dxa"/>
            <w:gridSpan w:val="6"/>
            <w:tcBorders>
              <w:top w:val="single" w:sz="4" w:space="0" w:color="auto"/>
              <w:left w:val="nil"/>
              <w:bottom w:val="nil"/>
              <w:right w:val="nil"/>
            </w:tcBorders>
            <w:shd w:val="clear" w:color="000000" w:fill="FFFF00"/>
            <w:vAlign w:val="bottom"/>
            <w:hideMark/>
          </w:tcPr>
          <w:p w:rsidR="00E0664B" w:rsidRPr="00E0664B" w:rsidRDefault="00E0664B" w:rsidP="00E0664B">
            <w:pPr>
              <w:spacing w:after="0" w:line="240" w:lineRule="auto"/>
              <w:jc w:val="center"/>
              <w:rPr>
                <w:rFonts w:ascii="Calibri" w:eastAsia="Times New Roman" w:hAnsi="Calibri" w:cs="Calibri"/>
                <w:b/>
                <w:bCs/>
                <w:color w:val="000000"/>
                <w:sz w:val="20"/>
                <w:szCs w:val="20"/>
                <w:lang w:eastAsia="en-AU"/>
              </w:rPr>
            </w:pPr>
            <w:r w:rsidRPr="00E0664B">
              <w:rPr>
                <w:rFonts w:ascii="Calibri" w:eastAsia="Times New Roman" w:hAnsi="Calibri" w:cs="Calibri"/>
                <w:b/>
                <w:bCs/>
                <w:color w:val="000000"/>
                <w:sz w:val="20"/>
                <w:szCs w:val="20"/>
                <w:lang w:eastAsia="en-AU"/>
              </w:rPr>
              <w:t>HA-MO-21-08</w:t>
            </w:r>
          </w:p>
        </w:tc>
      </w:tr>
      <w:tr w:rsidR="00E0664B" w:rsidRPr="00E0664B" w:rsidTr="00E0664B">
        <w:trPr>
          <w:trHeight w:val="132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FF99FF"/>
            <w:noWrap/>
            <w:textDirection w:val="tbRl"/>
            <w:vAlign w:val="center"/>
            <w:hideMark/>
          </w:tcPr>
          <w:p w:rsidR="00E0664B" w:rsidRPr="00E0664B" w:rsidRDefault="00E0664B" w:rsidP="00E0664B">
            <w:pPr>
              <w:spacing w:after="0" w:line="240" w:lineRule="auto"/>
              <w:jc w:val="center"/>
              <w:rPr>
                <w:rFonts w:ascii="Calibri" w:eastAsia="Times New Roman" w:hAnsi="Calibri" w:cs="Calibri"/>
                <w:b/>
                <w:bCs/>
                <w:color w:val="000000"/>
                <w:lang w:eastAsia="en-AU"/>
              </w:rPr>
            </w:pPr>
            <w:r w:rsidRPr="00E0664B">
              <w:rPr>
                <w:rFonts w:ascii="Calibri" w:eastAsia="Times New Roman" w:hAnsi="Calibri" w:cs="Calibri"/>
                <w:b/>
                <w:bCs/>
                <w:color w:val="000000"/>
                <w:lang w:eastAsia="en-AU"/>
              </w:rPr>
              <w:t>RBC Features</w:t>
            </w: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Nucleated red blood cells</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Elliptocytes / ovalocytes</w:t>
            </w:r>
          </w:p>
        </w:tc>
        <w:tc>
          <w:tcPr>
            <w:tcW w:w="1542" w:type="dxa"/>
            <w:tcBorders>
              <w:top w:val="single" w:sz="4" w:space="0" w:color="auto"/>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single" w:sz="4" w:space="0" w:color="auto"/>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72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Tear drop cells</w:t>
            </w:r>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48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Pencil cells</w:t>
            </w:r>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495"/>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Spherocytes</w:t>
            </w:r>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915"/>
        </w:trPr>
        <w:tc>
          <w:tcPr>
            <w:tcW w:w="960" w:type="dxa"/>
            <w:vMerge w:val="restart"/>
            <w:tcBorders>
              <w:top w:val="nil"/>
              <w:left w:val="single" w:sz="4" w:space="0" w:color="auto"/>
              <w:bottom w:val="single" w:sz="4" w:space="0" w:color="auto"/>
              <w:right w:val="single" w:sz="4" w:space="0" w:color="auto"/>
            </w:tcBorders>
            <w:shd w:val="clear" w:color="000000" w:fill="B4C6E7"/>
            <w:textDirection w:val="tbRl"/>
            <w:vAlign w:val="center"/>
            <w:hideMark/>
          </w:tcPr>
          <w:p w:rsidR="00E0664B" w:rsidRPr="00E0664B" w:rsidRDefault="00E0664B" w:rsidP="00E0664B">
            <w:pPr>
              <w:spacing w:after="0" w:line="240" w:lineRule="auto"/>
              <w:jc w:val="center"/>
              <w:rPr>
                <w:rFonts w:ascii="Calibri" w:eastAsia="Times New Roman" w:hAnsi="Calibri" w:cs="Calibri"/>
                <w:b/>
                <w:bCs/>
                <w:color w:val="000000"/>
                <w:lang w:eastAsia="en-AU"/>
              </w:rPr>
            </w:pPr>
            <w:r w:rsidRPr="00E0664B">
              <w:rPr>
                <w:rFonts w:ascii="Calibri" w:eastAsia="Times New Roman" w:hAnsi="Calibri" w:cs="Calibri"/>
                <w:b/>
                <w:bCs/>
                <w:color w:val="000000"/>
                <w:lang w:eastAsia="en-AU"/>
              </w:rPr>
              <w:t>WBC Features</w:t>
            </w: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Blast cells</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 xml:space="preserve">Neutrophil – </w:t>
            </w:r>
            <w:proofErr w:type="spellStart"/>
            <w:r w:rsidRPr="00E0664B">
              <w:rPr>
                <w:rFonts w:ascii="Calibri" w:eastAsia="Times New Roman" w:hAnsi="Calibri" w:cs="Calibri"/>
                <w:color w:val="9C5700"/>
                <w:sz w:val="16"/>
                <w:szCs w:val="16"/>
                <w:lang w:eastAsia="en-AU"/>
              </w:rPr>
              <w:t>Hypogranulation</w:t>
            </w:r>
            <w:proofErr w:type="spellEnd"/>
            <w:r w:rsidRPr="00E0664B">
              <w:rPr>
                <w:rFonts w:ascii="Calibri" w:eastAsia="Times New Roman" w:hAnsi="Calibri" w:cs="Calibri"/>
                <w:color w:val="9C5700"/>
                <w:sz w:val="16"/>
                <w:szCs w:val="16"/>
                <w:lang w:eastAsia="en-AU"/>
              </w:rPr>
              <w:t>.</w:t>
            </w:r>
          </w:p>
        </w:tc>
        <w:tc>
          <w:tcPr>
            <w:tcW w:w="154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BF8F00"/>
                <w:sz w:val="16"/>
                <w:szCs w:val="16"/>
                <w:lang w:eastAsia="en-AU"/>
              </w:rPr>
            </w:pPr>
            <w:r w:rsidRPr="00E0664B">
              <w:rPr>
                <w:rFonts w:ascii="Calibri" w:eastAsia="Times New Roman" w:hAnsi="Calibri" w:cs="Calibri"/>
                <w:color w:val="BF8F00"/>
                <w:sz w:val="16"/>
                <w:szCs w:val="16"/>
                <w:lang w:eastAsia="en-AU"/>
              </w:rPr>
              <w:t>Eosinophilia</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675"/>
        </w:trPr>
        <w:tc>
          <w:tcPr>
            <w:tcW w:w="960" w:type="dxa"/>
            <w:vMerge/>
            <w:tcBorders>
              <w:top w:val="nil"/>
              <w:left w:val="single" w:sz="4" w:space="0" w:color="auto"/>
              <w:bottom w:val="single" w:sz="4" w:space="0" w:color="auto"/>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Auer rods</w:t>
            </w:r>
          </w:p>
        </w:tc>
        <w:tc>
          <w:tcPr>
            <w:tcW w:w="154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BF8F00"/>
                <w:sz w:val="16"/>
                <w:szCs w:val="16"/>
                <w:lang w:eastAsia="en-AU"/>
              </w:rPr>
            </w:pPr>
            <w:r w:rsidRPr="00E0664B">
              <w:rPr>
                <w:rFonts w:ascii="Calibri" w:eastAsia="Times New Roman" w:hAnsi="Calibri" w:cs="Calibri"/>
                <w:color w:val="BF8F00"/>
                <w:sz w:val="16"/>
                <w:szCs w:val="16"/>
                <w:lang w:eastAsia="en-AU"/>
              </w:rPr>
              <w:t>Promyelocytes / metamyelocytes / myelocytes</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675"/>
        </w:trPr>
        <w:tc>
          <w:tcPr>
            <w:tcW w:w="960" w:type="dxa"/>
            <w:vMerge/>
            <w:tcBorders>
              <w:top w:val="nil"/>
              <w:left w:val="single" w:sz="4" w:space="0" w:color="auto"/>
              <w:bottom w:val="single" w:sz="4" w:space="0" w:color="auto"/>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Dysplastic changes</w:t>
            </w:r>
          </w:p>
        </w:tc>
        <w:tc>
          <w:tcPr>
            <w:tcW w:w="154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BF8F00"/>
                <w:sz w:val="16"/>
                <w:szCs w:val="16"/>
                <w:lang w:eastAsia="en-AU"/>
              </w:rPr>
            </w:pPr>
            <w:proofErr w:type="spellStart"/>
            <w:r w:rsidRPr="00E0664B">
              <w:rPr>
                <w:rFonts w:ascii="Calibri" w:eastAsia="Times New Roman" w:hAnsi="Calibri" w:cs="Calibri"/>
                <w:color w:val="BF8F00"/>
                <w:sz w:val="16"/>
                <w:szCs w:val="16"/>
                <w:lang w:eastAsia="en-AU"/>
              </w:rPr>
              <w:t>Pelger-Huet</w:t>
            </w:r>
            <w:proofErr w:type="spellEnd"/>
            <w:r w:rsidRPr="00E0664B">
              <w:rPr>
                <w:rFonts w:ascii="Calibri" w:eastAsia="Times New Roman" w:hAnsi="Calibri" w:cs="Calibri"/>
                <w:color w:val="BF8F00"/>
                <w:sz w:val="16"/>
                <w:szCs w:val="16"/>
                <w:lang w:eastAsia="en-AU"/>
              </w:rPr>
              <w:t xml:space="preserve"> / pseudo </w:t>
            </w:r>
            <w:proofErr w:type="spellStart"/>
            <w:r w:rsidRPr="00E0664B">
              <w:rPr>
                <w:rFonts w:ascii="Calibri" w:eastAsia="Times New Roman" w:hAnsi="Calibri" w:cs="Calibri"/>
                <w:color w:val="BF8F00"/>
                <w:sz w:val="16"/>
                <w:szCs w:val="16"/>
                <w:lang w:eastAsia="en-AU"/>
              </w:rPr>
              <w:t>Pelget-Huet</w:t>
            </w:r>
            <w:proofErr w:type="spellEnd"/>
            <w:r w:rsidRPr="00E0664B">
              <w:rPr>
                <w:rFonts w:ascii="Calibri" w:eastAsia="Times New Roman" w:hAnsi="Calibri" w:cs="Calibri"/>
                <w:color w:val="BF8F00"/>
                <w:sz w:val="16"/>
                <w:szCs w:val="16"/>
                <w:lang w:eastAsia="en-AU"/>
              </w:rPr>
              <w:t xml:space="preserve"> cells</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495"/>
        </w:trPr>
        <w:tc>
          <w:tcPr>
            <w:tcW w:w="960" w:type="dxa"/>
            <w:vMerge/>
            <w:tcBorders>
              <w:top w:val="nil"/>
              <w:left w:val="single" w:sz="4" w:space="0" w:color="auto"/>
              <w:bottom w:val="single" w:sz="4" w:space="0" w:color="auto"/>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lang w:eastAsia="en-AU"/>
              </w:rPr>
            </w:pPr>
          </w:p>
        </w:tc>
        <w:tc>
          <w:tcPr>
            <w:tcW w:w="1591"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 xml:space="preserve">Neutrophils - </w:t>
            </w:r>
            <w:proofErr w:type="spellStart"/>
            <w:r w:rsidRPr="00E0664B">
              <w:rPr>
                <w:rFonts w:ascii="Calibri" w:eastAsia="Times New Roman" w:hAnsi="Calibri" w:cs="Calibri"/>
                <w:color w:val="9C5700"/>
                <w:sz w:val="16"/>
                <w:szCs w:val="16"/>
                <w:lang w:eastAsia="en-AU"/>
              </w:rPr>
              <w:t>hyposegmented</w:t>
            </w:r>
            <w:proofErr w:type="spellEnd"/>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bottom"/>
            <w:hideMark/>
          </w:tcPr>
          <w:p w:rsidR="00E0664B" w:rsidRPr="00E0664B" w:rsidRDefault="00E0664B" w:rsidP="00E0664B">
            <w:pPr>
              <w:spacing w:after="0" w:line="240" w:lineRule="auto"/>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915"/>
        </w:trPr>
        <w:tc>
          <w:tcPr>
            <w:tcW w:w="960" w:type="dxa"/>
            <w:vMerge w:val="restart"/>
            <w:tcBorders>
              <w:top w:val="nil"/>
              <w:left w:val="single" w:sz="4" w:space="0" w:color="auto"/>
              <w:bottom w:val="single" w:sz="4" w:space="0" w:color="auto"/>
              <w:right w:val="single" w:sz="4" w:space="0" w:color="auto"/>
            </w:tcBorders>
            <w:shd w:val="clear" w:color="000000" w:fill="C6E0B4"/>
            <w:textDirection w:val="tbRl"/>
            <w:vAlign w:val="center"/>
            <w:hideMark/>
          </w:tcPr>
          <w:p w:rsidR="00E0664B" w:rsidRPr="00E0664B" w:rsidRDefault="00E0664B" w:rsidP="00E0664B">
            <w:pPr>
              <w:spacing w:after="0" w:line="240" w:lineRule="auto"/>
              <w:jc w:val="center"/>
              <w:rPr>
                <w:rFonts w:ascii="Calibri" w:eastAsia="Times New Roman" w:hAnsi="Calibri" w:cs="Calibri"/>
                <w:b/>
                <w:bCs/>
                <w:color w:val="000000"/>
                <w:sz w:val="18"/>
                <w:szCs w:val="18"/>
                <w:lang w:eastAsia="en-AU"/>
              </w:rPr>
            </w:pPr>
            <w:r w:rsidRPr="00E0664B">
              <w:rPr>
                <w:rFonts w:ascii="Calibri" w:eastAsia="Times New Roman" w:hAnsi="Calibri" w:cs="Calibri"/>
                <w:b/>
                <w:bCs/>
                <w:color w:val="000000"/>
                <w:sz w:val="18"/>
                <w:szCs w:val="18"/>
                <w:lang w:eastAsia="en-AU"/>
              </w:rPr>
              <w:t>Platelet Features</w:t>
            </w: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Platelet clumps</w:t>
            </w:r>
          </w:p>
        </w:tc>
        <w:tc>
          <w:tcPr>
            <w:tcW w:w="16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Inaccurate platelet count</w:t>
            </w:r>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1305"/>
        </w:trPr>
        <w:tc>
          <w:tcPr>
            <w:tcW w:w="960" w:type="dxa"/>
            <w:vMerge/>
            <w:tcBorders>
              <w:top w:val="nil"/>
              <w:left w:val="single" w:sz="4" w:space="0" w:color="auto"/>
              <w:bottom w:val="single" w:sz="4" w:space="0" w:color="auto"/>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sz w:val="18"/>
                <w:szCs w:val="18"/>
                <w:lang w:eastAsia="en-AU"/>
              </w:rPr>
            </w:pP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No significant morphological platelet abnormality</w:t>
            </w:r>
          </w:p>
        </w:tc>
        <w:tc>
          <w:tcPr>
            <w:tcW w:w="1600"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42"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683"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c>
          <w:tcPr>
            <w:tcW w:w="1585" w:type="dxa"/>
            <w:tcBorders>
              <w:top w:val="nil"/>
              <w:left w:val="nil"/>
              <w:bottom w:val="single" w:sz="4" w:space="0" w:color="auto"/>
              <w:right w:val="single" w:sz="4" w:space="0" w:color="auto"/>
            </w:tcBorders>
            <w:shd w:val="clear" w:color="auto" w:fill="auto"/>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 </w:t>
            </w:r>
          </w:p>
        </w:tc>
      </w:tr>
      <w:tr w:rsidR="00E0664B" w:rsidRPr="00E0664B" w:rsidTr="00E0664B">
        <w:trPr>
          <w:trHeight w:val="1215"/>
        </w:trPr>
        <w:tc>
          <w:tcPr>
            <w:tcW w:w="960" w:type="dxa"/>
            <w:vMerge w:val="restart"/>
            <w:tcBorders>
              <w:top w:val="nil"/>
              <w:left w:val="single" w:sz="4" w:space="0" w:color="auto"/>
              <w:bottom w:val="single" w:sz="4" w:space="0" w:color="auto"/>
              <w:right w:val="single" w:sz="4" w:space="0" w:color="auto"/>
            </w:tcBorders>
            <w:shd w:val="clear" w:color="000000" w:fill="FFE699"/>
            <w:textDirection w:val="tbRl"/>
            <w:vAlign w:val="center"/>
            <w:hideMark/>
          </w:tcPr>
          <w:p w:rsidR="00E0664B" w:rsidRPr="00E0664B" w:rsidRDefault="00E0664B" w:rsidP="00E0664B">
            <w:pPr>
              <w:spacing w:after="0" w:line="240" w:lineRule="auto"/>
              <w:jc w:val="center"/>
              <w:rPr>
                <w:rFonts w:ascii="Calibri" w:eastAsia="Times New Roman" w:hAnsi="Calibri" w:cs="Calibri"/>
                <w:b/>
                <w:bCs/>
                <w:color w:val="000000"/>
                <w:sz w:val="18"/>
                <w:szCs w:val="18"/>
                <w:lang w:eastAsia="en-AU"/>
              </w:rPr>
            </w:pPr>
            <w:r w:rsidRPr="00E0664B">
              <w:rPr>
                <w:rFonts w:ascii="Calibri" w:eastAsia="Times New Roman" w:hAnsi="Calibri" w:cs="Calibri"/>
                <w:b/>
                <w:bCs/>
                <w:color w:val="000000"/>
                <w:sz w:val="18"/>
                <w:szCs w:val="18"/>
                <w:lang w:eastAsia="en-AU"/>
              </w:rPr>
              <w:t xml:space="preserve">Primary Diagnosis </w:t>
            </w: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Acute myeloid leukemia with myelodysplasia - related changes</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MDS with excess blasts</w:t>
            </w:r>
          </w:p>
        </w:tc>
        <w:tc>
          <w:tcPr>
            <w:tcW w:w="154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BF8F00"/>
                <w:sz w:val="16"/>
                <w:szCs w:val="16"/>
                <w:lang w:eastAsia="en-AU"/>
              </w:rPr>
            </w:pPr>
            <w:r w:rsidRPr="00E0664B">
              <w:rPr>
                <w:rFonts w:ascii="Calibri" w:eastAsia="Times New Roman" w:hAnsi="Calibri" w:cs="Calibri"/>
                <w:color w:val="BF8F00"/>
                <w:sz w:val="16"/>
                <w:szCs w:val="16"/>
                <w:lang w:eastAsia="en-AU"/>
              </w:rPr>
              <w:t>Acute myeloid leukaemia with abnormal eosinophils / eosinophilia</w:t>
            </w:r>
          </w:p>
        </w:tc>
        <w:tc>
          <w:tcPr>
            <w:tcW w:w="1683"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sz w:val="16"/>
                <w:szCs w:val="16"/>
                <w:lang w:eastAsia="en-AU"/>
              </w:rPr>
            </w:pPr>
            <w:r w:rsidRPr="00E0664B">
              <w:rPr>
                <w:rFonts w:ascii="Calibri" w:eastAsia="Times New Roman" w:hAnsi="Calibri" w:cs="Calibri"/>
                <w:sz w:val="16"/>
                <w:szCs w:val="16"/>
                <w:lang w:eastAsia="en-AU"/>
              </w:rPr>
              <w:t>Myelodysplastic / myeloproliferative neoplasm in acute leukemic transformation</w:t>
            </w:r>
          </w:p>
        </w:tc>
        <w:tc>
          <w:tcPr>
            <w:tcW w:w="1585" w:type="dxa"/>
            <w:tcBorders>
              <w:top w:val="single" w:sz="4" w:space="0" w:color="9C0006"/>
              <w:left w:val="single" w:sz="4" w:space="0" w:color="9C0006"/>
              <w:bottom w:val="single" w:sz="4" w:space="0" w:color="9C0006"/>
              <w:right w:val="single" w:sz="4" w:space="0" w:color="9C0006"/>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sz w:val="16"/>
                <w:szCs w:val="16"/>
                <w:lang w:eastAsia="en-AU"/>
              </w:rPr>
            </w:pPr>
            <w:r w:rsidRPr="00E0664B">
              <w:rPr>
                <w:rFonts w:ascii="Calibri" w:eastAsia="Times New Roman" w:hAnsi="Calibri" w:cs="Calibri"/>
                <w:sz w:val="16"/>
                <w:szCs w:val="16"/>
                <w:lang w:eastAsia="en-AU"/>
              </w:rPr>
              <w:t>Myelodysplastic / myeloproliferative neoplasm in accelerated phase</w:t>
            </w:r>
          </w:p>
        </w:tc>
      </w:tr>
      <w:tr w:rsidR="00E0664B" w:rsidRPr="00E0664B" w:rsidTr="00E0664B">
        <w:trPr>
          <w:trHeight w:val="1215"/>
        </w:trPr>
        <w:tc>
          <w:tcPr>
            <w:tcW w:w="960" w:type="dxa"/>
            <w:vMerge/>
            <w:tcBorders>
              <w:top w:val="nil"/>
              <w:left w:val="single" w:sz="4" w:space="0" w:color="auto"/>
              <w:bottom w:val="single" w:sz="4" w:space="0" w:color="auto"/>
              <w:right w:val="single" w:sz="4" w:space="0" w:color="auto"/>
            </w:tcBorders>
            <w:vAlign w:val="center"/>
            <w:hideMark/>
          </w:tcPr>
          <w:p w:rsidR="00E0664B" w:rsidRPr="00E0664B" w:rsidRDefault="00E0664B" w:rsidP="00E0664B">
            <w:pPr>
              <w:spacing w:after="0" w:line="240" w:lineRule="auto"/>
              <w:rPr>
                <w:rFonts w:ascii="Calibri" w:eastAsia="Times New Roman" w:hAnsi="Calibri" w:cs="Calibri"/>
                <w:b/>
                <w:bCs/>
                <w:color w:val="000000"/>
                <w:sz w:val="18"/>
                <w:szCs w:val="18"/>
                <w:lang w:eastAsia="en-AU"/>
              </w:rPr>
            </w:pPr>
          </w:p>
        </w:tc>
        <w:tc>
          <w:tcPr>
            <w:tcW w:w="1591"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E0664B" w:rsidRPr="00E0664B" w:rsidRDefault="00E0664B" w:rsidP="00E0664B">
            <w:pPr>
              <w:spacing w:after="0" w:line="240" w:lineRule="auto"/>
              <w:jc w:val="center"/>
              <w:rPr>
                <w:rFonts w:ascii="Calibri" w:eastAsia="Times New Roman" w:hAnsi="Calibri" w:cs="Calibri"/>
                <w:color w:val="006100"/>
                <w:sz w:val="16"/>
                <w:szCs w:val="16"/>
                <w:lang w:eastAsia="en-AU"/>
              </w:rPr>
            </w:pPr>
            <w:r w:rsidRPr="00E0664B">
              <w:rPr>
                <w:rFonts w:ascii="Calibri" w:eastAsia="Times New Roman" w:hAnsi="Calibri" w:cs="Calibri"/>
                <w:color w:val="006100"/>
                <w:sz w:val="16"/>
                <w:szCs w:val="16"/>
                <w:lang w:eastAsia="en-AU"/>
              </w:rPr>
              <w:t>Acute myeloid leukaemia</w:t>
            </w:r>
          </w:p>
        </w:tc>
        <w:tc>
          <w:tcPr>
            <w:tcW w:w="1600"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E0664B" w:rsidRPr="00E0664B" w:rsidRDefault="00E0664B" w:rsidP="00E0664B">
            <w:pPr>
              <w:spacing w:after="0" w:line="240" w:lineRule="auto"/>
              <w:jc w:val="center"/>
              <w:rPr>
                <w:rFonts w:ascii="Calibri" w:eastAsia="Times New Roman" w:hAnsi="Calibri" w:cs="Calibri"/>
                <w:color w:val="9C5700"/>
                <w:sz w:val="16"/>
                <w:szCs w:val="16"/>
                <w:lang w:eastAsia="en-AU"/>
              </w:rPr>
            </w:pPr>
            <w:r w:rsidRPr="00E0664B">
              <w:rPr>
                <w:rFonts w:ascii="Calibri" w:eastAsia="Times New Roman" w:hAnsi="Calibri" w:cs="Calibri"/>
                <w:color w:val="9C5700"/>
                <w:sz w:val="16"/>
                <w:szCs w:val="16"/>
                <w:lang w:eastAsia="en-AU"/>
              </w:rPr>
              <w:t>Acute leukaemia</w:t>
            </w:r>
          </w:p>
        </w:tc>
        <w:tc>
          <w:tcPr>
            <w:tcW w:w="154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BF8F00"/>
                <w:sz w:val="16"/>
                <w:szCs w:val="16"/>
                <w:lang w:eastAsia="en-AU"/>
              </w:rPr>
            </w:pPr>
            <w:r w:rsidRPr="00E0664B">
              <w:rPr>
                <w:rFonts w:ascii="Calibri" w:eastAsia="Times New Roman" w:hAnsi="Calibri" w:cs="Calibri"/>
                <w:color w:val="BF8F00"/>
                <w:sz w:val="16"/>
                <w:szCs w:val="16"/>
                <w:lang w:eastAsia="en-AU"/>
              </w:rPr>
              <w:t>Myelodysplastic syndrome (MDS)</w:t>
            </w:r>
          </w:p>
        </w:tc>
        <w:tc>
          <w:tcPr>
            <w:tcW w:w="1683"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sz w:val="16"/>
                <w:szCs w:val="16"/>
                <w:lang w:eastAsia="en-AU"/>
              </w:rPr>
            </w:pPr>
            <w:r w:rsidRPr="00E0664B">
              <w:rPr>
                <w:rFonts w:ascii="Calibri" w:eastAsia="Times New Roman" w:hAnsi="Calibri" w:cs="Calibri"/>
                <w:sz w:val="16"/>
                <w:szCs w:val="16"/>
                <w:lang w:eastAsia="en-AU"/>
              </w:rPr>
              <w:t>Lymphoblastic leukaemia/lymphoma, NOS (Acute lymphoblastic leukaemia</w:t>
            </w:r>
          </w:p>
        </w:tc>
        <w:tc>
          <w:tcPr>
            <w:tcW w:w="1585"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E0664B" w:rsidRPr="00E0664B" w:rsidRDefault="00E0664B" w:rsidP="00E0664B">
            <w:pPr>
              <w:spacing w:after="0" w:line="240" w:lineRule="auto"/>
              <w:jc w:val="center"/>
              <w:rPr>
                <w:rFonts w:ascii="Calibri" w:eastAsia="Times New Roman" w:hAnsi="Calibri" w:cs="Calibri"/>
                <w:color w:val="000000"/>
                <w:sz w:val="16"/>
                <w:szCs w:val="16"/>
                <w:lang w:eastAsia="en-AU"/>
              </w:rPr>
            </w:pPr>
            <w:r w:rsidRPr="00E0664B">
              <w:rPr>
                <w:rFonts w:ascii="Calibri" w:eastAsia="Times New Roman" w:hAnsi="Calibri" w:cs="Calibri"/>
                <w:color w:val="000000"/>
                <w:sz w:val="16"/>
                <w:szCs w:val="16"/>
                <w:lang w:eastAsia="en-AU"/>
              </w:rPr>
              <w:t>Myelodysplastic syndrome, unclassifiable</w:t>
            </w:r>
          </w:p>
        </w:tc>
      </w:tr>
    </w:tbl>
    <w:p w:rsidR="00E0664B" w:rsidRDefault="00E0664B">
      <w:pPr>
        <w:rPr>
          <w:noProof/>
        </w:rPr>
      </w:pPr>
    </w:p>
    <w:tbl>
      <w:tblPr>
        <w:tblW w:w="7600" w:type="dxa"/>
        <w:tblLook w:val="04A0" w:firstRow="1" w:lastRow="0" w:firstColumn="1" w:lastColumn="0" w:noHBand="0" w:noVBand="1"/>
      </w:tblPr>
      <w:tblGrid>
        <w:gridCol w:w="1520"/>
        <w:gridCol w:w="1520"/>
        <w:gridCol w:w="1520"/>
        <w:gridCol w:w="1520"/>
        <w:gridCol w:w="1520"/>
      </w:tblGrid>
      <w:tr w:rsidR="00E0664B" w:rsidRPr="002E1AF0" w:rsidTr="0051099E">
        <w:trPr>
          <w:trHeight w:val="780"/>
        </w:trPr>
        <w:tc>
          <w:tcPr>
            <w:tcW w:w="152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E0664B" w:rsidRPr="002E1AF0" w:rsidRDefault="00E0664B" w:rsidP="0051099E">
            <w:pPr>
              <w:spacing w:after="0" w:line="240" w:lineRule="auto"/>
              <w:jc w:val="center"/>
              <w:rPr>
                <w:rFonts w:ascii="Calibri" w:eastAsia="Times New Roman" w:hAnsi="Calibri" w:cs="Calibri"/>
                <w:color w:val="006100"/>
                <w:sz w:val="20"/>
                <w:szCs w:val="20"/>
                <w:lang w:eastAsia="en-AU"/>
              </w:rPr>
            </w:pPr>
            <w:r w:rsidRPr="002E1AF0">
              <w:rPr>
                <w:rFonts w:ascii="Calibri" w:eastAsia="Times New Roman" w:hAnsi="Calibri" w:cs="Calibri"/>
                <w:color w:val="006100"/>
                <w:sz w:val="20"/>
                <w:szCs w:val="20"/>
                <w:lang w:eastAsia="en-AU"/>
              </w:rPr>
              <w:t>High scoring response</w:t>
            </w:r>
          </w:p>
        </w:tc>
        <w:tc>
          <w:tcPr>
            <w:tcW w:w="152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E0664B" w:rsidRPr="002E1AF0" w:rsidRDefault="00E0664B" w:rsidP="0051099E">
            <w:pPr>
              <w:spacing w:after="0" w:line="240" w:lineRule="auto"/>
              <w:jc w:val="center"/>
              <w:rPr>
                <w:rFonts w:ascii="Calibri" w:eastAsia="Times New Roman" w:hAnsi="Calibri" w:cs="Calibri"/>
                <w:color w:val="9C5700"/>
                <w:sz w:val="20"/>
                <w:szCs w:val="20"/>
                <w:lang w:eastAsia="en-AU"/>
              </w:rPr>
            </w:pPr>
            <w:r w:rsidRPr="002E1AF0">
              <w:rPr>
                <w:rFonts w:ascii="Calibri" w:eastAsia="Times New Roman" w:hAnsi="Calibri" w:cs="Calibri"/>
                <w:color w:val="9C5700"/>
                <w:sz w:val="20"/>
                <w:szCs w:val="20"/>
                <w:lang w:eastAsia="en-AU"/>
              </w:rPr>
              <w:t>Moderate scoring response</w:t>
            </w:r>
          </w:p>
        </w:tc>
        <w:tc>
          <w:tcPr>
            <w:tcW w:w="1520" w:type="dxa"/>
            <w:tcBorders>
              <w:top w:val="single" w:sz="8" w:space="0" w:color="auto"/>
              <w:left w:val="nil"/>
              <w:bottom w:val="single" w:sz="8" w:space="0" w:color="auto"/>
              <w:right w:val="single" w:sz="8" w:space="0" w:color="auto"/>
            </w:tcBorders>
            <w:shd w:val="clear" w:color="000000" w:fill="FFF2CC"/>
            <w:vAlign w:val="center"/>
            <w:hideMark/>
          </w:tcPr>
          <w:p w:rsidR="00E0664B" w:rsidRPr="002E1AF0" w:rsidRDefault="00E0664B" w:rsidP="0051099E">
            <w:pPr>
              <w:spacing w:after="0" w:line="240" w:lineRule="auto"/>
              <w:jc w:val="center"/>
              <w:rPr>
                <w:rFonts w:ascii="Calibri" w:eastAsia="Times New Roman" w:hAnsi="Calibri" w:cs="Calibri"/>
                <w:color w:val="BF8F00"/>
                <w:sz w:val="20"/>
                <w:szCs w:val="20"/>
                <w:lang w:eastAsia="en-AU"/>
              </w:rPr>
            </w:pPr>
            <w:r w:rsidRPr="002E1AF0">
              <w:rPr>
                <w:rFonts w:ascii="Calibri" w:eastAsia="Times New Roman" w:hAnsi="Calibri" w:cs="Calibri"/>
                <w:color w:val="BF8F00"/>
                <w:sz w:val="20"/>
                <w:szCs w:val="20"/>
                <w:lang w:eastAsia="en-AU"/>
              </w:rPr>
              <w:t xml:space="preserve">Low scoring response </w:t>
            </w:r>
          </w:p>
        </w:tc>
        <w:tc>
          <w:tcPr>
            <w:tcW w:w="152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E0664B" w:rsidRPr="002E1AF0" w:rsidRDefault="00E0664B" w:rsidP="0051099E">
            <w:pPr>
              <w:spacing w:after="0" w:line="240" w:lineRule="auto"/>
              <w:jc w:val="center"/>
              <w:rPr>
                <w:rFonts w:ascii="Calibri" w:eastAsia="Times New Roman" w:hAnsi="Calibri" w:cs="Calibri"/>
                <w:sz w:val="20"/>
                <w:szCs w:val="20"/>
                <w:lang w:eastAsia="en-AU"/>
              </w:rPr>
            </w:pPr>
            <w:r w:rsidRPr="002E1AF0">
              <w:rPr>
                <w:rFonts w:ascii="Calibri" w:eastAsia="Times New Roman" w:hAnsi="Calibri" w:cs="Calibri"/>
                <w:sz w:val="20"/>
                <w:szCs w:val="20"/>
                <w:lang w:eastAsia="en-AU"/>
              </w:rPr>
              <w:t xml:space="preserve">Lowest scoring response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E0664B" w:rsidRPr="002E1AF0" w:rsidRDefault="00E0664B" w:rsidP="0051099E">
            <w:pPr>
              <w:spacing w:after="0" w:line="240" w:lineRule="auto"/>
              <w:jc w:val="center"/>
              <w:rPr>
                <w:rFonts w:ascii="Calibri" w:eastAsia="Times New Roman" w:hAnsi="Calibri" w:cs="Calibri"/>
                <w:color w:val="000000"/>
                <w:sz w:val="20"/>
                <w:szCs w:val="20"/>
                <w:lang w:eastAsia="en-AU"/>
              </w:rPr>
            </w:pPr>
            <w:r w:rsidRPr="002E1AF0">
              <w:rPr>
                <w:rFonts w:ascii="Calibri" w:eastAsia="Times New Roman" w:hAnsi="Calibri" w:cs="Calibri"/>
                <w:color w:val="000000"/>
                <w:sz w:val="20"/>
                <w:szCs w:val="20"/>
                <w:lang w:eastAsia="en-AU"/>
              </w:rPr>
              <w:t xml:space="preserve">Response given no score </w:t>
            </w:r>
          </w:p>
        </w:tc>
      </w:tr>
    </w:tbl>
    <w:p w:rsidR="00E0664B" w:rsidRDefault="00E0664B">
      <w:pPr>
        <w:rPr>
          <w:noProof/>
        </w:rPr>
      </w:pPr>
    </w:p>
    <w:p w:rsidR="00E0664B" w:rsidRDefault="00E0664B">
      <w:pPr>
        <w:rPr>
          <w:noProof/>
        </w:rPr>
        <w:sectPr w:rsidR="00E0664B" w:rsidSect="00E0664B">
          <w:pgSz w:w="11906" w:h="16838"/>
          <w:pgMar w:top="720" w:right="720" w:bottom="720" w:left="720" w:header="708" w:footer="708" w:gutter="0"/>
          <w:cols w:space="708"/>
          <w:docGrid w:linePitch="360"/>
        </w:sectPr>
      </w:pPr>
    </w:p>
    <w:p w:rsidR="0045275C" w:rsidRDefault="0045275C">
      <w:pPr>
        <w:rPr>
          <w:b/>
          <w:sz w:val="20"/>
        </w:rPr>
      </w:pPr>
      <w:bookmarkStart w:id="0" w:name="_GoBack"/>
      <w:r>
        <w:rPr>
          <w:noProof/>
        </w:rPr>
        <w:lastRenderedPageBreak/>
        <w:drawing>
          <wp:inline distT="0" distB="0" distL="0" distR="0" wp14:anchorId="005A41E1" wp14:editId="792AAEC1">
            <wp:extent cx="9601200" cy="404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55836" cy="4071161"/>
                    </a:xfrm>
                    <a:prstGeom prst="rect">
                      <a:avLst/>
                    </a:prstGeom>
                  </pic:spPr>
                </pic:pic>
              </a:graphicData>
            </a:graphic>
          </wp:inline>
        </w:drawing>
      </w:r>
      <w:bookmarkEnd w:id="0"/>
    </w:p>
    <w:p w:rsidR="002151AE" w:rsidRDefault="0045275C">
      <w:pPr>
        <w:rPr>
          <w:b/>
          <w:sz w:val="20"/>
        </w:rPr>
      </w:pPr>
      <w:r>
        <w:rPr>
          <w:noProof/>
        </w:rPr>
        <w:lastRenderedPageBreak/>
        <w:drawing>
          <wp:inline distT="0" distB="0" distL="0" distR="0" wp14:anchorId="7518402F" wp14:editId="1E44CEF6">
            <wp:extent cx="5715000" cy="3800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000" cy="3800475"/>
                    </a:xfrm>
                    <a:prstGeom prst="rect">
                      <a:avLst/>
                    </a:prstGeom>
                  </pic:spPr>
                </pic:pic>
              </a:graphicData>
            </a:graphic>
          </wp:inline>
        </w:drawing>
      </w:r>
    </w:p>
    <w:tbl>
      <w:tblPr>
        <w:tblW w:w="4924" w:type="dxa"/>
        <w:tblInd w:w="-10" w:type="dxa"/>
        <w:tblLook w:val="04A0" w:firstRow="1" w:lastRow="0" w:firstColumn="1" w:lastColumn="0" w:noHBand="0" w:noVBand="1"/>
      </w:tblPr>
      <w:tblGrid>
        <w:gridCol w:w="1231"/>
        <w:gridCol w:w="1231"/>
        <w:gridCol w:w="1231"/>
        <w:gridCol w:w="1231"/>
      </w:tblGrid>
      <w:tr w:rsidR="002151AE" w:rsidRPr="00485C2A" w:rsidTr="0051099E">
        <w:trPr>
          <w:trHeight w:val="312"/>
        </w:trPr>
        <w:tc>
          <w:tcPr>
            <w:tcW w:w="12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CLOSED 08/09/2021</w:t>
            </w:r>
          </w:p>
        </w:tc>
        <w:tc>
          <w:tcPr>
            <w:tcW w:w="1231" w:type="dxa"/>
            <w:tcBorders>
              <w:top w:val="single" w:sz="8" w:space="0" w:color="auto"/>
              <w:left w:val="nil"/>
              <w:bottom w:val="single" w:sz="8" w:space="0" w:color="auto"/>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Submissions </w:t>
            </w:r>
          </w:p>
        </w:tc>
        <w:tc>
          <w:tcPr>
            <w:tcW w:w="123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Total</w:t>
            </w:r>
          </w:p>
        </w:tc>
        <w:tc>
          <w:tcPr>
            <w:tcW w:w="1231" w:type="dxa"/>
            <w:tcBorders>
              <w:top w:val="single" w:sz="8" w:space="0" w:color="auto"/>
              <w:left w:val="nil"/>
              <w:bottom w:val="single" w:sz="8" w:space="0" w:color="auto"/>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w:t>
            </w:r>
          </w:p>
        </w:tc>
      </w:tr>
      <w:tr w:rsidR="002151AE" w:rsidRPr="00485C2A" w:rsidTr="0051099E">
        <w:trPr>
          <w:trHeight w:val="296"/>
        </w:trPr>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All Staff</w:t>
            </w:r>
          </w:p>
        </w:tc>
        <w:tc>
          <w:tcPr>
            <w:tcW w:w="1231" w:type="dxa"/>
            <w:tcBorders>
              <w:top w:val="nil"/>
              <w:left w:val="nil"/>
              <w:bottom w:val="nil"/>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19</w:t>
            </w:r>
          </w:p>
        </w:tc>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46</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41.3</w:t>
            </w:r>
          </w:p>
        </w:tc>
      </w:tr>
      <w:tr w:rsidR="002151AE" w:rsidRPr="00485C2A" w:rsidTr="0051099E">
        <w:trPr>
          <w:trHeight w:val="400"/>
        </w:trPr>
        <w:tc>
          <w:tcPr>
            <w:tcW w:w="1231" w:type="dxa"/>
            <w:tcBorders>
              <w:top w:val="nil"/>
              <w:left w:val="single" w:sz="8" w:space="0" w:color="auto"/>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Morph Trained </w:t>
            </w:r>
          </w:p>
        </w:tc>
        <w:tc>
          <w:tcPr>
            <w:tcW w:w="1231" w:type="dxa"/>
            <w:tcBorders>
              <w:top w:val="nil"/>
              <w:left w:val="nil"/>
              <w:bottom w:val="nil"/>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tcBorders>
              <w:top w:val="nil"/>
              <w:left w:val="single" w:sz="8" w:space="0" w:color="auto"/>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22</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54.5</w:t>
            </w:r>
          </w:p>
        </w:tc>
      </w:tr>
      <w:tr w:rsidR="002151AE" w:rsidRPr="00485C2A" w:rsidTr="0051099E">
        <w:trPr>
          <w:trHeight w:val="400"/>
        </w:trPr>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Incomplete </w:t>
            </w:r>
          </w:p>
        </w:tc>
        <w:tc>
          <w:tcPr>
            <w:tcW w:w="1231" w:type="dxa"/>
            <w:tcBorders>
              <w:top w:val="nil"/>
              <w:left w:val="nil"/>
              <w:bottom w:val="nil"/>
              <w:right w:val="nil"/>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w:t>
            </w:r>
          </w:p>
        </w:tc>
        <w:tc>
          <w:tcPr>
            <w:tcW w:w="1231" w:type="dxa"/>
            <w:tcBorders>
              <w:top w:val="nil"/>
              <w:left w:val="single" w:sz="8" w:space="0" w:color="auto"/>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 </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4.3</w:t>
            </w:r>
          </w:p>
        </w:tc>
      </w:tr>
      <w:tr w:rsidR="002151AE" w:rsidRPr="00485C2A" w:rsidTr="0051099E">
        <w:trPr>
          <w:trHeight w:val="400"/>
        </w:trPr>
        <w:tc>
          <w:tcPr>
            <w:tcW w:w="1231" w:type="dxa"/>
            <w:tcBorders>
              <w:top w:val="nil"/>
              <w:left w:val="single" w:sz="8" w:space="0" w:color="auto"/>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Routine</w:t>
            </w:r>
          </w:p>
        </w:tc>
        <w:tc>
          <w:tcPr>
            <w:tcW w:w="1231" w:type="dxa"/>
            <w:tcBorders>
              <w:top w:val="nil"/>
              <w:left w:val="nil"/>
              <w:bottom w:val="nil"/>
              <w:right w:val="nil"/>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w:t>
            </w:r>
          </w:p>
        </w:tc>
        <w:tc>
          <w:tcPr>
            <w:tcW w:w="1231" w:type="dxa"/>
            <w:tcBorders>
              <w:top w:val="nil"/>
              <w:left w:val="single" w:sz="8" w:space="0" w:color="auto"/>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12</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25.0</w:t>
            </w:r>
          </w:p>
        </w:tc>
      </w:tr>
      <w:tr w:rsidR="002151AE" w:rsidRPr="00485C2A" w:rsidTr="0051099E">
        <w:trPr>
          <w:trHeight w:val="400"/>
        </w:trPr>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 xml:space="preserve">SANDY </w:t>
            </w:r>
          </w:p>
        </w:tc>
        <w:tc>
          <w:tcPr>
            <w:tcW w:w="1231" w:type="dxa"/>
            <w:tcBorders>
              <w:top w:val="nil"/>
              <w:left w:val="nil"/>
              <w:bottom w:val="nil"/>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1</w:t>
            </w:r>
          </w:p>
        </w:tc>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33.3</w:t>
            </w:r>
          </w:p>
        </w:tc>
      </w:tr>
      <w:tr w:rsidR="002151AE" w:rsidRPr="00485C2A" w:rsidTr="0051099E">
        <w:trPr>
          <w:trHeight w:val="296"/>
        </w:trPr>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CORE</w:t>
            </w:r>
          </w:p>
        </w:tc>
        <w:tc>
          <w:tcPr>
            <w:tcW w:w="1231" w:type="dxa"/>
            <w:tcBorders>
              <w:top w:val="nil"/>
              <w:left w:val="nil"/>
              <w:bottom w:val="nil"/>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3</w:t>
            </w:r>
          </w:p>
        </w:tc>
        <w:tc>
          <w:tcPr>
            <w:tcW w:w="1231" w:type="dxa"/>
            <w:tcBorders>
              <w:top w:val="nil"/>
              <w:left w:val="single" w:sz="8" w:space="0" w:color="auto"/>
              <w:bottom w:val="nil"/>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8</w:t>
            </w:r>
          </w:p>
        </w:tc>
        <w:tc>
          <w:tcPr>
            <w:tcW w:w="1231" w:type="dxa"/>
            <w:tcBorders>
              <w:top w:val="nil"/>
              <w:left w:val="nil"/>
              <w:bottom w:val="nil"/>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37.5</w:t>
            </w:r>
          </w:p>
        </w:tc>
      </w:tr>
      <w:tr w:rsidR="002151AE" w:rsidRPr="00485C2A" w:rsidTr="0051099E">
        <w:trPr>
          <w:trHeight w:val="312"/>
        </w:trPr>
        <w:tc>
          <w:tcPr>
            <w:tcW w:w="1231" w:type="dxa"/>
            <w:tcBorders>
              <w:top w:val="nil"/>
              <w:left w:val="single" w:sz="8" w:space="0" w:color="auto"/>
              <w:bottom w:val="single" w:sz="8" w:space="0" w:color="auto"/>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Flow</w:t>
            </w:r>
          </w:p>
        </w:tc>
        <w:tc>
          <w:tcPr>
            <w:tcW w:w="1231" w:type="dxa"/>
            <w:tcBorders>
              <w:top w:val="nil"/>
              <w:left w:val="nil"/>
              <w:bottom w:val="single" w:sz="8" w:space="0" w:color="auto"/>
              <w:right w:val="nil"/>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0</w:t>
            </w:r>
          </w:p>
        </w:tc>
        <w:tc>
          <w:tcPr>
            <w:tcW w:w="1231" w:type="dxa"/>
            <w:tcBorders>
              <w:top w:val="nil"/>
              <w:left w:val="single" w:sz="8" w:space="0" w:color="auto"/>
              <w:bottom w:val="single" w:sz="8" w:space="0" w:color="auto"/>
              <w:right w:val="single" w:sz="8" w:space="0" w:color="auto"/>
            </w:tcBorders>
            <w:shd w:val="clear" w:color="auto" w:fill="auto"/>
            <w:noWrap/>
            <w:vAlign w:val="bottom"/>
            <w:hideMark/>
          </w:tcPr>
          <w:p w:rsidR="002151AE" w:rsidRPr="00485C2A" w:rsidRDefault="002151AE" w:rsidP="0051099E">
            <w:pPr>
              <w:spacing w:after="0" w:line="240" w:lineRule="auto"/>
              <w:jc w:val="center"/>
              <w:rPr>
                <w:rFonts w:ascii="Calibri" w:eastAsia="Times New Roman" w:hAnsi="Calibri" w:cs="Calibri"/>
                <w:b/>
                <w:bCs/>
                <w:color w:val="000000"/>
                <w:sz w:val="16"/>
                <w:szCs w:val="20"/>
                <w:lang w:eastAsia="en-AU"/>
              </w:rPr>
            </w:pPr>
            <w:r w:rsidRPr="00485C2A">
              <w:rPr>
                <w:rFonts w:ascii="Calibri" w:eastAsia="Times New Roman" w:hAnsi="Calibri" w:cs="Calibri"/>
                <w:b/>
                <w:bCs/>
                <w:color w:val="000000"/>
                <w:sz w:val="16"/>
                <w:szCs w:val="20"/>
                <w:lang w:eastAsia="en-AU"/>
              </w:rPr>
              <w:t>6</w:t>
            </w:r>
          </w:p>
        </w:tc>
        <w:tc>
          <w:tcPr>
            <w:tcW w:w="1231" w:type="dxa"/>
            <w:tcBorders>
              <w:top w:val="nil"/>
              <w:left w:val="nil"/>
              <w:bottom w:val="single" w:sz="8" w:space="0" w:color="auto"/>
              <w:right w:val="single" w:sz="8" w:space="0" w:color="auto"/>
            </w:tcBorders>
            <w:shd w:val="clear" w:color="auto" w:fill="auto"/>
            <w:vAlign w:val="bottom"/>
            <w:hideMark/>
          </w:tcPr>
          <w:p w:rsidR="002151AE" w:rsidRPr="00485C2A" w:rsidRDefault="002151AE" w:rsidP="0051099E">
            <w:pPr>
              <w:spacing w:after="0" w:line="240" w:lineRule="auto"/>
              <w:jc w:val="center"/>
              <w:rPr>
                <w:rFonts w:ascii="Calibri" w:eastAsia="Times New Roman" w:hAnsi="Calibri" w:cs="Calibri"/>
                <w:color w:val="000000"/>
                <w:sz w:val="16"/>
                <w:szCs w:val="20"/>
                <w:lang w:eastAsia="en-AU"/>
              </w:rPr>
            </w:pPr>
            <w:r w:rsidRPr="00485C2A">
              <w:rPr>
                <w:rFonts w:ascii="Calibri" w:eastAsia="Times New Roman" w:hAnsi="Calibri" w:cs="Calibri"/>
                <w:color w:val="000000"/>
                <w:sz w:val="16"/>
                <w:szCs w:val="20"/>
                <w:lang w:eastAsia="en-AU"/>
              </w:rPr>
              <w:t>0.0</w:t>
            </w:r>
          </w:p>
        </w:tc>
      </w:tr>
    </w:tbl>
    <w:p w:rsidR="0045275C" w:rsidRDefault="0045275C">
      <w:pPr>
        <w:rPr>
          <w:b/>
          <w:sz w:val="20"/>
        </w:rPr>
      </w:pPr>
    </w:p>
    <w:p w:rsidR="0045275C" w:rsidRPr="0045275C" w:rsidRDefault="0045275C">
      <w:pPr>
        <w:rPr>
          <w:b/>
          <w:sz w:val="20"/>
        </w:rPr>
      </w:pPr>
    </w:p>
    <w:sectPr w:rsidR="0045275C" w:rsidRPr="0045275C" w:rsidSect="00E0664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64B" w:rsidRDefault="00E0664B" w:rsidP="00E0664B">
      <w:pPr>
        <w:spacing w:after="0" w:line="240" w:lineRule="auto"/>
      </w:pPr>
      <w:r>
        <w:separator/>
      </w:r>
    </w:p>
  </w:endnote>
  <w:endnote w:type="continuationSeparator" w:id="0">
    <w:p w:rsidR="00E0664B" w:rsidRDefault="00E0664B" w:rsidP="00E0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64B" w:rsidRDefault="00E0664B" w:rsidP="00E0664B">
      <w:pPr>
        <w:spacing w:after="0" w:line="240" w:lineRule="auto"/>
      </w:pPr>
      <w:r>
        <w:separator/>
      </w:r>
    </w:p>
  </w:footnote>
  <w:footnote w:type="continuationSeparator" w:id="0">
    <w:p w:rsidR="00E0664B" w:rsidRDefault="00E0664B" w:rsidP="00E066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75C"/>
    <w:rsid w:val="002151AE"/>
    <w:rsid w:val="0045275C"/>
    <w:rsid w:val="00D74FEB"/>
    <w:rsid w:val="00D820E0"/>
    <w:rsid w:val="00E066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E07F"/>
  <w15:chartTrackingRefBased/>
  <w15:docId w15:val="{0003DEE4-B6F1-4EB2-9F4C-46B96C08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64B"/>
  </w:style>
  <w:style w:type="paragraph" w:styleId="Footer">
    <w:name w:val="footer"/>
    <w:basedOn w:val="Normal"/>
    <w:link w:val="FooterChar"/>
    <w:uiPriority w:val="99"/>
    <w:unhideWhenUsed/>
    <w:rsid w:val="00E06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615262">
      <w:bodyDiv w:val="1"/>
      <w:marLeft w:val="0"/>
      <w:marRight w:val="0"/>
      <w:marTop w:val="0"/>
      <w:marBottom w:val="0"/>
      <w:divBdr>
        <w:top w:val="none" w:sz="0" w:space="0" w:color="auto"/>
        <w:left w:val="none" w:sz="0" w:space="0" w:color="auto"/>
        <w:bottom w:val="none" w:sz="0" w:space="0" w:color="auto"/>
        <w:right w:val="none" w:sz="0" w:space="0" w:color="auto"/>
      </w:divBdr>
      <w:divsChild>
        <w:div w:id="1505049711">
          <w:marLeft w:val="0"/>
          <w:marRight w:val="0"/>
          <w:marTop w:val="0"/>
          <w:marBottom w:val="0"/>
          <w:divBdr>
            <w:top w:val="none" w:sz="0" w:space="0" w:color="auto"/>
            <w:left w:val="none" w:sz="0" w:space="0" w:color="auto"/>
            <w:bottom w:val="none" w:sz="0" w:space="0" w:color="auto"/>
            <w:right w:val="none" w:sz="0" w:space="0" w:color="auto"/>
          </w:divBdr>
          <w:divsChild>
            <w:div w:id="629674741">
              <w:marLeft w:val="0"/>
              <w:marRight w:val="0"/>
              <w:marTop w:val="0"/>
              <w:marBottom w:val="0"/>
              <w:divBdr>
                <w:top w:val="none" w:sz="0" w:space="0" w:color="auto"/>
                <w:left w:val="none" w:sz="0" w:space="0" w:color="auto"/>
                <w:bottom w:val="none" w:sz="0" w:space="0" w:color="auto"/>
                <w:right w:val="none" w:sz="0" w:space="0" w:color="auto"/>
              </w:divBdr>
            </w:div>
          </w:divsChild>
        </w:div>
        <w:div w:id="1062220227">
          <w:marLeft w:val="0"/>
          <w:marRight w:val="0"/>
          <w:marTop w:val="0"/>
          <w:marBottom w:val="0"/>
          <w:divBdr>
            <w:top w:val="none" w:sz="0" w:space="0" w:color="auto"/>
            <w:left w:val="none" w:sz="0" w:space="0" w:color="auto"/>
            <w:bottom w:val="none" w:sz="0" w:space="0" w:color="auto"/>
            <w:right w:val="none" w:sz="0" w:space="0" w:color="auto"/>
          </w:divBdr>
          <w:divsChild>
            <w:div w:id="2017151309">
              <w:marLeft w:val="0"/>
              <w:marRight w:val="0"/>
              <w:marTop w:val="0"/>
              <w:marBottom w:val="0"/>
              <w:divBdr>
                <w:top w:val="none" w:sz="0" w:space="0" w:color="auto"/>
                <w:left w:val="none" w:sz="0" w:space="0" w:color="auto"/>
                <w:bottom w:val="none" w:sz="0" w:space="0" w:color="auto"/>
                <w:right w:val="none" w:sz="0" w:space="0" w:color="auto"/>
              </w:divBdr>
            </w:div>
          </w:divsChild>
        </w:div>
        <w:div w:id="1152480137">
          <w:marLeft w:val="0"/>
          <w:marRight w:val="0"/>
          <w:marTop w:val="0"/>
          <w:marBottom w:val="0"/>
          <w:divBdr>
            <w:top w:val="none" w:sz="0" w:space="0" w:color="auto"/>
            <w:left w:val="none" w:sz="0" w:space="0" w:color="auto"/>
            <w:bottom w:val="none" w:sz="0" w:space="0" w:color="auto"/>
            <w:right w:val="none" w:sz="0" w:space="0" w:color="auto"/>
          </w:divBdr>
          <w:divsChild>
            <w:div w:id="217012625">
              <w:marLeft w:val="0"/>
              <w:marRight w:val="0"/>
              <w:marTop w:val="0"/>
              <w:marBottom w:val="0"/>
              <w:divBdr>
                <w:top w:val="none" w:sz="0" w:space="0" w:color="auto"/>
                <w:left w:val="none" w:sz="0" w:space="0" w:color="auto"/>
                <w:bottom w:val="none" w:sz="0" w:space="0" w:color="auto"/>
                <w:right w:val="none" w:sz="0" w:space="0" w:color="auto"/>
              </w:divBdr>
            </w:div>
          </w:divsChild>
        </w:div>
        <w:div w:id="247621510">
          <w:marLeft w:val="0"/>
          <w:marRight w:val="0"/>
          <w:marTop w:val="0"/>
          <w:marBottom w:val="0"/>
          <w:divBdr>
            <w:top w:val="none" w:sz="0" w:space="0" w:color="auto"/>
            <w:left w:val="none" w:sz="0" w:space="0" w:color="auto"/>
            <w:bottom w:val="none" w:sz="0" w:space="0" w:color="auto"/>
            <w:right w:val="none" w:sz="0" w:space="0" w:color="auto"/>
          </w:divBdr>
          <w:divsChild>
            <w:div w:id="1816556936">
              <w:marLeft w:val="0"/>
              <w:marRight w:val="0"/>
              <w:marTop w:val="0"/>
              <w:marBottom w:val="0"/>
              <w:divBdr>
                <w:top w:val="none" w:sz="0" w:space="0" w:color="auto"/>
                <w:left w:val="none" w:sz="0" w:space="0" w:color="auto"/>
                <w:bottom w:val="none" w:sz="0" w:space="0" w:color="auto"/>
                <w:right w:val="none" w:sz="0" w:space="0" w:color="auto"/>
              </w:divBdr>
            </w:div>
          </w:divsChild>
        </w:div>
        <w:div w:id="490678804">
          <w:marLeft w:val="0"/>
          <w:marRight w:val="0"/>
          <w:marTop w:val="0"/>
          <w:marBottom w:val="0"/>
          <w:divBdr>
            <w:top w:val="none" w:sz="0" w:space="0" w:color="auto"/>
            <w:left w:val="none" w:sz="0" w:space="0" w:color="auto"/>
            <w:bottom w:val="none" w:sz="0" w:space="0" w:color="auto"/>
            <w:right w:val="none" w:sz="0" w:space="0" w:color="auto"/>
          </w:divBdr>
          <w:divsChild>
            <w:div w:id="326443835">
              <w:marLeft w:val="0"/>
              <w:marRight w:val="0"/>
              <w:marTop w:val="0"/>
              <w:marBottom w:val="0"/>
              <w:divBdr>
                <w:top w:val="none" w:sz="0" w:space="0" w:color="auto"/>
                <w:left w:val="none" w:sz="0" w:space="0" w:color="auto"/>
                <w:bottom w:val="none" w:sz="0" w:space="0" w:color="auto"/>
                <w:right w:val="none" w:sz="0" w:space="0" w:color="auto"/>
              </w:divBdr>
            </w:div>
          </w:divsChild>
        </w:div>
        <w:div w:id="1858495823">
          <w:marLeft w:val="0"/>
          <w:marRight w:val="0"/>
          <w:marTop w:val="0"/>
          <w:marBottom w:val="0"/>
          <w:divBdr>
            <w:top w:val="none" w:sz="0" w:space="0" w:color="auto"/>
            <w:left w:val="none" w:sz="0" w:space="0" w:color="auto"/>
            <w:bottom w:val="none" w:sz="0" w:space="0" w:color="auto"/>
            <w:right w:val="none" w:sz="0" w:space="0" w:color="auto"/>
          </w:divBdr>
          <w:divsChild>
            <w:div w:id="1117677111">
              <w:marLeft w:val="0"/>
              <w:marRight w:val="0"/>
              <w:marTop w:val="0"/>
              <w:marBottom w:val="0"/>
              <w:divBdr>
                <w:top w:val="none" w:sz="0" w:space="0" w:color="auto"/>
                <w:left w:val="none" w:sz="0" w:space="0" w:color="auto"/>
                <w:bottom w:val="none" w:sz="0" w:space="0" w:color="auto"/>
                <w:right w:val="none" w:sz="0" w:space="0" w:color="auto"/>
              </w:divBdr>
            </w:div>
          </w:divsChild>
        </w:div>
        <w:div w:id="2097553801">
          <w:marLeft w:val="0"/>
          <w:marRight w:val="0"/>
          <w:marTop w:val="0"/>
          <w:marBottom w:val="0"/>
          <w:divBdr>
            <w:top w:val="none" w:sz="0" w:space="0" w:color="auto"/>
            <w:left w:val="none" w:sz="0" w:space="0" w:color="auto"/>
            <w:bottom w:val="none" w:sz="0" w:space="0" w:color="auto"/>
            <w:right w:val="none" w:sz="0" w:space="0" w:color="auto"/>
          </w:divBdr>
          <w:divsChild>
            <w:div w:id="9051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1590">
      <w:bodyDiv w:val="1"/>
      <w:marLeft w:val="0"/>
      <w:marRight w:val="0"/>
      <w:marTop w:val="0"/>
      <w:marBottom w:val="0"/>
      <w:divBdr>
        <w:top w:val="none" w:sz="0" w:space="0" w:color="auto"/>
        <w:left w:val="none" w:sz="0" w:space="0" w:color="auto"/>
        <w:bottom w:val="none" w:sz="0" w:space="0" w:color="auto"/>
        <w:right w:val="none" w:sz="0" w:space="0" w:color="auto"/>
      </w:divBdr>
      <w:divsChild>
        <w:div w:id="1236088611">
          <w:marLeft w:val="0"/>
          <w:marRight w:val="0"/>
          <w:marTop w:val="0"/>
          <w:marBottom w:val="0"/>
          <w:divBdr>
            <w:top w:val="none" w:sz="0" w:space="0" w:color="auto"/>
            <w:left w:val="none" w:sz="0" w:space="0" w:color="auto"/>
            <w:bottom w:val="none" w:sz="0" w:space="0" w:color="auto"/>
            <w:right w:val="none" w:sz="0" w:space="0" w:color="auto"/>
          </w:divBdr>
          <w:divsChild>
            <w:div w:id="74254745">
              <w:marLeft w:val="0"/>
              <w:marRight w:val="0"/>
              <w:marTop w:val="0"/>
              <w:marBottom w:val="0"/>
              <w:divBdr>
                <w:top w:val="none" w:sz="0" w:space="0" w:color="auto"/>
                <w:left w:val="none" w:sz="0" w:space="0" w:color="auto"/>
                <w:bottom w:val="none" w:sz="0" w:space="0" w:color="auto"/>
                <w:right w:val="none" w:sz="0" w:space="0" w:color="auto"/>
              </w:divBdr>
            </w:div>
          </w:divsChild>
        </w:div>
        <w:div w:id="1192189297">
          <w:marLeft w:val="0"/>
          <w:marRight w:val="0"/>
          <w:marTop w:val="0"/>
          <w:marBottom w:val="0"/>
          <w:divBdr>
            <w:top w:val="none" w:sz="0" w:space="0" w:color="auto"/>
            <w:left w:val="none" w:sz="0" w:space="0" w:color="auto"/>
            <w:bottom w:val="none" w:sz="0" w:space="0" w:color="auto"/>
            <w:right w:val="none" w:sz="0" w:space="0" w:color="auto"/>
          </w:divBdr>
          <w:divsChild>
            <w:div w:id="1596358196">
              <w:marLeft w:val="0"/>
              <w:marRight w:val="0"/>
              <w:marTop w:val="0"/>
              <w:marBottom w:val="0"/>
              <w:divBdr>
                <w:top w:val="none" w:sz="0" w:space="0" w:color="auto"/>
                <w:left w:val="none" w:sz="0" w:space="0" w:color="auto"/>
                <w:bottom w:val="none" w:sz="0" w:space="0" w:color="auto"/>
                <w:right w:val="none" w:sz="0" w:space="0" w:color="auto"/>
              </w:divBdr>
            </w:div>
          </w:divsChild>
        </w:div>
        <w:div w:id="1331760052">
          <w:marLeft w:val="0"/>
          <w:marRight w:val="0"/>
          <w:marTop w:val="0"/>
          <w:marBottom w:val="0"/>
          <w:divBdr>
            <w:top w:val="none" w:sz="0" w:space="0" w:color="auto"/>
            <w:left w:val="none" w:sz="0" w:space="0" w:color="auto"/>
            <w:bottom w:val="none" w:sz="0" w:space="0" w:color="auto"/>
            <w:right w:val="none" w:sz="0" w:space="0" w:color="auto"/>
          </w:divBdr>
          <w:divsChild>
            <w:div w:id="1305431521">
              <w:marLeft w:val="0"/>
              <w:marRight w:val="0"/>
              <w:marTop w:val="0"/>
              <w:marBottom w:val="0"/>
              <w:divBdr>
                <w:top w:val="none" w:sz="0" w:space="0" w:color="auto"/>
                <w:left w:val="none" w:sz="0" w:space="0" w:color="auto"/>
                <w:bottom w:val="none" w:sz="0" w:space="0" w:color="auto"/>
                <w:right w:val="none" w:sz="0" w:space="0" w:color="auto"/>
              </w:divBdr>
            </w:div>
          </w:divsChild>
        </w:div>
        <w:div w:id="1748068409">
          <w:marLeft w:val="0"/>
          <w:marRight w:val="0"/>
          <w:marTop w:val="0"/>
          <w:marBottom w:val="0"/>
          <w:divBdr>
            <w:top w:val="none" w:sz="0" w:space="0" w:color="auto"/>
            <w:left w:val="none" w:sz="0" w:space="0" w:color="auto"/>
            <w:bottom w:val="none" w:sz="0" w:space="0" w:color="auto"/>
            <w:right w:val="none" w:sz="0" w:space="0" w:color="auto"/>
          </w:divBdr>
          <w:divsChild>
            <w:div w:id="287586577">
              <w:marLeft w:val="0"/>
              <w:marRight w:val="0"/>
              <w:marTop w:val="0"/>
              <w:marBottom w:val="0"/>
              <w:divBdr>
                <w:top w:val="none" w:sz="0" w:space="0" w:color="auto"/>
                <w:left w:val="none" w:sz="0" w:space="0" w:color="auto"/>
                <w:bottom w:val="none" w:sz="0" w:space="0" w:color="auto"/>
                <w:right w:val="none" w:sz="0" w:space="0" w:color="auto"/>
              </w:divBdr>
            </w:div>
          </w:divsChild>
        </w:div>
        <w:div w:id="513811103">
          <w:marLeft w:val="0"/>
          <w:marRight w:val="0"/>
          <w:marTop w:val="0"/>
          <w:marBottom w:val="0"/>
          <w:divBdr>
            <w:top w:val="none" w:sz="0" w:space="0" w:color="auto"/>
            <w:left w:val="none" w:sz="0" w:space="0" w:color="auto"/>
            <w:bottom w:val="none" w:sz="0" w:space="0" w:color="auto"/>
            <w:right w:val="none" w:sz="0" w:space="0" w:color="auto"/>
          </w:divBdr>
          <w:divsChild>
            <w:div w:id="1984846585">
              <w:marLeft w:val="0"/>
              <w:marRight w:val="0"/>
              <w:marTop w:val="0"/>
              <w:marBottom w:val="0"/>
              <w:divBdr>
                <w:top w:val="none" w:sz="0" w:space="0" w:color="auto"/>
                <w:left w:val="none" w:sz="0" w:space="0" w:color="auto"/>
                <w:bottom w:val="none" w:sz="0" w:space="0" w:color="auto"/>
                <w:right w:val="none" w:sz="0" w:space="0" w:color="auto"/>
              </w:divBdr>
            </w:div>
          </w:divsChild>
        </w:div>
        <w:div w:id="2013217355">
          <w:marLeft w:val="0"/>
          <w:marRight w:val="0"/>
          <w:marTop w:val="0"/>
          <w:marBottom w:val="0"/>
          <w:divBdr>
            <w:top w:val="none" w:sz="0" w:space="0" w:color="auto"/>
            <w:left w:val="none" w:sz="0" w:space="0" w:color="auto"/>
            <w:bottom w:val="none" w:sz="0" w:space="0" w:color="auto"/>
            <w:right w:val="none" w:sz="0" w:space="0" w:color="auto"/>
          </w:divBdr>
          <w:divsChild>
            <w:div w:id="1191647157">
              <w:marLeft w:val="0"/>
              <w:marRight w:val="0"/>
              <w:marTop w:val="0"/>
              <w:marBottom w:val="0"/>
              <w:divBdr>
                <w:top w:val="none" w:sz="0" w:space="0" w:color="auto"/>
                <w:left w:val="none" w:sz="0" w:space="0" w:color="auto"/>
                <w:bottom w:val="none" w:sz="0" w:space="0" w:color="auto"/>
                <w:right w:val="none" w:sz="0" w:space="0" w:color="auto"/>
              </w:divBdr>
            </w:div>
          </w:divsChild>
        </w:div>
        <w:div w:id="1369528300">
          <w:marLeft w:val="0"/>
          <w:marRight w:val="0"/>
          <w:marTop w:val="0"/>
          <w:marBottom w:val="0"/>
          <w:divBdr>
            <w:top w:val="none" w:sz="0" w:space="0" w:color="auto"/>
            <w:left w:val="none" w:sz="0" w:space="0" w:color="auto"/>
            <w:bottom w:val="none" w:sz="0" w:space="0" w:color="auto"/>
            <w:right w:val="none" w:sz="0" w:space="0" w:color="auto"/>
          </w:divBdr>
          <w:divsChild>
            <w:div w:id="1072629672">
              <w:marLeft w:val="0"/>
              <w:marRight w:val="0"/>
              <w:marTop w:val="0"/>
              <w:marBottom w:val="0"/>
              <w:divBdr>
                <w:top w:val="none" w:sz="0" w:space="0" w:color="auto"/>
                <w:left w:val="none" w:sz="0" w:space="0" w:color="auto"/>
                <w:bottom w:val="none" w:sz="0" w:space="0" w:color="auto"/>
                <w:right w:val="none" w:sz="0" w:space="0" w:color="auto"/>
              </w:divBdr>
            </w:div>
          </w:divsChild>
        </w:div>
        <w:div w:id="1432697384">
          <w:marLeft w:val="0"/>
          <w:marRight w:val="0"/>
          <w:marTop w:val="0"/>
          <w:marBottom w:val="0"/>
          <w:divBdr>
            <w:top w:val="none" w:sz="0" w:space="0" w:color="auto"/>
            <w:left w:val="none" w:sz="0" w:space="0" w:color="auto"/>
            <w:bottom w:val="none" w:sz="0" w:space="0" w:color="auto"/>
            <w:right w:val="none" w:sz="0" w:space="0" w:color="auto"/>
          </w:divBdr>
          <w:divsChild>
            <w:div w:id="525800338">
              <w:marLeft w:val="0"/>
              <w:marRight w:val="0"/>
              <w:marTop w:val="0"/>
              <w:marBottom w:val="0"/>
              <w:divBdr>
                <w:top w:val="none" w:sz="0" w:space="0" w:color="auto"/>
                <w:left w:val="none" w:sz="0" w:space="0" w:color="auto"/>
                <w:bottom w:val="none" w:sz="0" w:space="0" w:color="auto"/>
                <w:right w:val="none" w:sz="0" w:space="0" w:color="auto"/>
              </w:divBdr>
            </w:div>
          </w:divsChild>
        </w:div>
        <w:div w:id="294214272">
          <w:marLeft w:val="0"/>
          <w:marRight w:val="0"/>
          <w:marTop w:val="0"/>
          <w:marBottom w:val="0"/>
          <w:divBdr>
            <w:top w:val="none" w:sz="0" w:space="0" w:color="auto"/>
            <w:left w:val="none" w:sz="0" w:space="0" w:color="auto"/>
            <w:bottom w:val="none" w:sz="0" w:space="0" w:color="auto"/>
            <w:right w:val="none" w:sz="0" w:space="0" w:color="auto"/>
          </w:divBdr>
          <w:divsChild>
            <w:div w:id="711267113">
              <w:marLeft w:val="0"/>
              <w:marRight w:val="0"/>
              <w:marTop w:val="0"/>
              <w:marBottom w:val="0"/>
              <w:divBdr>
                <w:top w:val="none" w:sz="0" w:space="0" w:color="auto"/>
                <w:left w:val="none" w:sz="0" w:space="0" w:color="auto"/>
                <w:bottom w:val="none" w:sz="0" w:space="0" w:color="auto"/>
                <w:right w:val="none" w:sz="0" w:space="0" w:color="auto"/>
              </w:divBdr>
            </w:div>
          </w:divsChild>
        </w:div>
        <w:div w:id="249702708">
          <w:marLeft w:val="0"/>
          <w:marRight w:val="0"/>
          <w:marTop w:val="0"/>
          <w:marBottom w:val="0"/>
          <w:divBdr>
            <w:top w:val="none" w:sz="0" w:space="0" w:color="auto"/>
            <w:left w:val="none" w:sz="0" w:space="0" w:color="auto"/>
            <w:bottom w:val="none" w:sz="0" w:space="0" w:color="auto"/>
            <w:right w:val="none" w:sz="0" w:space="0" w:color="auto"/>
          </w:divBdr>
          <w:divsChild>
            <w:div w:id="21131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00130">
      <w:bodyDiv w:val="1"/>
      <w:marLeft w:val="0"/>
      <w:marRight w:val="0"/>
      <w:marTop w:val="0"/>
      <w:marBottom w:val="0"/>
      <w:divBdr>
        <w:top w:val="none" w:sz="0" w:space="0" w:color="auto"/>
        <w:left w:val="none" w:sz="0" w:space="0" w:color="auto"/>
        <w:bottom w:val="none" w:sz="0" w:space="0" w:color="auto"/>
        <w:right w:val="none" w:sz="0" w:space="0" w:color="auto"/>
      </w:divBdr>
      <w:divsChild>
        <w:div w:id="217056255">
          <w:marLeft w:val="0"/>
          <w:marRight w:val="0"/>
          <w:marTop w:val="0"/>
          <w:marBottom w:val="0"/>
          <w:divBdr>
            <w:top w:val="none" w:sz="0" w:space="0" w:color="auto"/>
            <w:left w:val="none" w:sz="0" w:space="0" w:color="auto"/>
            <w:bottom w:val="none" w:sz="0" w:space="0" w:color="auto"/>
            <w:right w:val="none" w:sz="0" w:space="0" w:color="auto"/>
          </w:divBdr>
          <w:divsChild>
            <w:div w:id="1039477676">
              <w:marLeft w:val="0"/>
              <w:marRight w:val="0"/>
              <w:marTop w:val="0"/>
              <w:marBottom w:val="0"/>
              <w:divBdr>
                <w:top w:val="none" w:sz="0" w:space="0" w:color="auto"/>
                <w:left w:val="none" w:sz="0" w:space="0" w:color="auto"/>
                <w:bottom w:val="none" w:sz="0" w:space="0" w:color="auto"/>
                <w:right w:val="none" w:sz="0" w:space="0" w:color="auto"/>
              </w:divBdr>
            </w:div>
          </w:divsChild>
        </w:div>
        <w:div w:id="1312519178">
          <w:marLeft w:val="0"/>
          <w:marRight w:val="0"/>
          <w:marTop w:val="0"/>
          <w:marBottom w:val="0"/>
          <w:divBdr>
            <w:top w:val="none" w:sz="0" w:space="0" w:color="auto"/>
            <w:left w:val="none" w:sz="0" w:space="0" w:color="auto"/>
            <w:bottom w:val="none" w:sz="0" w:space="0" w:color="auto"/>
            <w:right w:val="none" w:sz="0" w:space="0" w:color="auto"/>
          </w:divBdr>
          <w:divsChild>
            <w:div w:id="1417744334">
              <w:marLeft w:val="0"/>
              <w:marRight w:val="0"/>
              <w:marTop w:val="0"/>
              <w:marBottom w:val="0"/>
              <w:divBdr>
                <w:top w:val="none" w:sz="0" w:space="0" w:color="auto"/>
                <w:left w:val="none" w:sz="0" w:space="0" w:color="auto"/>
                <w:bottom w:val="none" w:sz="0" w:space="0" w:color="auto"/>
                <w:right w:val="none" w:sz="0" w:space="0" w:color="auto"/>
              </w:divBdr>
            </w:div>
          </w:divsChild>
        </w:div>
        <w:div w:id="2143842850">
          <w:marLeft w:val="0"/>
          <w:marRight w:val="0"/>
          <w:marTop w:val="0"/>
          <w:marBottom w:val="0"/>
          <w:divBdr>
            <w:top w:val="none" w:sz="0" w:space="0" w:color="auto"/>
            <w:left w:val="none" w:sz="0" w:space="0" w:color="auto"/>
            <w:bottom w:val="none" w:sz="0" w:space="0" w:color="auto"/>
            <w:right w:val="none" w:sz="0" w:space="0" w:color="auto"/>
          </w:divBdr>
          <w:divsChild>
            <w:div w:id="1463188025">
              <w:marLeft w:val="0"/>
              <w:marRight w:val="0"/>
              <w:marTop w:val="0"/>
              <w:marBottom w:val="0"/>
              <w:divBdr>
                <w:top w:val="none" w:sz="0" w:space="0" w:color="auto"/>
                <w:left w:val="none" w:sz="0" w:space="0" w:color="auto"/>
                <w:bottom w:val="none" w:sz="0" w:space="0" w:color="auto"/>
                <w:right w:val="none" w:sz="0" w:space="0" w:color="auto"/>
              </w:divBdr>
            </w:div>
          </w:divsChild>
        </w:div>
        <w:div w:id="1232810372">
          <w:marLeft w:val="0"/>
          <w:marRight w:val="0"/>
          <w:marTop w:val="0"/>
          <w:marBottom w:val="0"/>
          <w:divBdr>
            <w:top w:val="none" w:sz="0" w:space="0" w:color="auto"/>
            <w:left w:val="none" w:sz="0" w:space="0" w:color="auto"/>
            <w:bottom w:val="none" w:sz="0" w:space="0" w:color="auto"/>
            <w:right w:val="none" w:sz="0" w:space="0" w:color="auto"/>
          </w:divBdr>
          <w:divsChild>
            <w:div w:id="731659654">
              <w:marLeft w:val="0"/>
              <w:marRight w:val="0"/>
              <w:marTop w:val="0"/>
              <w:marBottom w:val="0"/>
              <w:divBdr>
                <w:top w:val="none" w:sz="0" w:space="0" w:color="auto"/>
                <w:left w:val="none" w:sz="0" w:space="0" w:color="auto"/>
                <w:bottom w:val="none" w:sz="0" w:space="0" w:color="auto"/>
                <w:right w:val="none" w:sz="0" w:space="0" w:color="auto"/>
              </w:divBdr>
            </w:div>
          </w:divsChild>
        </w:div>
        <w:div w:id="1317220104">
          <w:marLeft w:val="0"/>
          <w:marRight w:val="0"/>
          <w:marTop w:val="0"/>
          <w:marBottom w:val="0"/>
          <w:divBdr>
            <w:top w:val="none" w:sz="0" w:space="0" w:color="auto"/>
            <w:left w:val="none" w:sz="0" w:space="0" w:color="auto"/>
            <w:bottom w:val="none" w:sz="0" w:space="0" w:color="auto"/>
            <w:right w:val="none" w:sz="0" w:space="0" w:color="auto"/>
          </w:divBdr>
          <w:divsChild>
            <w:div w:id="457066773">
              <w:marLeft w:val="0"/>
              <w:marRight w:val="0"/>
              <w:marTop w:val="0"/>
              <w:marBottom w:val="0"/>
              <w:divBdr>
                <w:top w:val="none" w:sz="0" w:space="0" w:color="auto"/>
                <w:left w:val="none" w:sz="0" w:space="0" w:color="auto"/>
                <w:bottom w:val="none" w:sz="0" w:space="0" w:color="auto"/>
                <w:right w:val="none" w:sz="0" w:space="0" w:color="auto"/>
              </w:divBdr>
            </w:div>
          </w:divsChild>
        </w:div>
        <w:div w:id="1750803823">
          <w:marLeft w:val="0"/>
          <w:marRight w:val="0"/>
          <w:marTop w:val="0"/>
          <w:marBottom w:val="0"/>
          <w:divBdr>
            <w:top w:val="none" w:sz="0" w:space="0" w:color="auto"/>
            <w:left w:val="none" w:sz="0" w:space="0" w:color="auto"/>
            <w:bottom w:val="none" w:sz="0" w:space="0" w:color="auto"/>
            <w:right w:val="none" w:sz="0" w:space="0" w:color="auto"/>
          </w:divBdr>
          <w:divsChild>
            <w:div w:id="1295327444">
              <w:marLeft w:val="0"/>
              <w:marRight w:val="0"/>
              <w:marTop w:val="0"/>
              <w:marBottom w:val="0"/>
              <w:divBdr>
                <w:top w:val="none" w:sz="0" w:space="0" w:color="auto"/>
                <w:left w:val="none" w:sz="0" w:space="0" w:color="auto"/>
                <w:bottom w:val="none" w:sz="0" w:space="0" w:color="auto"/>
                <w:right w:val="none" w:sz="0" w:space="0" w:color="auto"/>
              </w:divBdr>
            </w:div>
          </w:divsChild>
        </w:div>
        <w:div w:id="1847861290">
          <w:marLeft w:val="0"/>
          <w:marRight w:val="0"/>
          <w:marTop w:val="0"/>
          <w:marBottom w:val="0"/>
          <w:divBdr>
            <w:top w:val="none" w:sz="0" w:space="0" w:color="auto"/>
            <w:left w:val="none" w:sz="0" w:space="0" w:color="auto"/>
            <w:bottom w:val="none" w:sz="0" w:space="0" w:color="auto"/>
            <w:right w:val="none" w:sz="0" w:space="0" w:color="auto"/>
          </w:divBdr>
          <w:divsChild>
            <w:div w:id="855311546">
              <w:marLeft w:val="0"/>
              <w:marRight w:val="0"/>
              <w:marTop w:val="0"/>
              <w:marBottom w:val="0"/>
              <w:divBdr>
                <w:top w:val="none" w:sz="0" w:space="0" w:color="auto"/>
                <w:left w:val="none" w:sz="0" w:space="0" w:color="auto"/>
                <w:bottom w:val="none" w:sz="0" w:space="0" w:color="auto"/>
                <w:right w:val="none" w:sz="0" w:space="0" w:color="auto"/>
              </w:divBdr>
            </w:div>
          </w:divsChild>
        </w:div>
        <w:div w:id="1746998918">
          <w:marLeft w:val="0"/>
          <w:marRight w:val="0"/>
          <w:marTop w:val="0"/>
          <w:marBottom w:val="0"/>
          <w:divBdr>
            <w:top w:val="none" w:sz="0" w:space="0" w:color="auto"/>
            <w:left w:val="none" w:sz="0" w:space="0" w:color="auto"/>
            <w:bottom w:val="none" w:sz="0" w:space="0" w:color="auto"/>
            <w:right w:val="none" w:sz="0" w:space="0" w:color="auto"/>
          </w:divBdr>
          <w:divsChild>
            <w:div w:id="2024240349">
              <w:marLeft w:val="0"/>
              <w:marRight w:val="0"/>
              <w:marTop w:val="0"/>
              <w:marBottom w:val="0"/>
              <w:divBdr>
                <w:top w:val="none" w:sz="0" w:space="0" w:color="auto"/>
                <w:left w:val="none" w:sz="0" w:space="0" w:color="auto"/>
                <w:bottom w:val="none" w:sz="0" w:space="0" w:color="auto"/>
                <w:right w:val="none" w:sz="0" w:space="0" w:color="auto"/>
              </w:divBdr>
            </w:div>
          </w:divsChild>
        </w:div>
        <w:div w:id="674186933">
          <w:marLeft w:val="0"/>
          <w:marRight w:val="0"/>
          <w:marTop w:val="0"/>
          <w:marBottom w:val="0"/>
          <w:divBdr>
            <w:top w:val="none" w:sz="0" w:space="0" w:color="auto"/>
            <w:left w:val="none" w:sz="0" w:space="0" w:color="auto"/>
            <w:bottom w:val="none" w:sz="0" w:space="0" w:color="auto"/>
            <w:right w:val="none" w:sz="0" w:space="0" w:color="auto"/>
          </w:divBdr>
          <w:divsChild>
            <w:div w:id="601111650">
              <w:marLeft w:val="0"/>
              <w:marRight w:val="0"/>
              <w:marTop w:val="0"/>
              <w:marBottom w:val="0"/>
              <w:divBdr>
                <w:top w:val="none" w:sz="0" w:space="0" w:color="auto"/>
                <w:left w:val="none" w:sz="0" w:space="0" w:color="auto"/>
                <w:bottom w:val="none" w:sz="0" w:space="0" w:color="auto"/>
                <w:right w:val="none" w:sz="0" w:space="0" w:color="auto"/>
              </w:divBdr>
            </w:div>
          </w:divsChild>
        </w:div>
        <w:div w:id="918518608">
          <w:marLeft w:val="0"/>
          <w:marRight w:val="0"/>
          <w:marTop w:val="0"/>
          <w:marBottom w:val="0"/>
          <w:divBdr>
            <w:top w:val="none" w:sz="0" w:space="0" w:color="auto"/>
            <w:left w:val="none" w:sz="0" w:space="0" w:color="auto"/>
            <w:bottom w:val="none" w:sz="0" w:space="0" w:color="auto"/>
            <w:right w:val="none" w:sz="0" w:space="0" w:color="auto"/>
          </w:divBdr>
          <w:divsChild>
            <w:div w:id="7585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03286">
      <w:bodyDiv w:val="1"/>
      <w:marLeft w:val="0"/>
      <w:marRight w:val="0"/>
      <w:marTop w:val="0"/>
      <w:marBottom w:val="0"/>
      <w:divBdr>
        <w:top w:val="none" w:sz="0" w:space="0" w:color="auto"/>
        <w:left w:val="none" w:sz="0" w:space="0" w:color="auto"/>
        <w:bottom w:val="none" w:sz="0" w:space="0" w:color="auto"/>
        <w:right w:val="none" w:sz="0" w:space="0" w:color="auto"/>
      </w:divBdr>
      <w:divsChild>
        <w:div w:id="1278101125">
          <w:marLeft w:val="0"/>
          <w:marRight w:val="0"/>
          <w:marTop w:val="0"/>
          <w:marBottom w:val="0"/>
          <w:divBdr>
            <w:top w:val="none" w:sz="0" w:space="0" w:color="auto"/>
            <w:left w:val="none" w:sz="0" w:space="0" w:color="auto"/>
            <w:bottom w:val="none" w:sz="0" w:space="0" w:color="auto"/>
            <w:right w:val="none" w:sz="0" w:space="0" w:color="auto"/>
          </w:divBdr>
          <w:divsChild>
            <w:div w:id="1128627371">
              <w:marLeft w:val="0"/>
              <w:marRight w:val="0"/>
              <w:marTop w:val="0"/>
              <w:marBottom w:val="0"/>
              <w:divBdr>
                <w:top w:val="none" w:sz="0" w:space="0" w:color="auto"/>
                <w:left w:val="none" w:sz="0" w:space="0" w:color="auto"/>
                <w:bottom w:val="none" w:sz="0" w:space="0" w:color="auto"/>
                <w:right w:val="none" w:sz="0" w:space="0" w:color="auto"/>
              </w:divBdr>
            </w:div>
          </w:divsChild>
        </w:div>
        <w:div w:id="1886403172">
          <w:marLeft w:val="0"/>
          <w:marRight w:val="0"/>
          <w:marTop w:val="0"/>
          <w:marBottom w:val="0"/>
          <w:divBdr>
            <w:top w:val="none" w:sz="0" w:space="0" w:color="auto"/>
            <w:left w:val="none" w:sz="0" w:space="0" w:color="auto"/>
            <w:bottom w:val="none" w:sz="0" w:space="0" w:color="auto"/>
            <w:right w:val="none" w:sz="0" w:space="0" w:color="auto"/>
          </w:divBdr>
          <w:divsChild>
            <w:div w:id="2059669004">
              <w:marLeft w:val="0"/>
              <w:marRight w:val="0"/>
              <w:marTop w:val="0"/>
              <w:marBottom w:val="0"/>
              <w:divBdr>
                <w:top w:val="none" w:sz="0" w:space="0" w:color="auto"/>
                <w:left w:val="none" w:sz="0" w:space="0" w:color="auto"/>
                <w:bottom w:val="none" w:sz="0" w:space="0" w:color="auto"/>
                <w:right w:val="none" w:sz="0" w:space="0" w:color="auto"/>
              </w:divBdr>
            </w:div>
          </w:divsChild>
        </w:div>
        <w:div w:id="1659651673">
          <w:marLeft w:val="0"/>
          <w:marRight w:val="0"/>
          <w:marTop w:val="0"/>
          <w:marBottom w:val="0"/>
          <w:divBdr>
            <w:top w:val="none" w:sz="0" w:space="0" w:color="auto"/>
            <w:left w:val="none" w:sz="0" w:space="0" w:color="auto"/>
            <w:bottom w:val="none" w:sz="0" w:space="0" w:color="auto"/>
            <w:right w:val="none" w:sz="0" w:space="0" w:color="auto"/>
          </w:divBdr>
          <w:divsChild>
            <w:div w:id="793519299">
              <w:marLeft w:val="0"/>
              <w:marRight w:val="0"/>
              <w:marTop w:val="0"/>
              <w:marBottom w:val="0"/>
              <w:divBdr>
                <w:top w:val="none" w:sz="0" w:space="0" w:color="auto"/>
                <w:left w:val="none" w:sz="0" w:space="0" w:color="auto"/>
                <w:bottom w:val="none" w:sz="0" w:space="0" w:color="auto"/>
                <w:right w:val="none" w:sz="0" w:space="0" w:color="auto"/>
              </w:divBdr>
            </w:div>
          </w:divsChild>
        </w:div>
        <w:div w:id="780615620">
          <w:marLeft w:val="0"/>
          <w:marRight w:val="0"/>
          <w:marTop w:val="0"/>
          <w:marBottom w:val="0"/>
          <w:divBdr>
            <w:top w:val="none" w:sz="0" w:space="0" w:color="auto"/>
            <w:left w:val="none" w:sz="0" w:space="0" w:color="auto"/>
            <w:bottom w:val="none" w:sz="0" w:space="0" w:color="auto"/>
            <w:right w:val="none" w:sz="0" w:space="0" w:color="auto"/>
          </w:divBdr>
          <w:divsChild>
            <w:div w:id="1927835287">
              <w:marLeft w:val="0"/>
              <w:marRight w:val="0"/>
              <w:marTop w:val="0"/>
              <w:marBottom w:val="0"/>
              <w:divBdr>
                <w:top w:val="none" w:sz="0" w:space="0" w:color="auto"/>
                <w:left w:val="none" w:sz="0" w:space="0" w:color="auto"/>
                <w:bottom w:val="none" w:sz="0" w:space="0" w:color="auto"/>
                <w:right w:val="none" w:sz="0" w:space="0" w:color="auto"/>
              </w:divBdr>
            </w:div>
          </w:divsChild>
        </w:div>
        <w:div w:id="1755200860">
          <w:marLeft w:val="0"/>
          <w:marRight w:val="0"/>
          <w:marTop w:val="0"/>
          <w:marBottom w:val="0"/>
          <w:divBdr>
            <w:top w:val="none" w:sz="0" w:space="0" w:color="auto"/>
            <w:left w:val="none" w:sz="0" w:space="0" w:color="auto"/>
            <w:bottom w:val="none" w:sz="0" w:space="0" w:color="auto"/>
            <w:right w:val="none" w:sz="0" w:space="0" w:color="auto"/>
          </w:divBdr>
          <w:divsChild>
            <w:div w:id="1741053694">
              <w:marLeft w:val="0"/>
              <w:marRight w:val="0"/>
              <w:marTop w:val="0"/>
              <w:marBottom w:val="0"/>
              <w:divBdr>
                <w:top w:val="none" w:sz="0" w:space="0" w:color="auto"/>
                <w:left w:val="none" w:sz="0" w:space="0" w:color="auto"/>
                <w:bottom w:val="none" w:sz="0" w:space="0" w:color="auto"/>
                <w:right w:val="none" w:sz="0" w:space="0" w:color="auto"/>
              </w:divBdr>
            </w:div>
          </w:divsChild>
        </w:div>
        <w:div w:id="1111128227">
          <w:marLeft w:val="0"/>
          <w:marRight w:val="0"/>
          <w:marTop w:val="0"/>
          <w:marBottom w:val="0"/>
          <w:divBdr>
            <w:top w:val="none" w:sz="0" w:space="0" w:color="auto"/>
            <w:left w:val="none" w:sz="0" w:space="0" w:color="auto"/>
            <w:bottom w:val="none" w:sz="0" w:space="0" w:color="auto"/>
            <w:right w:val="none" w:sz="0" w:space="0" w:color="auto"/>
          </w:divBdr>
          <w:divsChild>
            <w:div w:id="455946535">
              <w:marLeft w:val="0"/>
              <w:marRight w:val="0"/>
              <w:marTop w:val="0"/>
              <w:marBottom w:val="0"/>
              <w:divBdr>
                <w:top w:val="none" w:sz="0" w:space="0" w:color="auto"/>
                <w:left w:val="none" w:sz="0" w:space="0" w:color="auto"/>
                <w:bottom w:val="none" w:sz="0" w:space="0" w:color="auto"/>
                <w:right w:val="none" w:sz="0" w:space="0" w:color="auto"/>
              </w:divBdr>
            </w:div>
          </w:divsChild>
        </w:div>
        <w:div w:id="1470975823">
          <w:marLeft w:val="0"/>
          <w:marRight w:val="0"/>
          <w:marTop w:val="0"/>
          <w:marBottom w:val="0"/>
          <w:divBdr>
            <w:top w:val="none" w:sz="0" w:space="0" w:color="auto"/>
            <w:left w:val="none" w:sz="0" w:space="0" w:color="auto"/>
            <w:bottom w:val="none" w:sz="0" w:space="0" w:color="auto"/>
            <w:right w:val="none" w:sz="0" w:space="0" w:color="auto"/>
          </w:divBdr>
          <w:divsChild>
            <w:div w:id="897546924">
              <w:marLeft w:val="0"/>
              <w:marRight w:val="0"/>
              <w:marTop w:val="0"/>
              <w:marBottom w:val="0"/>
              <w:divBdr>
                <w:top w:val="none" w:sz="0" w:space="0" w:color="auto"/>
                <w:left w:val="none" w:sz="0" w:space="0" w:color="auto"/>
                <w:bottom w:val="none" w:sz="0" w:space="0" w:color="auto"/>
                <w:right w:val="none" w:sz="0" w:space="0" w:color="auto"/>
              </w:divBdr>
            </w:div>
          </w:divsChild>
        </w:div>
        <w:div w:id="847016338">
          <w:marLeft w:val="0"/>
          <w:marRight w:val="0"/>
          <w:marTop w:val="0"/>
          <w:marBottom w:val="0"/>
          <w:divBdr>
            <w:top w:val="none" w:sz="0" w:space="0" w:color="auto"/>
            <w:left w:val="none" w:sz="0" w:space="0" w:color="auto"/>
            <w:bottom w:val="none" w:sz="0" w:space="0" w:color="auto"/>
            <w:right w:val="none" w:sz="0" w:space="0" w:color="auto"/>
          </w:divBdr>
          <w:divsChild>
            <w:div w:id="830022873">
              <w:marLeft w:val="0"/>
              <w:marRight w:val="0"/>
              <w:marTop w:val="0"/>
              <w:marBottom w:val="0"/>
              <w:divBdr>
                <w:top w:val="none" w:sz="0" w:space="0" w:color="auto"/>
                <w:left w:val="none" w:sz="0" w:space="0" w:color="auto"/>
                <w:bottom w:val="none" w:sz="0" w:space="0" w:color="auto"/>
                <w:right w:val="none" w:sz="0" w:space="0" w:color="auto"/>
              </w:divBdr>
            </w:div>
          </w:divsChild>
        </w:div>
        <w:div w:id="744032497">
          <w:marLeft w:val="0"/>
          <w:marRight w:val="0"/>
          <w:marTop w:val="0"/>
          <w:marBottom w:val="0"/>
          <w:divBdr>
            <w:top w:val="none" w:sz="0" w:space="0" w:color="auto"/>
            <w:left w:val="none" w:sz="0" w:space="0" w:color="auto"/>
            <w:bottom w:val="none" w:sz="0" w:space="0" w:color="auto"/>
            <w:right w:val="none" w:sz="0" w:space="0" w:color="auto"/>
          </w:divBdr>
          <w:divsChild>
            <w:div w:id="370109589">
              <w:marLeft w:val="0"/>
              <w:marRight w:val="0"/>
              <w:marTop w:val="0"/>
              <w:marBottom w:val="0"/>
              <w:divBdr>
                <w:top w:val="none" w:sz="0" w:space="0" w:color="auto"/>
                <w:left w:val="none" w:sz="0" w:space="0" w:color="auto"/>
                <w:bottom w:val="none" w:sz="0" w:space="0" w:color="auto"/>
                <w:right w:val="none" w:sz="0" w:space="0" w:color="auto"/>
              </w:divBdr>
            </w:div>
          </w:divsChild>
        </w:div>
        <w:div w:id="1923028762">
          <w:marLeft w:val="0"/>
          <w:marRight w:val="0"/>
          <w:marTop w:val="0"/>
          <w:marBottom w:val="0"/>
          <w:divBdr>
            <w:top w:val="none" w:sz="0" w:space="0" w:color="auto"/>
            <w:left w:val="none" w:sz="0" w:space="0" w:color="auto"/>
            <w:bottom w:val="none" w:sz="0" w:space="0" w:color="auto"/>
            <w:right w:val="none" w:sz="0" w:space="0" w:color="auto"/>
          </w:divBdr>
          <w:divsChild>
            <w:div w:id="1775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82494">
      <w:bodyDiv w:val="1"/>
      <w:marLeft w:val="0"/>
      <w:marRight w:val="0"/>
      <w:marTop w:val="0"/>
      <w:marBottom w:val="0"/>
      <w:divBdr>
        <w:top w:val="none" w:sz="0" w:space="0" w:color="auto"/>
        <w:left w:val="none" w:sz="0" w:space="0" w:color="auto"/>
        <w:bottom w:val="none" w:sz="0" w:space="0" w:color="auto"/>
        <w:right w:val="none" w:sz="0" w:space="0" w:color="auto"/>
      </w:divBdr>
      <w:divsChild>
        <w:div w:id="1222669359">
          <w:marLeft w:val="0"/>
          <w:marRight w:val="0"/>
          <w:marTop w:val="0"/>
          <w:marBottom w:val="0"/>
          <w:divBdr>
            <w:top w:val="none" w:sz="0" w:space="0" w:color="auto"/>
            <w:left w:val="none" w:sz="0" w:space="0" w:color="auto"/>
            <w:bottom w:val="none" w:sz="0" w:space="0" w:color="auto"/>
            <w:right w:val="none" w:sz="0" w:space="0" w:color="auto"/>
          </w:divBdr>
          <w:divsChild>
            <w:div w:id="1807157133">
              <w:marLeft w:val="0"/>
              <w:marRight w:val="0"/>
              <w:marTop w:val="0"/>
              <w:marBottom w:val="0"/>
              <w:divBdr>
                <w:top w:val="none" w:sz="0" w:space="0" w:color="auto"/>
                <w:left w:val="none" w:sz="0" w:space="0" w:color="auto"/>
                <w:bottom w:val="none" w:sz="0" w:space="0" w:color="auto"/>
                <w:right w:val="none" w:sz="0" w:space="0" w:color="auto"/>
              </w:divBdr>
            </w:div>
          </w:divsChild>
        </w:div>
        <w:div w:id="1976056715">
          <w:marLeft w:val="0"/>
          <w:marRight w:val="0"/>
          <w:marTop w:val="0"/>
          <w:marBottom w:val="0"/>
          <w:divBdr>
            <w:top w:val="none" w:sz="0" w:space="0" w:color="auto"/>
            <w:left w:val="none" w:sz="0" w:space="0" w:color="auto"/>
            <w:bottom w:val="none" w:sz="0" w:space="0" w:color="auto"/>
            <w:right w:val="none" w:sz="0" w:space="0" w:color="auto"/>
          </w:divBdr>
          <w:divsChild>
            <w:div w:id="1582058131">
              <w:marLeft w:val="0"/>
              <w:marRight w:val="0"/>
              <w:marTop w:val="0"/>
              <w:marBottom w:val="0"/>
              <w:divBdr>
                <w:top w:val="none" w:sz="0" w:space="0" w:color="auto"/>
                <w:left w:val="none" w:sz="0" w:space="0" w:color="auto"/>
                <w:bottom w:val="none" w:sz="0" w:space="0" w:color="auto"/>
                <w:right w:val="none" w:sz="0" w:space="0" w:color="auto"/>
              </w:divBdr>
            </w:div>
          </w:divsChild>
        </w:div>
        <w:div w:id="234630590">
          <w:marLeft w:val="0"/>
          <w:marRight w:val="0"/>
          <w:marTop w:val="0"/>
          <w:marBottom w:val="0"/>
          <w:divBdr>
            <w:top w:val="none" w:sz="0" w:space="0" w:color="auto"/>
            <w:left w:val="none" w:sz="0" w:space="0" w:color="auto"/>
            <w:bottom w:val="none" w:sz="0" w:space="0" w:color="auto"/>
            <w:right w:val="none" w:sz="0" w:space="0" w:color="auto"/>
          </w:divBdr>
          <w:divsChild>
            <w:div w:id="1315261712">
              <w:marLeft w:val="0"/>
              <w:marRight w:val="0"/>
              <w:marTop w:val="0"/>
              <w:marBottom w:val="0"/>
              <w:divBdr>
                <w:top w:val="none" w:sz="0" w:space="0" w:color="auto"/>
                <w:left w:val="none" w:sz="0" w:space="0" w:color="auto"/>
                <w:bottom w:val="none" w:sz="0" w:space="0" w:color="auto"/>
                <w:right w:val="none" w:sz="0" w:space="0" w:color="auto"/>
              </w:divBdr>
            </w:div>
          </w:divsChild>
        </w:div>
        <w:div w:id="1934779708">
          <w:marLeft w:val="0"/>
          <w:marRight w:val="0"/>
          <w:marTop w:val="0"/>
          <w:marBottom w:val="0"/>
          <w:divBdr>
            <w:top w:val="none" w:sz="0" w:space="0" w:color="auto"/>
            <w:left w:val="none" w:sz="0" w:space="0" w:color="auto"/>
            <w:bottom w:val="none" w:sz="0" w:space="0" w:color="auto"/>
            <w:right w:val="none" w:sz="0" w:space="0" w:color="auto"/>
          </w:divBdr>
          <w:divsChild>
            <w:div w:id="2000229650">
              <w:marLeft w:val="0"/>
              <w:marRight w:val="0"/>
              <w:marTop w:val="0"/>
              <w:marBottom w:val="0"/>
              <w:divBdr>
                <w:top w:val="none" w:sz="0" w:space="0" w:color="auto"/>
                <w:left w:val="none" w:sz="0" w:space="0" w:color="auto"/>
                <w:bottom w:val="none" w:sz="0" w:space="0" w:color="auto"/>
                <w:right w:val="none" w:sz="0" w:space="0" w:color="auto"/>
              </w:divBdr>
            </w:div>
          </w:divsChild>
        </w:div>
        <w:div w:id="2046440051">
          <w:marLeft w:val="0"/>
          <w:marRight w:val="0"/>
          <w:marTop w:val="0"/>
          <w:marBottom w:val="0"/>
          <w:divBdr>
            <w:top w:val="none" w:sz="0" w:space="0" w:color="auto"/>
            <w:left w:val="none" w:sz="0" w:space="0" w:color="auto"/>
            <w:bottom w:val="none" w:sz="0" w:space="0" w:color="auto"/>
            <w:right w:val="none" w:sz="0" w:space="0" w:color="auto"/>
          </w:divBdr>
          <w:divsChild>
            <w:div w:id="1464347090">
              <w:marLeft w:val="0"/>
              <w:marRight w:val="0"/>
              <w:marTop w:val="0"/>
              <w:marBottom w:val="0"/>
              <w:divBdr>
                <w:top w:val="none" w:sz="0" w:space="0" w:color="auto"/>
                <w:left w:val="none" w:sz="0" w:space="0" w:color="auto"/>
                <w:bottom w:val="none" w:sz="0" w:space="0" w:color="auto"/>
                <w:right w:val="none" w:sz="0" w:space="0" w:color="auto"/>
              </w:divBdr>
            </w:div>
          </w:divsChild>
        </w:div>
        <w:div w:id="1147741589">
          <w:marLeft w:val="0"/>
          <w:marRight w:val="0"/>
          <w:marTop w:val="0"/>
          <w:marBottom w:val="0"/>
          <w:divBdr>
            <w:top w:val="none" w:sz="0" w:space="0" w:color="auto"/>
            <w:left w:val="none" w:sz="0" w:space="0" w:color="auto"/>
            <w:bottom w:val="none" w:sz="0" w:space="0" w:color="auto"/>
            <w:right w:val="none" w:sz="0" w:space="0" w:color="auto"/>
          </w:divBdr>
          <w:divsChild>
            <w:div w:id="149175819">
              <w:marLeft w:val="0"/>
              <w:marRight w:val="0"/>
              <w:marTop w:val="0"/>
              <w:marBottom w:val="0"/>
              <w:divBdr>
                <w:top w:val="none" w:sz="0" w:space="0" w:color="auto"/>
                <w:left w:val="none" w:sz="0" w:space="0" w:color="auto"/>
                <w:bottom w:val="none" w:sz="0" w:space="0" w:color="auto"/>
                <w:right w:val="none" w:sz="0" w:space="0" w:color="auto"/>
              </w:divBdr>
            </w:div>
          </w:divsChild>
        </w:div>
        <w:div w:id="257643393">
          <w:marLeft w:val="0"/>
          <w:marRight w:val="0"/>
          <w:marTop w:val="0"/>
          <w:marBottom w:val="0"/>
          <w:divBdr>
            <w:top w:val="none" w:sz="0" w:space="0" w:color="auto"/>
            <w:left w:val="none" w:sz="0" w:space="0" w:color="auto"/>
            <w:bottom w:val="none" w:sz="0" w:space="0" w:color="auto"/>
            <w:right w:val="none" w:sz="0" w:space="0" w:color="auto"/>
          </w:divBdr>
          <w:divsChild>
            <w:div w:id="14350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2</cp:revision>
  <dcterms:created xsi:type="dcterms:W3CDTF">2021-09-10T10:38:00Z</dcterms:created>
  <dcterms:modified xsi:type="dcterms:W3CDTF">2021-09-10T11:19:00Z</dcterms:modified>
</cp:coreProperties>
</file>