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5475" w:rsidRPr="00BC1C98" w:rsidRDefault="007B5475" w:rsidP="00BC1C98">
      <w:pPr>
        <w:rPr>
          <w:rFonts w:ascii="Arial" w:hAnsi="Arial" w:cs="Arial"/>
          <w:sz w:val="34"/>
          <w:szCs w:val="34"/>
          <w:shd w:val="clear" w:color="auto" w:fill="FFFFFF"/>
        </w:rPr>
      </w:pPr>
      <w:r w:rsidRPr="007B5475">
        <w:rPr>
          <w:rFonts w:ascii="Arial" w:eastAsia="Times New Roman" w:hAnsi="Arial" w:cs="Arial"/>
          <w:sz w:val="34"/>
          <w:szCs w:val="34"/>
          <w:lang w:eastAsia="en-AU"/>
        </w:rPr>
        <w:t>CASE</w:t>
      </w:r>
      <w:r w:rsidR="00BC1C98" w:rsidRPr="00BC1C98">
        <w:rPr>
          <w:rFonts w:ascii="Arial" w:eastAsia="Times New Roman" w:hAnsi="Arial" w:cs="Arial"/>
          <w:sz w:val="34"/>
          <w:szCs w:val="34"/>
          <w:lang w:eastAsia="en-AU"/>
        </w:rPr>
        <w:t xml:space="preserve"> </w:t>
      </w:r>
      <w:r w:rsidRPr="007B5475">
        <w:rPr>
          <w:rFonts w:ascii="Arial" w:eastAsia="Times New Roman" w:hAnsi="Arial" w:cs="Arial"/>
          <w:sz w:val="34"/>
          <w:szCs w:val="34"/>
          <w:lang w:eastAsia="en-AU"/>
        </w:rPr>
        <w:t>HA-MO-22-02</w:t>
      </w:r>
    </w:p>
    <w:p w:rsidR="007B5475" w:rsidRDefault="007B5475" w:rsidP="007B5475">
      <w:pPr>
        <w:shd w:val="clear" w:color="auto" w:fill="FFFFFF"/>
        <w:spacing w:after="0" w:line="240" w:lineRule="auto"/>
        <w:rPr>
          <w:rFonts w:ascii="Arial" w:eastAsia="Times New Roman" w:hAnsi="Arial" w:cs="Arial"/>
          <w:b/>
          <w:sz w:val="20"/>
          <w:szCs w:val="20"/>
          <w:lang w:eastAsia="en-AU"/>
        </w:rPr>
      </w:pPr>
      <w:r w:rsidRPr="007B5475">
        <w:rPr>
          <w:rFonts w:ascii="Arial" w:eastAsia="Times New Roman" w:hAnsi="Arial" w:cs="Arial"/>
          <w:b/>
          <w:sz w:val="20"/>
          <w:szCs w:val="20"/>
          <w:lang w:eastAsia="en-AU"/>
        </w:rPr>
        <w:t>Acute Promyelocytic Leukaemia</w:t>
      </w:r>
    </w:p>
    <w:p w:rsidR="00BC1C98" w:rsidRPr="00BC1C98" w:rsidRDefault="00BC1C98" w:rsidP="007B5475">
      <w:pPr>
        <w:shd w:val="clear" w:color="auto" w:fill="FFFFFF"/>
        <w:spacing w:after="0" w:line="240" w:lineRule="auto"/>
        <w:rPr>
          <w:rFonts w:ascii="Arial" w:eastAsia="Times New Roman" w:hAnsi="Arial" w:cs="Arial"/>
          <w:b/>
          <w:sz w:val="20"/>
          <w:szCs w:val="20"/>
          <w:lang w:eastAsia="en-AU"/>
        </w:rPr>
      </w:pPr>
    </w:p>
    <w:p w:rsidR="007B5475" w:rsidRDefault="007B5475" w:rsidP="007B5475">
      <w:pPr>
        <w:shd w:val="clear" w:color="auto" w:fill="FFFFFF"/>
        <w:spacing w:after="0" w:line="240" w:lineRule="auto"/>
        <w:rPr>
          <w:rFonts w:ascii="Arial" w:eastAsia="Times New Roman" w:hAnsi="Arial" w:cs="Arial"/>
          <w:sz w:val="20"/>
          <w:szCs w:val="20"/>
          <w:lang w:eastAsia="en-AU"/>
        </w:rPr>
      </w:pPr>
      <w:proofErr w:type="gramStart"/>
      <w:r w:rsidRPr="007B5475">
        <w:rPr>
          <w:rFonts w:ascii="Arial" w:eastAsia="Times New Roman" w:hAnsi="Arial" w:cs="Arial"/>
          <w:sz w:val="20"/>
          <w:szCs w:val="20"/>
          <w:lang w:eastAsia="en-AU"/>
        </w:rPr>
        <w:t>33 year old</w:t>
      </w:r>
      <w:proofErr w:type="gramEnd"/>
      <w:r w:rsidRPr="007B5475">
        <w:rPr>
          <w:rFonts w:ascii="Arial" w:eastAsia="Times New Roman" w:hAnsi="Arial" w:cs="Arial"/>
          <w:sz w:val="20"/>
          <w:szCs w:val="20"/>
          <w:lang w:eastAsia="en-AU"/>
        </w:rPr>
        <w:t xml:space="preserve"> male with severe abdominal pain</w:t>
      </w:r>
    </w:p>
    <w:p w:rsidR="007B5475" w:rsidRPr="00620AF5" w:rsidRDefault="007B5475" w:rsidP="007B5475">
      <w:pPr>
        <w:shd w:val="clear" w:color="auto" w:fill="FFFFFF"/>
        <w:spacing w:after="0" w:line="240" w:lineRule="auto"/>
        <w:rPr>
          <w:rFonts w:ascii="Arial" w:eastAsia="Times New Roman" w:hAnsi="Arial" w:cs="Arial"/>
          <w:sz w:val="18"/>
          <w:szCs w:val="20"/>
          <w:lang w:eastAsia="en-AU"/>
        </w:rPr>
      </w:pPr>
      <w:r w:rsidRPr="007B5475">
        <w:rPr>
          <w:rFonts w:ascii="Arial" w:eastAsia="Times New Roman" w:hAnsi="Arial" w:cs="Arial"/>
          <w:sz w:val="18"/>
          <w:szCs w:val="20"/>
          <w:lang w:eastAsia="en-AU"/>
        </w:rPr>
        <w:t>WCC: 20.3 x 10</w:t>
      </w:r>
      <w:r w:rsidRPr="007B5475">
        <w:rPr>
          <w:rFonts w:ascii="Arial" w:eastAsia="Times New Roman" w:hAnsi="Arial" w:cs="Arial"/>
          <w:sz w:val="16"/>
          <w:szCs w:val="17"/>
          <w:lang w:eastAsia="en-AU"/>
        </w:rPr>
        <w:t>9</w:t>
      </w:r>
      <w:r w:rsidRPr="007B5475">
        <w:rPr>
          <w:rFonts w:ascii="Arial" w:eastAsia="Times New Roman" w:hAnsi="Arial" w:cs="Arial"/>
          <w:sz w:val="18"/>
          <w:szCs w:val="20"/>
          <w:lang w:eastAsia="en-AU"/>
        </w:rPr>
        <w:t>/L</w:t>
      </w:r>
    </w:p>
    <w:p w:rsidR="007B5475" w:rsidRPr="00620AF5" w:rsidRDefault="007B5475" w:rsidP="007B5475">
      <w:pPr>
        <w:shd w:val="clear" w:color="auto" w:fill="FFFFFF"/>
        <w:spacing w:after="0" w:line="240" w:lineRule="auto"/>
        <w:rPr>
          <w:rFonts w:ascii="Arial" w:eastAsia="Times New Roman" w:hAnsi="Arial" w:cs="Arial"/>
          <w:sz w:val="18"/>
          <w:szCs w:val="20"/>
          <w:lang w:eastAsia="en-AU"/>
        </w:rPr>
      </w:pPr>
      <w:r w:rsidRPr="007B5475">
        <w:rPr>
          <w:rFonts w:ascii="Arial" w:eastAsia="Times New Roman" w:hAnsi="Arial" w:cs="Arial"/>
          <w:sz w:val="18"/>
          <w:szCs w:val="20"/>
          <w:lang w:eastAsia="en-AU"/>
        </w:rPr>
        <w:t>RCC: 3.46 x 10</w:t>
      </w:r>
      <w:r w:rsidRPr="007B5475">
        <w:rPr>
          <w:rFonts w:ascii="Arial" w:eastAsia="Times New Roman" w:hAnsi="Arial" w:cs="Arial"/>
          <w:sz w:val="16"/>
          <w:szCs w:val="17"/>
          <w:lang w:eastAsia="en-AU"/>
        </w:rPr>
        <w:t>12</w:t>
      </w:r>
      <w:r w:rsidRPr="007B5475">
        <w:rPr>
          <w:rFonts w:ascii="Arial" w:eastAsia="Times New Roman" w:hAnsi="Arial" w:cs="Arial"/>
          <w:sz w:val="18"/>
          <w:szCs w:val="20"/>
          <w:lang w:eastAsia="en-AU"/>
        </w:rPr>
        <w:t>/L</w:t>
      </w:r>
    </w:p>
    <w:p w:rsidR="007B5475" w:rsidRPr="00620AF5" w:rsidRDefault="007B5475" w:rsidP="007B5475">
      <w:pPr>
        <w:shd w:val="clear" w:color="auto" w:fill="FFFFFF"/>
        <w:spacing w:after="0" w:line="240" w:lineRule="auto"/>
        <w:rPr>
          <w:rFonts w:ascii="Arial" w:eastAsia="Times New Roman" w:hAnsi="Arial" w:cs="Arial"/>
          <w:sz w:val="18"/>
          <w:szCs w:val="20"/>
          <w:lang w:eastAsia="en-AU"/>
        </w:rPr>
      </w:pPr>
      <w:r w:rsidRPr="007B5475">
        <w:rPr>
          <w:rFonts w:ascii="Arial" w:eastAsia="Times New Roman" w:hAnsi="Arial" w:cs="Arial"/>
          <w:sz w:val="18"/>
          <w:szCs w:val="20"/>
          <w:lang w:eastAsia="en-AU"/>
        </w:rPr>
        <w:t xml:space="preserve">Hb: 116 g/LMCV: 93 </w:t>
      </w:r>
      <w:proofErr w:type="spellStart"/>
      <w:r w:rsidRPr="007B5475">
        <w:rPr>
          <w:rFonts w:ascii="Arial" w:eastAsia="Times New Roman" w:hAnsi="Arial" w:cs="Arial"/>
          <w:sz w:val="18"/>
          <w:szCs w:val="20"/>
          <w:lang w:eastAsia="en-AU"/>
        </w:rPr>
        <w:t>fL</w:t>
      </w:r>
      <w:proofErr w:type="spellEnd"/>
    </w:p>
    <w:p w:rsidR="007B5475" w:rsidRPr="00620AF5" w:rsidRDefault="007B5475" w:rsidP="007B5475">
      <w:pPr>
        <w:shd w:val="clear" w:color="auto" w:fill="FFFFFF"/>
        <w:spacing w:after="0" w:line="240" w:lineRule="auto"/>
        <w:rPr>
          <w:rFonts w:ascii="Arial" w:eastAsia="Times New Roman" w:hAnsi="Arial" w:cs="Arial"/>
          <w:sz w:val="18"/>
          <w:szCs w:val="20"/>
          <w:lang w:eastAsia="en-AU"/>
        </w:rPr>
      </w:pPr>
      <w:r w:rsidRPr="007B5475">
        <w:rPr>
          <w:rFonts w:ascii="Arial" w:eastAsia="Times New Roman" w:hAnsi="Arial" w:cs="Arial"/>
          <w:sz w:val="18"/>
          <w:szCs w:val="20"/>
          <w:lang w:eastAsia="en-AU"/>
        </w:rPr>
        <w:t xml:space="preserve">MCH: 34 </w:t>
      </w:r>
      <w:proofErr w:type="spellStart"/>
      <w:r w:rsidRPr="007B5475">
        <w:rPr>
          <w:rFonts w:ascii="Arial" w:eastAsia="Times New Roman" w:hAnsi="Arial" w:cs="Arial"/>
          <w:sz w:val="18"/>
          <w:szCs w:val="20"/>
          <w:lang w:eastAsia="en-AU"/>
        </w:rPr>
        <w:t>pg</w:t>
      </w:r>
      <w:proofErr w:type="spellEnd"/>
    </w:p>
    <w:p w:rsidR="007B5475" w:rsidRPr="00620AF5" w:rsidRDefault="007B5475" w:rsidP="007B5475">
      <w:pPr>
        <w:shd w:val="clear" w:color="auto" w:fill="FFFFFF"/>
        <w:spacing w:after="0" w:line="240" w:lineRule="auto"/>
        <w:rPr>
          <w:rFonts w:ascii="Arial" w:eastAsia="Times New Roman" w:hAnsi="Arial" w:cs="Arial"/>
          <w:sz w:val="18"/>
          <w:szCs w:val="20"/>
          <w:lang w:eastAsia="en-AU"/>
        </w:rPr>
      </w:pPr>
      <w:r w:rsidRPr="007B5475">
        <w:rPr>
          <w:rFonts w:ascii="Arial" w:eastAsia="Times New Roman" w:hAnsi="Arial" w:cs="Arial"/>
          <w:sz w:val="18"/>
          <w:szCs w:val="20"/>
          <w:lang w:eastAsia="en-AU"/>
        </w:rPr>
        <w:t>MCHC: 360 g/L</w:t>
      </w:r>
    </w:p>
    <w:p w:rsidR="007B5475" w:rsidRPr="00620AF5" w:rsidRDefault="007B5475" w:rsidP="007B5475">
      <w:pPr>
        <w:shd w:val="clear" w:color="auto" w:fill="FFFFFF"/>
        <w:spacing w:after="0" w:line="240" w:lineRule="auto"/>
        <w:rPr>
          <w:rFonts w:ascii="Arial" w:eastAsia="Times New Roman" w:hAnsi="Arial" w:cs="Arial"/>
          <w:sz w:val="18"/>
          <w:szCs w:val="20"/>
          <w:lang w:eastAsia="en-AU"/>
        </w:rPr>
      </w:pPr>
      <w:proofErr w:type="spellStart"/>
      <w:r w:rsidRPr="007B5475">
        <w:rPr>
          <w:rFonts w:ascii="Arial" w:eastAsia="Times New Roman" w:hAnsi="Arial" w:cs="Arial"/>
          <w:sz w:val="18"/>
          <w:szCs w:val="20"/>
          <w:lang w:eastAsia="en-AU"/>
        </w:rPr>
        <w:t>Plt</w:t>
      </w:r>
      <w:proofErr w:type="spellEnd"/>
      <w:r w:rsidRPr="007B5475">
        <w:rPr>
          <w:rFonts w:ascii="Arial" w:eastAsia="Times New Roman" w:hAnsi="Arial" w:cs="Arial"/>
          <w:sz w:val="18"/>
          <w:szCs w:val="20"/>
          <w:lang w:eastAsia="en-AU"/>
        </w:rPr>
        <w:t>: 42 x 10</w:t>
      </w:r>
      <w:r w:rsidRPr="007B5475">
        <w:rPr>
          <w:rFonts w:ascii="Arial" w:eastAsia="Times New Roman" w:hAnsi="Arial" w:cs="Arial"/>
          <w:sz w:val="16"/>
          <w:szCs w:val="17"/>
          <w:lang w:eastAsia="en-AU"/>
        </w:rPr>
        <w:t>9</w:t>
      </w:r>
      <w:r w:rsidRPr="007B5475">
        <w:rPr>
          <w:rFonts w:ascii="Arial" w:eastAsia="Times New Roman" w:hAnsi="Arial" w:cs="Arial"/>
          <w:sz w:val="18"/>
          <w:szCs w:val="20"/>
          <w:lang w:eastAsia="en-AU"/>
        </w:rPr>
        <w:t>/L</w:t>
      </w:r>
    </w:p>
    <w:p w:rsidR="007B5475" w:rsidRDefault="007B5475" w:rsidP="007B5475">
      <w:pPr>
        <w:shd w:val="clear" w:color="auto" w:fill="FFFFFF"/>
        <w:spacing w:after="0" w:line="240" w:lineRule="auto"/>
        <w:rPr>
          <w:rFonts w:ascii="Arial" w:eastAsia="Times New Roman" w:hAnsi="Arial" w:cs="Arial"/>
          <w:sz w:val="20"/>
          <w:szCs w:val="20"/>
          <w:lang w:eastAsia="en-AU"/>
        </w:rPr>
      </w:pPr>
    </w:p>
    <w:p w:rsidR="007B5475" w:rsidRDefault="007B5475" w:rsidP="007B5475">
      <w:pPr>
        <w:shd w:val="clear" w:color="auto" w:fill="FFFFFF"/>
        <w:spacing w:after="0" w:line="240" w:lineRule="auto"/>
        <w:rPr>
          <w:rFonts w:ascii="Arial" w:eastAsia="Times New Roman" w:hAnsi="Arial" w:cs="Arial"/>
          <w:sz w:val="17"/>
          <w:szCs w:val="17"/>
          <w:lang w:eastAsia="en-AU"/>
        </w:rPr>
      </w:pPr>
      <w:r w:rsidRPr="007B5475">
        <w:rPr>
          <w:rFonts w:ascii="Arial" w:eastAsia="Times New Roman" w:hAnsi="Arial" w:cs="Arial"/>
          <w:sz w:val="20"/>
          <w:szCs w:val="20"/>
          <w:lang w:eastAsia="en-AU"/>
        </w:rPr>
        <w:t>Case HA-MO-22-02 showing abnormal promyelocytes and schistocytes</w:t>
      </w:r>
    </w:p>
    <w:p w:rsidR="007B5475" w:rsidRDefault="007B5475" w:rsidP="007B5475">
      <w:pPr>
        <w:shd w:val="clear" w:color="auto" w:fill="FFFFFF"/>
        <w:spacing w:after="0" w:line="240" w:lineRule="auto"/>
        <w:rPr>
          <w:rFonts w:ascii="Arial" w:eastAsia="Times New Roman" w:hAnsi="Arial" w:cs="Arial"/>
          <w:sz w:val="20"/>
          <w:szCs w:val="20"/>
          <w:lang w:eastAsia="en-AU"/>
        </w:rPr>
      </w:pPr>
      <w:bookmarkStart w:id="0" w:name="_GoBack"/>
      <w:r>
        <w:rPr>
          <w:noProof/>
        </w:rPr>
        <w:drawing>
          <wp:inline distT="0" distB="0" distL="0" distR="0" wp14:anchorId="10E14DA4" wp14:editId="252803FE">
            <wp:extent cx="3079630" cy="3619172"/>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94634" cy="3636804"/>
                    </a:xfrm>
                    <a:prstGeom prst="rect">
                      <a:avLst/>
                    </a:prstGeom>
                  </pic:spPr>
                </pic:pic>
              </a:graphicData>
            </a:graphic>
          </wp:inline>
        </w:drawing>
      </w:r>
      <w:bookmarkEnd w:id="0"/>
      <w:r>
        <w:rPr>
          <w:noProof/>
        </w:rPr>
        <w:drawing>
          <wp:inline distT="0" distB="0" distL="0" distR="0" wp14:anchorId="5F8A3220" wp14:editId="29299BB1">
            <wp:extent cx="3605304" cy="2432562"/>
            <wp:effectExtent l="0" t="4127"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5400000">
                      <a:off x="0" y="0"/>
                      <a:ext cx="3629322" cy="2448767"/>
                    </a:xfrm>
                    <a:prstGeom prst="rect">
                      <a:avLst/>
                    </a:prstGeom>
                  </pic:spPr>
                </pic:pic>
              </a:graphicData>
            </a:graphic>
          </wp:inline>
        </w:drawing>
      </w:r>
      <w:r>
        <w:rPr>
          <w:noProof/>
        </w:rPr>
        <w:drawing>
          <wp:inline distT="0" distB="0" distL="0" distR="0" wp14:anchorId="2B2CA11D" wp14:editId="2C2D10F9">
            <wp:extent cx="5731510" cy="29552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955290"/>
                    </a:xfrm>
                    <a:prstGeom prst="rect">
                      <a:avLst/>
                    </a:prstGeom>
                  </pic:spPr>
                </pic:pic>
              </a:graphicData>
            </a:graphic>
          </wp:inline>
        </w:drawing>
      </w:r>
    </w:p>
    <w:p w:rsidR="007B5475" w:rsidRPr="007B5475" w:rsidRDefault="007B5475" w:rsidP="007B5475">
      <w:pPr>
        <w:shd w:val="clear" w:color="auto" w:fill="FFFFFF"/>
        <w:spacing w:after="0" w:line="240" w:lineRule="auto"/>
        <w:rPr>
          <w:rFonts w:ascii="Times New Roman" w:eastAsia="Times New Roman" w:hAnsi="Times New Roman" w:cs="Times New Roman"/>
          <w:sz w:val="24"/>
          <w:szCs w:val="24"/>
          <w:lang w:eastAsia="en-AU"/>
        </w:rPr>
      </w:pPr>
      <w:r w:rsidRPr="007B5475">
        <w:rPr>
          <w:rFonts w:ascii="Arial" w:eastAsia="Times New Roman" w:hAnsi="Arial" w:cs="Arial"/>
          <w:sz w:val="20"/>
          <w:szCs w:val="20"/>
          <w:lang w:eastAsia="en-AU"/>
        </w:rPr>
        <w:t>The main feature of this film is the presence of abnormal promyelocytes, several of which contained Auer rods.</w:t>
      </w:r>
      <w:r>
        <w:rPr>
          <w:rFonts w:ascii="Arial" w:eastAsia="Times New Roman" w:hAnsi="Arial" w:cs="Arial"/>
          <w:sz w:val="20"/>
          <w:szCs w:val="20"/>
          <w:lang w:eastAsia="en-AU"/>
        </w:rPr>
        <w:t xml:space="preserve"> </w:t>
      </w:r>
      <w:r w:rsidRPr="007B5475">
        <w:rPr>
          <w:rFonts w:ascii="Arial" w:eastAsia="Times New Roman" w:hAnsi="Arial" w:cs="Arial"/>
          <w:sz w:val="20"/>
          <w:szCs w:val="20"/>
          <w:lang w:eastAsia="en-AU"/>
        </w:rPr>
        <w:t>Blast cells, left shift and neutropenia were also evident.</w:t>
      </w:r>
      <w:r>
        <w:rPr>
          <w:rFonts w:ascii="Arial" w:eastAsia="Times New Roman" w:hAnsi="Arial" w:cs="Arial"/>
          <w:sz w:val="20"/>
          <w:szCs w:val="20"/>
          <w:lang w:eastAsia="en-AU"/>
        </w:rPr>
        <w:t xml:space="preserve"> </w:t>
      </w:r>
      <w:r w:rsidRPr="007B5475">
        <w:rPr>
          <w:rFonts w:ascii="Arial" w:eastAsia="Times New Roman" w:hAnsi="Arial" w:cs="Arial"/>
          <w:sz w:val="20"/>
          <w:szCs w:val="20"/>
          <w:lang w:eastAsia="en-AU"/>
        </w:rPr>
        <w:t xml:space="preserve">The red cell changes seen </w:t>
      </w:r>
      <w:r w:rsidRPr="007B5475">
        <w:rPr>
          <w:rFonts w:ascii="Arial" w:eastAsia="Times New Roman" w:hAnsi="Arial" w:cs="Arial"/>
          <w:sz w:val="20"/>
          <w:szCs w:val="20"/>
          <w:lang w:eastAsia="en-AU"/>
        </w:rPr>
        <w:lastRenderedPageBreak/>
        <w:t>included increased polychromasia, schistocytes, and occasional nucleated red blood cells.</w:t>
      </w:r>
      <w:r>
        <w:rPr>
          <w:rFonts w:ascii="Arial" w:eastAsia="Times New Roman" w:hAnsi="Arial" w:cs="Arial"/>
          <w:sz w:val="20"/>
          <w:szCs w:val="20"/>
          <w:lang w:eastAsia="en-AU"/>
        </w:rPr>
        <w:t xml:space="preserve"> </w:t>
      </w:r>
      <w:r w:rsidRPr="007B5475">
        <w:rPr>
          <w:rFonts w:ascii="Arial" w:eastAsia="Times New Roman" w:hAnsi="Arial" w:cs="Arial"/>
          <w:sz w:val="20"/>
          <w:szCs w:val="20"/>
          <w:lang w:eastAsia="en-AU"/>
        </w:rPr>
        <w:t>The platelets were morphologically normal, although reduced.</w:t>
      </w:r>
      <w:r>
        <w:rPr>
          <w:rFonts w:ascii="Arial" w:eastAsia="Times New Roman" w:hAnsi="Arial" w:cs="Arial"/>
          <w:sz w:val="20"/>
          <w:szCs w:val="20"/>
          <w:lang w:eastAsia="en-AU"/>
        </w:rPr>
        <w:t xml:space="preserve"> </w:t>
      </w:r>
      <w:r w:rsidRPr="007B5475">
        <w:rPr>
          <w:rFonts w:ascii="Arial" w:eastAsia="Times New Roman" w:hAnsi="Arial" w:cs="Arial"/>
          <w:sz w:val="20"/>
          <w:szCs w:val="20"/>
          <w:lang w:eastAsia="en-AU"/>
        </w:rPr>
        <w:t xml:space="preserve">The vast majority of participants identified the abnormal promyelocytes and Auer rods which were the essential diagnostic features of the film and scored </w:t>
      </w:r>
      <w:proofErr w:type="gramStart"/>
      <w:r w:rsidRPr="007B5475">
        <w:rPr>
          <w:rFonts w:ascii="Arial" w:eastAsia="Times New Roman" w:hAnsi="Arial" w:cs="Arial"/>
          <w:sz w:val="20"/>
          <w:szCs w:val="20"/>
          <w:lang w:eastAsia="en-AU"/>
        </w:rPr>
        <w:t>10.The</w:t>
      </w:r>
      <w:proofErr w:type="gramEnd"/>
      <w:r w:rsidRPr="007B5475">
        <w:rPr>
          <w:rFonts w:ascii="Arial" w:eastAsia="Times New Roman" w:hAnsi="Arial" w:cs="Arial"/>
          <w:sz w:val="20"/>
          <w:szCs w:val="20"/>
          <w:lang w:eastAsia="en-AU"/>
        </w:rPr>
        <w:t xml:space="preserve"> blasts and neutropenia were considered major features and scored 5, as were increased polychromasia and schistocytes. Other minor white cell and red cell changes submitted were scored accordingly.</w:t>
      </w:r>
      <w:r>
        <w:rPr>
          <w:rFonts w:ascii="Arial" w:eastAsia="Times New Roman" w:hAnsi="Arial" w:cs="Arial"/>
          <w:sz w:val="20"/>
          <w:szCs w:val="20"/>
          <w:lang w:eastAsia="en-AU"/>
        </w:rPr>
        <w:t xml:space="preserve"> </w:t>
      </w:r>
      <w:r w:rsidRPr="007B5475">
        <w:rPr>
          <w:rFonts w:ascii="Arial" w:eastAsia="Times New Roman" w:hAnsi="Arial" w:cs="Arial"/>
          <w:sz w:val="20"/>
          <w:szCs w:val="20"/>
          <w:lang w:eastAsia="en-AU"/>
        </w:rPr>
        <w:t>An inaccurate platelet count, most probably due to the presence of the schistocytes, was acknowledged with the scoring.</w:t>
      </w:r>
      <w:r>
        <w:rPr>
          <w:rFonts w:ascii="Arial" w:eastAsia="Times New Roman" w:hAnsi="Arial" w:cs="Arial"/>
          <w:sz w:val="20"/>
          <w:szCs w:val="20"/>
          <w:lang w:eastAsia="en-AU"/>
        </w:rPr>
        <w:t xml:space="preserve"> </w:t>
      </w:r>
      <w:r w:rsidRPr="007B5475">
        <w:rPr>
          <w:rFonts w:ascii="Arial" w:eastAsia="Times New Roman" w:hAnsi="Arial" w:cs="Arial"/>
          <w:sz w:val="20"/>
          <w:szCs w:val="20"/>
          <w:lang w:eastAsia="en-AU"/>
        </w:rPr>
        <w:t>The abnormal promyelocytes with Auer rods indicate that the most likely diagnosis is acute promyelocytic leukaemia (APL).This response was submitted by the vast majority of participants and was considered concordant. Due to the overwhelming presence of abnormal promyelocytes and the and the red cell changes seen -which together are associated with a very rapid fatal course of the disease -acute myeloid leukaemia was considered a minor discordance in this setting.</w:t>
      </w:r>
    </w:p>
    <w:p w:rsidR="00D74FEB" w:rsidRDefault="00D74FEB"/>
    <w:p w:rsidR="00396830" w:rsidRDefault="00396830" w:rsidP="00396830">
      <w:pPr>
        <w:shd w:val="clear" w:color="auto" w:fill="FFFFFF"/>
        <w:spacing w:after="0" w:line="240" w:lineRule="auto"/>
        <w:rPr>
          <w:rFonts w:ascii="Arial" w:eastAsia="Times New Roman" w:hAnsi="Arial" w:cs="Arial"/>
          <w:sz w:val="17"/>
          <w:szCs w:val="17"/>
          <w:lang w:eastAsia="en-AU"/>
        </w:rPr>
      </w:pPr>
      <w:r w:rsidRPr="00396830">
        <w:rPr>
          <w:rFonts w:ascii="Arial" w:eastAsia="Times New Roman" w:hAnsi="Arial" w:cs="Arial"/>
          <w:sz w:val="20"/>
          <w:szCs w:val="20"/>
          <w:lang w:eastAsia="en-AU"/>
        </w:rPr>
        <w:t>APL with PML/RARA</w:t>
      </w:r>
      <w:r>
        <w:rPr>
          <w:rFonts w:ascii="Arial" w:eastAsia="Times New Roman" w:hAnsi="Arial" w:cs="Arial"/>
          <w:sz w:val="20"/>
          <w:szCs w:val="20"/>
          <w:lang w:eastAsia="en-AU"/>
        </w:rPr>
        <w:t xml:space="preserve"> </w:t>
      </w:r>
      <w:r w:rsidRPr="00396830">
        <w:rPr>
          <w:rFonts w:ascii="Arial" w:eastAsia="Times New Roman" w:hAnsi="Arial" w:cs="Arial"/>
          <w:sz w:val="20"/>
          <w:szCs w:val="20"/>
          <w:lang w:eastAsia="en-AU"/>
        </w:rPr>
        <w:t xml:space="preserve">is an acute myeloid leukaemia in which abnormal promyelocytes predominate. Both </w:t>
      </w:r>
      <w:proofErr w:type="spellStart"/>
      <w:r w:rsidRPr="00396830">
        <w:rPr>
          <w:rFonts w:ascii="Arial" w:eastAsia="Times New Roman" w:hAnsi="Arial" w:cs="Arial"/>
          <w:sz w:val="20"/>
          <w:szCs w:val="20"/>
          <w:lang w:eastAsia="en-AU"/>
        </w:rPr>
        <w:t>hypergranular</w:t>
      </w:r>
      <w:proofErr w:type="spellEnd"/>
      <w:r w:rsidRPr="00396830">
        <w:rPr>
          <w:rFonts w:ascii="Arial" w:eastAsia="Times New Roman" w:hAnsi="Arial" w:cs="Arial"/>
          <w:sz w:val="20"/>
          <w:szCs w:val="20"/>
          <w:lang w:eastAsia="en-AU"/>
        </w:rPr>
        <w:t xml:space="preserve"> type and </w:t>
      </w:r>
      <w:proofErr w:type="spellStart"/>
      <w:r w:rsidRPr="00396830">
        <w:rPr>
          <w:rFonts w:ascii="Arial" w:eastAsia="Times New Roman" w:hAnsi="Arial" w:cs="Arial"/>
          <w:sz w:val="20"/>
          <w:szCs w:val="20"/>
          <w:lang w:eastAsia="en-AU"/>
        </w:rPr>
        <w:t>hypogranular</w:t>
      </w:r>
      <w:proofErr w:type="spellEnd"/>
      <w:r w:rsidRPr="00396830">
        <w:rPr>
          <w:rFonts w:ascii="Arial" w:eastAsia="Times New Roman" w:hAnsi="Arial" w:cs="Arial"/>
          <w:sz w:val="20"/>
          <w:szCs w:val="20"/>
          <w:lang w:eastAsia="en-AU"/>
        </w:rPr>
        <w:t xml:space="preserve"> variant are seen.</w:t>
      </w:r>
      <w:r>
        <w:rPr>
          <w:rFonts w:ascii="Arial" w:eastAsia="Times New Roman" w:hAnsi="Arial" w:cs="Arial"/>
          <w:sz w:val="20"/>
          <w:szCs w:val="20"/>
          <w:lang w:eastAsia="en-AU"/>
        </w:rPr>
        <w:t xml:space="preserve"> </w:t>
      </w:r>
      <w:r w:rsidRPr="00396830">
        <w:rPr>
          <w:rFonts w:ascii="Arial" w:eastAsia="Times New Roman" w:hAnsi="Arial" w:cs="Arial"/>
          <w:sz w:val="20"/>
          <w:szCs w:val="20"/>
          <w:lang w:eastAsia="en-AU"/>
        </w:rPr>
        <w:t xml:space="preserve">The nuclear size and shape of the abnormal promyelocytes of </w:t>
      </w:r>
      <w:proofErr w:type="spellStart"/>
      <w:r w:rsidRPr="00396830">
        <w:rPr>
          <w:rFonts w:ascii="Arial" w:eastAsia="Times New Roman" w:hAnsi="Arial" w:cs="Arial"/>
          <w:sz w:val="20"/>
          <w:szCs w:val="20"/>
          <w:lang w:eastAsia="en-AU"/>
        </w:rPr>
        <w:t>hypergranular</w:t>
      </w:r>
      <w:proofErr w:type="spellEnd"/>
      <w:r w:rsidRPr="00396830">
        <w:rPr>
          <w:rFonts w:ascii="Arial" w:eastAsia="Times New Roman" w:hAnsi="Arial" w:cs="Arial"/>
          <w:sz w:val="20"/>
          <w:szCs w:val="20"/>
          <w:lang w:eastAsia="en-AU"/>
        </w:rPr>
        <w:t xml:space="preserve"> APL are irregular and greatly variable, and are often kidney-shaped or bilobed. The cytoplasm is marked by densely packed large granules which stain bright pink, red or purple with Romanowski stains.</w:t>
      </w:r>
      <w:r>
        <w:rPr>
          <w:rFonts w:ascii="Arial" w:eastAsia="Times New Roman" w:hAnsi="Arial" w:cs="Arial"/>
          <w:sz w:val="20"/>
          <w:szCs w:val="20"/>
          <w:lang w:eastAsia="en-AU"/>
        </w:rPr>
        <w:t xml:space="preserve"> </w:t>
      </w:r>
      <w:r w:rsidRPr="00396830">
        <w:rPr>
          <w:rFonts w:ascii="Arial" w:eastAsia="Times New Roman" w:hAnsi="Arial" w:cs="Arial"/>
          <w:sz w:val="20"/>
          <w:szCs w:val="20"/>
          <w:lang w:eastAsia="en-AU"/>
        </w:rPr>
        <w:t>The granules may be so large and/or numerous that they can obscure the nuclear-cytoplasmic margin.</w:t>
      </w:r>
      <w:r>
        <w:rPr>
          <w:rFonts w:ascii="Arial" w:eastAsia="Times New Roman" w:hAnsi="Arial" w:cs="Arial"/>
          <w:sz w:val="20"/>
          <w:szCs w:val="20"/>
          <w:lang w:eastAsia="en-AU"/>
        </w:rPr>
        <w:t xml:space="preserve"> </w:t>
      </w:r>
      <w:r w:rsidRPr="00396830">
        <w:rPr>
          <w:rFonts w:ascii="Arial" w:eastAsia="Times New Roman" w:hAnsi="Arial" w:cs="Arial"/>
          <w:sz w:val="20"/>
          <w:szCs w:val="20"/>
          <w:lang w:eastAsia="en-AU"/>
        </w:rPr>
        <w:t>Auer rods, occurring singly or in bundles, are present in most cases.</w:t>
      </w:r>
      <w:r w:rsidRPr="00396830">
        <w:rPr>
          <w:rFonts w:ascii="Arial" w:eastAsia="Times New Roman" w:hAnsi="Arial" w:cs="Arial"/>
          <w:sz w:val="17"/>
          <w:szCs w:val="17"/>
          <w:lang w:eastAsia="en-AU"/>
        </w:rPr>
        <w:t>1</w:t>
      </w:r>
    </w:p>
    <w:p w:rsidR="00396830" w:rsidRDefault="00396830" w:rsidP="00396830">
      <w:pPr>
        <w:shd w:val="clear" w:color="auto" w:fill="FFFFFF"/>
        <w:spacing w:after="0" w:line="240" w:lineRule="auto"/>
        <w:rPr>
          <w:rFonts w:ascii="Arial" w:eastAsia="Times New Roman" w:hAnsi="Arial" w:cs="Arial"/>
          <w:sz w:val="20"/>
          <w:szCs w:val="20"/>
          <w:lang w:eastAsia="en-AU"/>
        </w:rPr>
      </w:pPr>
      <w:r w:rsidRPr="00396830">
        <w:rPr>
          <w:rFonts w:ascii="Arial" w:eastAsia="Times New Roman" w:hAnsi="Arial" w:cs="Arial"/>
          <w:sz w:val="20"/>
          <w:szCs w:val="20"/>
          <w:lang w:eastAsia="en-AU"/>
        </w:rPr>
        <w:t>Microgranular (</w:t>
      </w:r>
      <w:proofErr w:type="spellStart"/>
      <w:r w:rsidRPr="00396830">
        <w:rPr>
          <w:rFonts w:ascii="Arial" w:eastAsia="Times New Roman" w:hAnsi="Arial" w:cs="Arial"/>
          <w:sz w:val="20"/>
          <w:szCs w:val="20"/>
          <w:lang w:eastAsia="en-AU"/>
        </w:rPr>
        <w:t>hypogranular</w:t>
      </w:r>
      <w:proofErr w:type="spellEnd"/>
      <w:r w:rsidRPr="00396830">
        <w:rPr>
          <w:rFonts w:ascii="Arial" w:eastAsia="Times New Roman" w:hAnsi="Arial" w:cs="Arial"/>
          <w:sz w:val="20"/>
          <w:szCs w:val="20"/>
          <w:lang w:eastAsia="en-AU"/>
        </w:rPr>
        <w:t>)</w:t>
      </w:r>
      <w:r>
        <w:rPr>
          <w:rFonts w:ascii="Arial" w:eastAsia="Times New Roman" w:hAnsi="Arial" w:cs="Arial"/>
          <w:sz w:val="20"/>
          <w:szCs w:val="20"/>
          <w:lang w:eastAsia="en-AU"/>
        </w:rPr>
        <w:t xml:space="preserve"> </w:t>
      </w:r>
      <w:r w:rsidRPr="00396830">
        <w:rPr>
          <w:rFonts w:ascii="Arial" w:eastAsia="Times New Roman" w:hAnsi="Arial" w:cs="Arial"/>
          <w:sz w:val="20"/>
          <w:szCs w:val="20"/>
          <w:lang w:eastAsia="en-AU"/>
        </w:rPr>
        <w:t>APL is characterised by apparent paucity or absence of granules, and predominantly bilobed nuclei.</w:t>
      </w:r>
      <w:r>
        <w:rPr>
          <w:rFonts w:ascii="Arial" w:eastAsia="Times New Roman" w:hAnsi="Arial" w:cs="Arial"/>
          <w:sz w:val="20"/>
          <w:szCs w:val="20"/>
          <w:lang w:eastAsia="en-AU"/>
        </w:rPr>
        <w:t xml:space="preserve"> </w:t>
      </w:r>
      <w:r w:rsidRPr="00396830">
        <w:rPr>
          <w:rFonts w:ascii="Arial" w:eastAsia="Times New Roman" w:hAnsi="Arial" w:cs="Arial"/>
          <w:sz w:val="20"/>
          <w:szCs w:val="20"/>
          <w:lang w:eastAsia="en-AU"/>
        </w:rPr>
        <w:t xml:space="preserve">The </w:t>
      </w:r>
      <w:proofErr w:type="spellStart"/>
      <w:r w:rsidRPr="00396830">
        <w:rPr>
          <w:rFonts w:ascii="Arial" w:eastAsia="Times New Roman" w:hAnsi="Arial" w:cs="Arial"/>
          <w:sz w:val="20"/>
          <w:szCs w:val="20"/>
          <w:lang w:eastAsia="en-AU"/>
        </w:rPr>
        <w:t>hypogranular</w:t>
      </w:r>
      <w:proofErr w:type="spellEnd"/>
      <w:r w:rsidRPr="00396830">
        <w:rPr>
          <w:rFonts w:ascii="Arial" w:eastAsia="Times New Roman" w:hAnsi="Arial" w:cs="Arial"/>
          <w:sz w:val="20"/>
          <w:szCs w:val="20"/>
          <w:lang w:eastAsia="en-AU"/>
        </w:rPr>
        <w:t xml:space="preserve"> appearance of the cytoplasm is due to the </w:t>
      </w:r>
      <w:proofErr w:type="spellStart"/>
      <w:r w:rsidRPr="00396830">
        <w:rPr>
          <w:rFonts w:ascii="Arial" w:eastAsia="Times New Roman" w:hAnsi="Arial" w:cs="Arial"/>
          <w:sz w:val="20"/>
          <w:szCs w:val="20"/>
          <w:lang w:eastAsia="en-AU"/>
        </w:rPr>
        <w:t>submicroscopic</w:t>
      </w:r>
      <w:proofErr w:type="spellEnd"/>
      <w:r w:rsidRPr="00396830">
        <w:rPr>
          <w:rFonts w:ascii="Arial" w:eastAsia="Times New Roman" w:hAnsi="Arial" w:cs="Arial"/>
          <w:sz w:val="20"/>
          <w:szCs w:val="20"/>
          <w:lang w:eastAsia="en-AU"/>
        </w:rPr>
        <w:t xml:space="preserve"> size of the azurophilic granules.</w:t>
      </w:r>
      <w:r>
        <w:rPr>
          <w:rFonts w:ascii="Arial" w:eastAsia="Times New Roman" w:hAnsi="Arial" w:cs="Arial"/>
          <w:sz w:val="20"/>
          <w:szCs w:val="20"/>
          <w:lang w:eastAsia="en-AU"/>
        </w:rPr>
        <w:t xml:space="preserve"> </w:t>
      </w:r>
      <w:r w:rsidRPr="00396830">
        <w:rPr>
          <w:rFonts w:ascii="Arial" w:eastAsia="Times New Roman" w:hAnsi="Arial" w:cs="Arial"/>
          <w:sz w:val="20"/>
          <w:szCs w:val="20"/>
          <w:lang w:eastAsia="en-AU"/>
        </w:rPr>
        <w:t>Bundles of Auer rods can be identified in most cases.</w:t>
      </w:r>
      <w:r>
        <w:rPr>
          <w:rFonts w:ascii="Arial" w:eastAsia="Times New Roman" w:hAnsi="Arial" w:cs="Arial"/>
          <w:sz w:val="20"/>
          <w:szCs w:val="20"/>
          <w:lang w:eastAsia="en-AU"/>
        </w:rPr>
        <w:t xml:space="preserve"> </w:t>
      </w:r>
      <w:r w:rsidRPr="00396830">
        <w:rPr>
          <w:rFonts w:ascii="Arial" w:eastAsia="Times New Roman" w:hAnsi="Arial" w:cs="Arial"/>
          <w:sz w:val="20"/>
          <w:szCs w:val="20"/>
          <w:lang w:eastAsia="en-AU"/>
        </w:rPr>
        <w:t xml:space="preserve">The leucocyte count is frequently markedly elevated, in contrast to </w:t>
      </w:r>
      <w:proofErr w:type="spellStart"/>
      <w:r w:rsidRPr="00396830">
        <w:rPr>
          <w:rFonts w:ascii="Arial" w:eastAsia="Times New Roman" w:hAnsi="Arial" w:cs="Arial"/>
          <w:sz w:val="20"/>
          <w:szCs w:val="20"/>
          <w:lang w:eastAsia="en-AU"/>
        </w:rPr>
        <w:t>hypergranular</w:t>
      </w:r>
      <w:proofErr w:type="spellEnd"/>
      <w:r w:rsidRPr="00396830">
        <w:rPr>
          <w:rFonts w:ascii="Arial" w:eastAsia="Times New Roman" w:hAnsi="Arial" w:cs="Arial"/>
          <w:sz w:val="20"/>
          <w:szCs w:val="20"/>
          <w:lang w:eastAsia="en-AU"/>
        </w:rPr>
        <w:t xml:space="preserve"> APL, with numerous abnormal microgranular promyelocytes.</w:t>
      </w:r>
      <w:r>
        <w:rPr>
          <w:rFonts w:ascii="Arial" w:eastAsia="Times New Roman" w:hAnsi="Arial" w:cs="Arial"/>
          <w:sz w:val="20"/>
          <w:szCs w:val="20"/>
          <w:lang w:eastAsia="en-AU"/>
        </w:rPr>
        <w:t xml:space="preserve"> </w:t>
      </w:r>
      <w:r w:rsidRPr="00396830">
        <w:rPr>
          <w:rFonts w:ascii="Arial" w:eastAsia="Times New Roman" w:hAnsi="Arial" w:cs="Arial"/>
          <w:sz w:val="20"/>
          <w:szCs w:val="20"/>
          <w:lang w:eastAsia="en-AU"/>
        </w:rPr>
        <w:t xml:space="preserve">Both </w:t>
      </w:r>
      <w:proofErr w:type="spellStart"/>
      <w:r w:rsidRPr="00396830">
        <w:rPr>
          <w:rFonts w:ascii="Arial" w:eastAsia="Times New Roman" w:hAnsi="Arial" w:cs="Arial"/>
          <w:sz w:val="20"/>
          <w:szCs w:val="20"/>
          <w:lang w:eastAsia="en-AU"/>
        </w:rPr>
        <w:t>hypergranular</w:t>
      </w:r>
      <w:proofErr w:type="spellEnd"/>
      <w:r w:rsidRPr="00396830">
        <w:rPr>
          <w:rFonts w:ascii="Arial" w:eastAsia="Times New Roman" w:hAnsi="Arial" w:cs="Arial"/>
          <w:sz w:val="20"/>
          <w:szCs w:val="20"/>
          <w:lang w:eastAsia="en-AU"/>
        </w:rPr>
        <w:t xml:space="preserve"> and microgranular APL are frequently associated with disseminated intravascular coagulation (DIC) and increased fibrinolysis.</w:t>
      </w:r>
      <w:r>
        <w:rPr>
          <w:rFonts w:ascii="Arial" w:eastAsia="Times New Roman" w:hAnsi="Arial" w:cs="Arial"/>
          <w:sz w:val="20"/>
          <w:szCs w:val="20"/>
          <w:lang w:eastAsia="en-AU"/>
        </w:rPr>
        <w:t xml:space="preserve"> </w:t>
      </w:r>
      <w:r w:rsidRPr="00396830">
        <w:rPr>
          <w:rFonts w:ascii="Arial" w:eastAsia="Times New Roman" w:hAnsi="Arial" w:cs="Arial"/>
          <w:sz w:val="20"/>
          <w:szCs w:val="20"/>
          <w:lang w:eastAsia="en-AU"/>
        </w:rPr>
        <w:t>Coagulopathy is associated with significant early death rates in APL patients.</w:t>
      </w:r>
      <w:r>
        <w:rPr>
          <w:rFonts w:ascii="Arial" w:eastAsia="Times New Roman" w:hAnsi="Arial" w:cs="Arial"/>
          <w:sz w:val="20"/>
          <w:szCs w:val="20"/>
          <w:lang w:eastAsia="en-AU"/>
        </w:rPr>
        <w:t xml:space="preserve"> </w:t>
      </w:r>
    </w:p>
    <w:p w:rsidR="00396830" w:rsidRDefault="00396830" w:rsidP="00396830">
      <w:pPr>
        <w:shd w:val="clear" w:color="auto" w:fill="FFFFFF"/>
        <w:spacing w:after="0" w:line="240" w:lineRule="auto"/>
        <w:rPr>
          <w:rFonts w:ascii="Arial" w:eastAsia="Times New Roman" w:hAnsi="Arial" w:cs="Arial"/>
          <w:sz w:val="20"/>
          <w:szCs w:val="20"/>
          <w:lang w:eastAsia="en-AU"/>
        </w:rPr>
      </w:pPr>
      <w:r w:rsidRPr="00396830">
        <w:rPr>
          <w:rFonts w:ascii="Arial" w:eastAsia="Times New Roman" w:hAnsi="Arial" w:cs="Arial"/>
          <w:sz w:val="20"/>
          <w:szCs w:val="20"/>
          <w:lang w:eastAsia="en-AU"/>
        </w:rPr>
        <w:t xml:space="preserve">This patient’s genetic testing indicated the presence of </w:t>
      </w:r>
      <w:proofErr w:type="gramStart"/>
      <w:r w:rsidRPr="00396830">
        <w:rPr>
          <w:rFonts w:ascii="Arial" w:eastAsia="Times New Roman" w:hAnsi="Arial" w:cs="Arial"/>
          <w:sz w:val="20"/>
          <w:szCs w:val="20"/>
          <w:lang w:eastAsia="en-AU"/>
        </w:rPr>
        <w:t>PML::</w:t>
      </w:r>
      <w:proofErr w:type="gramEnd"/>
      <w:r w:rsidRPr="00396830">
        <w:rPr>
          <w:rFonts w:ascii="Arial" w:eastAsia="Times New Roman" w:hAnsi="Arial" w:cs="Arial"/>
          <w:sz w:val="20"/>
          <w:szCs w:val="20"/>
          <w:lang w:eastAsia="en-AU"/>
        </w:rPr>
        <w:t>RARA t(15;17) (q22;q11).</w:t>
      </w:r>
    </w:p>
    <w:p w:rsidR="00396830" w:rsidRDefault="00396830" w:rsidP="00396830">
      <w:pPr>
        <w:shd w:val="clear" w:color="auto" w:fill="FFFFFF"/>
        <w:spacing w:after="0" w:line="240" w:lineRule="auto"/>
        <w:rPr>
          <w:rFonts w:ascii="Arial" w:eastAsia="Times New Roman" w:hAnsi="Arial" w:cs="Arial"/>
          <w:sz w:val="20"/>
          <w:szCs w:val="20"/>
          <w:lang w:eastAsia="en-AU"/>
        </w:rPr>
      </w:pPr>
      <w:r w:rsidRPr="00396830">
        <w:rPr>
          <w:rFonts w:ascii="Arial" w:eastAsia="Times New Roman" w:hAnsi="Arial" w:cs="Arial"/>
          <w:sz w:val="20"/>
          <w:szCs w:val="20"/>
          <w:lang w:eastAsia="en-AU"/>
        </w:rPr>
        <w:t>His fibrinogen level was low, and the D-Dimer was markedly elevated, indicating a co-existing DIC.</w:t>
      </w:r>
    </w:p>
    <w:p w:rsidR="00396830" w:rsidRDefault="00396830" w:rsidP="00396830">
      <w:pPr>
        <w:shd w:val="clear" w:color="auto" w:fill="FFFFFF"/>
        <w:spacing w:after="0" w:line="240" w:lineRule="auto"/>
        <w:rPr>
          <w:rFonts w:ascii="Arial" w:eastAsia="Times New Roman" w:hAnsi="Arial" w:cs="Arial"/>
          <w:sz w:val="20"/>
          <w:szCs w:val="20"/>
          <w:lang w:eastAsia="en-AU"/>
        </w:rPr>
      </w:pPr>
    </w:p>
    <w:p w:rsidR="00396830" w:rsidRPr="00396830" w:rsidRDefault="00396830" w:rsidP="00396830">
      <w:pPr>
        <w:shd w:val="clear" w:color="auto" w:fill="FFFFFF"/>
        <w:spacing w:after="0" w:line="240" w:lineRule="auto"/>
        <w:rPr>
          <w:rFonts w:ascii="Times New Roman" w:eastAsia="Times New Roman" w:hAnsi="Times New Roman" w:cs="Times New Roman"/>
          <w:sz w:val="20"/>
          <w:szCs w:val="24"/>
          <w:lang w:eastAsia="en-AU"/>
        </w:rPr>
      </w:pPr>
      <w:r w:rsidRPr="00396830">
        <w:rPr>
          <w:rFonts w:ascii="Arial" w:eastAsia="Times New Roman" w:hAnsi="Arial" w:cs="Arial"/>
          <w:sz w:val="16"/>
          <w:szCs w:val="20"/>
          <w:lang w:eastAsia="en-AU"/>
        </w:rPr>
        <w:t xml:space="preserve">1.WHO Classification of Tumours of Haematopoietic and Lymphoid Tissues, </w:t>
      </w:r>
      <w:proofErr w:type="spellStart"/>
      <w:r w:rsidRPr="00396830">
        <w:rPr>
          <w:rFonts w:ascii="Arial" w:eastAsia="Times New Roman" w:hAnsi="Arial" w:cs="Arial"/>
          <w:sz w:val="16"/>
          <w:szCs w:val="20"/>
          <w:lang w:eastAsia="en-AU"/>
        </w:rPr>
        <w:t>Swerdlow</w:t>
      </w:r>
      <w:proofErr w:type="spellEnd"/>
      <w:r w:rsidRPr="00396830">
        <w:rPr>
          <w:rFonts w:ascii="Arial" w:eastAsia="Times New Roman" w:hAnsi="Arial" w:cs="Arial"/>
          <w:sz w:val="16"/>
          <w:szCs w:val="20"/>
          <w:lang w:eastAsia="en-AU"/>
        </w:rPr>
        <w:t xml:space="preserve">, S et </w:t>
      </w:r>
      <w:proofErr w:type="spellStart"/>
      <w:proofErr w:type="gramStart"/>
      <w:r w:rsidRPr="00396830">
        <w:rPr>
          <w:rFonts w:ascii="Arial" w:eastAsia="Times New Roman" w:hAnsi="Arial" w:cs="Arial"/>
          <w:sz w:val="16"/>
          <w:szCs w:val="20"/>
          <w:lang w:eastAsia="en-AU"/>
        </w:rPr>
        <w:t>al,revised</w:t>
      </w:r>
      <w:proofErr w:type="spellEnd"/>
      <w:proofErr w:type="gramEnd"/>
      <w:r w:rsidRPr="00396830">
        <w:rPr>
          <w:rFonts w:ascii="Arial" w:eastAsia="Times New Roman" w:hAnsi="Arial" w:cs="Arial"/>
          <w:sz w:val="16"/>
          <w:szCs w:val="20"/>
          <w:lang w:eastAsia="en-AU"/>
        </w:rPr>
        <w:t xml:space="preserve"> 4thedition, 2017</w:t>
      </w:r>
    </w:p>
    <w:p w:rsidR="00027CD4" w:rsidRDefault="00027CD4">
      <w:pPr>
        <w:sectPr w:rsidR="00027CD4">
          <w:pgSz w:w="11906" w:h="16838"/>
          <w:pgMar w:top="1440" w:right="1440" w:bottom="1440" w:left="1440" w:header="708" w:footer="708" w:gutter="0"/>
          <w:cols w:space="708"/>
          <w:docGrid w:linePitch="360"/>
        </w:sectPr>
      </w:pPr>
    </w:p>
    <w:tbl>
      <w:tblPr>
        <w:tblW w:w="16283" w:type="dxa"/>
        <w:tblInd w:w="-572" w:type="dxa"/>
        <w:tblLook w:val="04A0" w:firstRow="1" w:lastRow="0" w:firstColumn="1" w:lastColumn="0" w:noHBand="0" w:noVBand="1"/>
      </w:tblPr>
      <w:tblGrid>
        <w:gridCol w:w="789"/>
        <w:gridCol w:w="1697"/>
        <w:gridCol w:w="1348"/>
        <w:gridCol w:w="1458"/>
        <w:gridCol w:w="1347"/>
        <w:gridCol w:w="1516"/>
        <w:gridCol w:w="1326"/>
        <w:gridCol w:w="1348"/>
        <w:gridCol w:w="1326"/>
        <w:gridCol w:w="1348"/>
        <w:gridCol w:w="1425"/>
        <w:gridCol w:w="1348"/>
        <w:gridCol w:w="7"/>
      </w:tblGrid>
      <w:tr w:rsidR="00027CD4" w:rsidRPr="00027CD4" w:rsidTr="00027CD4">
        <w:trPr>
          <w:trHeight w:val="499"/>
        </w:trPr>
        <w:tc>
          <w:tcPr>
            <w:tcW w:w="78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18"/>
                <w:lang w:eastAsia="en-AU"/>
              </w:rPr>
            </w:pPr>
            <w:r w:rsidRPr="00027CD4">
              <w:rPr>
                <w:rFonts w:ascii="Calibri" w:eastAsia="Times New Roman" w:hAnsi="Calibri" w:cs="Calibri"/>
                <w:color w:val="000000"/>
                <w:sz w:val="18"/>
                <w:szCs w:val="18"/>
                <w:lang w:eastAsia="en-AU"/>
              </w:rPr>
              <w:lastRenderedPageBreak/>
              <w:t> </w:t>
            </w:r>
          </w:p>
        </w:tc>
        <w:tc>
          <w:tcPr>
            <w:tcW w:w="15494" w:type="dxa"/>
            <w:gridSpan w:val="12"/>
            <w:tcBorders>
              <w:top w:val="single" w:sz="4" w:space="0" w:color="auto"/>
              <w:left w:val="nil"/>
              <w:bottom w:val="single" w:sz="4" w:space="0" w:color="auto"/>
              <w:right w:val="single" w:sz="4" w:space="0" w:color="000000"/>
            </w:tcBorders>
            <w:shd w:val="clear" w:color="000000" w:fill="FFFF00"/>
            <w:vAlign w:val="bottom"/>
            <w:hideMark/>
          </w:tcPr>
          <w:p w:rsidR="00027CD4" w:rsidRPr="00027CD4" w:rsidRDefault="00027CD4" w:rsidP="00027CD4">
            <w:pPr>
              <w:spacing w:after="0" w:line="240" w:lineRule="auto"/>
              <w:jc w:val="center"/>
              <w:rPr>
                <w:rFonts w:ascii="Calibri" w:eastAsia="Times New Roman" w:hAnsi="Calibri" w:cs="Calibri"/>
                <w:b/>
                <w:bCs/>
                <w:color w:val="000000"/>
                <w:sz w:val="18"/>
                <w:szCs w:val="24"/>
                <w:lang w:eastAsia="en-AU"/>
              </w:rPr>
            </w:pPr>
            <w:r w:rsidRPr="00027CD4">
              <w:rPr>
                <w:rFonts w:ascii="Calibri" w:eastAsia="Times New Roman" w:hAnsi="Calibri" w:cs="Calibri"/>
                <w:b/>
                <w:bCs/>
                <w:color w:val="000000"/>
                <w:sz w:val="18"/>
                <w:szCs w:val="24"/>
                <w:lang w:eastAsia="en-AU"/>
              </w:rPr>
              <w:t>HA-MO-22-02</w:t>
            </w:r>
          </w:p>
        </w:tc>
      </w:tr>
      <w:tr w:rsidR="00027CD4" w:rsidRPr="00027CD4" w:rsidTr="00027CD4">
        <w:trPr>
          <w:gridAfter w:val="1"/>
          <w:wAfter w:w="7" w:type="dxa"/>
          <w:trHeight w:val="514"/>
        </w:trPr>
        <w:tc>
          <w:tcPr>
            <w:tcW w:w="789" w:type="dxa"/>
            <w:vMerge w:val="restart"/>
            <w:tcBorders>
              <w:top w:val="nil"/>
              <w:left w:val="single" w:sz="4" w:space="0" w:color="auto"/>
              <w:bottom w:val="single" w:sz="4" w:space="0" w:color="auto"/>
              <w:right w:val="single" w:sz="4" w:space="0" w:color="auto"/>
            </w:tcBorders>
            <w:shd w:val="clear" w:color="000000" w:fill="FFCCFF"/>
            <w:textDirection w:val="tbRl"/>
            <w:vAlign w:val="center"/>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RBC Features</w:t>
            </w:r>
          </w:p>
        </w:tc>
        <w:tc>
          <w:tcPr>
            <w:tcW w:w="169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Schistocytes</w:t>
            </w:r>
          </w:p>
        </w:tc>
        <w:tc>
          <w:tcPr>
            <w:tcW w:w="134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Schistocytes</w:t>
            </w:r>
          </w:p>
        </w:tc>
        <w:tc>
          <w:tcPr>
            <w:tcW w:w="145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Polychromasia increased</w:t>
            </w:r>
          </w:p>
        </w:tc>
        <w:tc>
          <w:tcPr>
            <w:tcW w:w="134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Schistocytes</w:t>
            </w:r>
          </w:p>
        </w:tc>
        <w:tc>
          <w:tcPr>
            <w:tcW w:w="151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Schistocytes</w:t>
            </w:r>
          </w:p>
        </w:tc>
        <w:tc>
          <w:tcPr>
            <w:tcW w:w="1326"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Schistocytes</w:t>
            </w:r>
          </w:p>
        </w:tc>
        <w:tc>
          <w:tcPr>
            <w:tcW w:w="1326"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Schistocytes</w:t>
            </w:r>
          </w:p>
        </w:tc>
        <w:tc>
          <w:tcPr>
            <w:tcW w:w="1425"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Elliptocytes / ovalocytes</w:t>
            </w:r>
          </w:p>
        </w:tc>
        <w:tc>
          <w:tcPr>
            <w:tcW w:w="134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Schistocytes</w:t>
            </w:r>
          </w:p>
        </w:tc>
      </w:tr>
      <w:tr w:rsidR="00027CD4" w:rsidRPr="00027CD4" w:rsidTr="00027CD4">
        <w:trPr>
          <w:gridAfter w:val="1"/>
          <w:wAfter w:w="7" w:type="dxa"/>
          <w:trHeight w:val="514"/>
        </w:trPr>
        <w:tc>
          <w:tcPr>
            <w:tcW w:w="789" w:type="dxa"/>
            <w:vMerge/>
            <w:tcBorders>
              <w:top w:val="nil"/>
              <w:left w:val="single" w:sz="4" w:space="0" w:color="auto"/>
              <w:bottom w:val="single" w:sz="4" w:space="0" w:color="auto"/>
              <w:right w:val="single" w:sz="4" w:space="0" w:color="auto"/>
            </w:tcBorders>
            <w:vAlign w:val="center"/>
            <w:hideMark/>
          </w:tcPr>
          <w:p w:rsidR="00027CD4" w:rsidRPr="00027CD4" w:rsidRDefault="00027CD4" w:rsidP="00027CD4">
            <w:pPr>
              <w:spacing w:after="0" w:line="240" w:lineRule="auto"/>
              <w:rPr>
                <w:rFonts w:ascii="Calibri" w:eastAsia="Times New Roman" w:hAnsi="Calibri" w:cs="Calibri"/>
                <w:color w:val="000000"/>
                <w:sz w:val="18"/>
                <w:szCs w:val="20"/>
                <w:lang w:eastAsia="en-AU"/>
              </w:rPr>
            </w:pPr>
          </w:p>
        </w:tc>
        <w:tc>
          <w:tcPr>
            <w:tcW w:w="169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Polychromasia increased</w:t>
            </w:r>
          </w:p>
        </w:tc>
        <w:tc>
          <w:tcPr>
            <w:tcW w:w="134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Bite cells</w:t>
            </w:r>
          </w:p>
        </w:tc>
        <w:tc>
          <w:tcPr>
            <w:tcW w:w="145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7"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Elliptocytes / ovalocytes</w:t>
            </w:r>
          </w:p>
        </w:tc>
        <w:tc>
          <w:tcPr>
            <w:tcW w:w="1516"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Tear drop cells</w:t>
            </w:r>
          </w:p>
        </w:tc>
        <w:tc>
          <w:tcPr>
            <w:tcW w:w="1326"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Bite cells</w:t>
            </w:r>
          </w:p>
        </w:tc>
        <w:tc>
          <w:tcPr>
            <w:tcW w:w="1326"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Polychromasia increased</w:t>
            </w:r>
          </w:p>
        </w:tc>
        <w:tc>
          <w:tcPr>
            <w:tcW w:w="142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Schistocytes</w:t>
            </w:r>
          </w:p>
        </w:tc>
        <w:tc>
          <w:tcPr>
            <w:tcW w:w="134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Bite cells</w:t>
            </w:r>
          </w:p>
        </w:tc>
      </w:tr>
      <w:tr w:rsidR="00027CD4" w:rsidRPr="00027CD4" w:rsidTr="00027CD4">
        <w:trPr>
          <w:gridAfter w:val="1"/>
          <w:wAfter w:w="7" w:type="dxa"/>
          <w:trHeight w:val="514"/>
        </w:trPr>
        <w:tc>
          <w:tcPr>
            <w:tcW w:w="789" w:type="dxa"/>
            <w:vMerge/>
            <w:tcBorders>
              <w:top w:val="nil"/>
              <w:left w:val="single" w:sz="4" w:space="0" w:color="auto"/>
              <w:bottom w:val="single" w:sz="4" w:space="0" w:color="auto"/>
              <w:right w:val="single" w:sz="4" w:space="0" w:color="auto"/>
            </w:tcBorders>
            <w:vAlign w:val="center"/>
            <w:hideMark/>
          </w:tcPr>
          <w:p w:rsidR="00027CD4" w:rsidRPr="00027CD4" w:rsidRDefault="00027CD4" w:rsidP="00027CD4">
            <w:pPr>
              <w:spacing w:after="0" w:line="240" w:lineRule="auto"/>
              <w:rPr>
                <w:rFonts w:ascii="Calibri" w:eastAsia="Times New Roman" w:hAnsi="Calibri" w:cs="Calibri"/>
                <w:color w:val="000000"/>
                <w:sz w:val="18"/>
                <w:szCs w:val="20"/>
                <w:lang w:eastAsia="en-AU"/>
              </w:rPr>
            </w:pPr>
          </w:p>
        </w:tc>
        <w:tc>
          <w:tcPr>
            <w:tcW w:w="1697"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Nucleated red blood cells</w:t>
            </w:r>
          </w:p>
        </w:tc>
        <w:tc>
          <w:tcPr>
            <w:tcW w:w="134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Polychromasia increased</w:t>
            </w:r>
          </w:p>
        </w:tc>
        <w:tc>
          <w:tcPr>
            <w:tcW w:w="145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7"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Irregularly contracted cells</w:t>
            </w:r>
          </w:p>
        </w:tc>
        <w:tc>
          <w:tcPr>
            <w:tcW w:w="1516"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Nucleated red blood cells</w:t>
            </w:r>
          </w:p>
        </w:tc>
        <w:tc>
          <w:tcPr>
            <w:tcW w:w="1326"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Blister cells</w:t>
            </w:r>
          </w:p>
        </w:tc>
        <w:tc>
          <w:tcPr>
            <w:tcW w:w="1326"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Bite cells</w:t>
            </w:r>
          </w:p>
        </w:tc>
        <w:tc>
          <w:tcPr>
            <w:tcW w:w="1425"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Nucleated red blood cells</w:t>
            </w:r>
          </w:p>
        </w:tc>
        <w:tc>
          <w:tcPr>
            <w:tcW w:w="134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Polychromasia increased</w:t>
            </w:r>
          </w:p>
        </w:tc>
      </w:tr>
      <w:tr w:rsidR="00027CD4" w:rsidRPr="00027CD4" w:rsidTr="00027CD4">
        <w:trPr>
          <w:gridAfter w:val="1"/>
          <w:wAfter w:w="7" w:type="dxa"/>
          <w:trHeight w:val="514"/>
        </w:trPr>
        <w:tc>
          <w:tcPr>
            <w:tcW w:w="789" w:type="dxa"/>
            <w:vMerge/>
            <w:tcBorders>
              <w:top w:val="nil"/>
              <w:left w:val="single" w:sz="4" w:space="0" w:color="auto"/>
              <w:bottom w:val="single" w:sz="4" w:space="0" w:color="auto"/>
              <w:right w:val="single" w:sz="4" w:space="0" w:color="auto"/>
            </w:tcBorders>
            <w:vAlign w:val="center"/>
            <w:hideMark/>
          </w:tcPr>
          <w:p w:rsidR="00027CD4" w:rsidRPr="00027CD4" w:rsidRDefault="00027CD4" w:rsidP="00027CD4">
            <w:pPr>
              <w:spacing w:after="0" w:line="240" w:lineRule="auto"/>
              <w:rPr>
                <w:rFonts w:ascii="Calibri" w:eastAsia="Times New Roman" w:hAnsi="Calibri" w:cs="Calibri"/>
                <w:color w:val="000000"/>
                <w:sz w:val="18"/>
                <w:szCs w:val="20"/>
                <w:lang w:eastAsia="en-AU"/>
              </w:rPr>
            </w:pPr>
          </w:p>
        </w:tc>
        <w:tc>
          <w:tcPr>
            <w:tcW w:w="1697"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Irregularly contracted cells</w:t>
            </w:r>
          </w:p>
        </w:tc>
        <w:tc>
          <w:tcPr>
            <w:tcW w:w="145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7"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51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Polychromasia increased</w:t>
            </w:r>
          </w:p>
        </w:tc>
        <w:tc>
          <w:tcPr>
            <w:tcW w:w="1326"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Polychromasia increased</w:t>
            </w:r>
          </w:p>
        </w:tc>
        <w:tc>
          <w:tcPr>
            <w:tcW w:w="1326"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8"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Nucleated red blood cells</w:t>
            </w:r>
          </w:p>
        </w:tc>
        <w:tc>
          <w:tcPr>
            <w:tcW w:w="1425"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Irregularly contracted cells</w:t>
            </w:r>
          </w:p>
        </w:tc>
        <w:tc>
          <w:tcPr>
            <w:tcW w:w="134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Irregularly contracted cells</w:t>
            </w:r>
          </w:p>
        </w:tc>
      </w:tr>
      <w:tr w:rsidR="00027CD4" w:rsidRPr="00027CD4" w:rsidTr="00027CD4">
        <w:trPr>
          <w:gridAfter w:val="1"/>
          <w:wAfter w:w="7" w:type="dxa"/>
          <w:trHeight w:val="866"/>
        </w:trPr>
        <w:tc>
          <w:tcPr>
            <w:tcW w:w="789" w:type="dxa"/>
            <w:vMerge w:val="restart"/>
            <w:tcBorders>
              <w:top w:val="nil"/>
              <w:left w:val="single" w:sz="4" w:space="0" w:color="auto"/>
              <w:bottom w:val="single" w:sz="4" w:space="0" w:color="auto"/>
              <w:right w:val="single" w:sz="4" w:space="0" w:color="auto"/>
            </w:tcBorders>
            <w:shd w:val="clear" w:color="000000" w:fill="BDD7EE"/>
            <w:textDirection w:val="tbRl"/>
            <w:vAlign w:val="center"/>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WBC Features</w:t>
            </w:r>
          </w:p>
        </w:tc>
        <w:tc>
          <w:tcPr>
            <w:tcW w:w="169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Promyelocytes - abnormal</w:t>
            </w:r>
          </w:p>
        </w:tc>
        <w:tc>
          <w:tcPr>
            <w:tcW w:w="1348"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Blast cells</w:t>
            </w:r>
          </w:p>
        </w:tc>
        <w:tc>
          <w:tcPr>
            <w:tcW w:w="1458"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Blast cells</w:t>
            </w:r>
          </w:p>
        </w:tc>
        <w:tc>
          <w:tcPr>
            <w:tcW w:w="1347"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Blast cells</w:t>
            </w:r>
          </w:p>
        </w:tc>
        <w:tc>
          <w:tcPr>
            <w:tcW w:w="1516"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Blast cells</w:t>
            </w:r>
          </w:p>
        </w:tc>
        <w:tc>
          <w:tcPr>
            <w:tcW w:w="1326"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Auer rods</w:t>
            </w:r>
          </w:p>
        </w:tc>
        <w:tc>
          <w:tcPr>
            <w:tcW w:w="1326"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Promyelocytes - abnormal</w:t>
            </w:r>
          </w:p>
        </w:tc>
        <w:tc>
          <w:tcPr>
            <w:tcW w:w="1425"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Blast cells</w:t>
            </w:r>
          </w:p>
        </w:tc>
        <w:tc>
          <w:tcPr>
            <w:tcW w:w="1348"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Blast cells</w:t>
            </w:r>
          </w:p>
        </w:tc>
      </w:tr>
      <w:tr w:rsidR="00027CD4" w:rsidRPr="00027CD4" w:rsidTr="00027CD4">
        <w:trPr>
          <w:gridAfter w:val="1"/>
          <w:wAfter w:w="7" w:type="dxa"/>
          <w:trHeight w:val="763"/>
        </w:trPr>
        <w:tc>
          <w:tcPr>
            <w:tcW w:w="789" w:type="dxa"/>
            <w:vMerge/>
            <w:tcBorders>
              <w:top w:val="nil"/>
              <w:left w:val="single" w:sz="4" w:space="0" w:color="auto"/>
              <w:bottom w:val="single" w:sz="4" w:space="0" w:color="auto"/>
              <w:right w:val="single" w:sz="4" w:space="0" w:color="auto"/>
            </w:tcBorders>
            <w:vAlign w:val="center"/>
            <w:hideMark/>
          </w:tcPr>
          <w:p w:rsidR="00027CD4" w:rsidRPr="00027CD4" w:rsidRDefault="00027CD4" w:rsidP="00027CD4">
            <w:pPr>
              <w:spacing w:after="0" w:line="240" w:lineRule="auto"/>
              <w:rPr>
                <w:rFonts w:ascii="Calibri" w:eastAsia="Times New Roman" w:hAnsi="Calibri" w:cs="Calibri"/>
                <w:color w:val="000000"/>
                <w:sz w:val="18"/>
                <w:szCs w:val="20"/>
                <w:lang w:eastAsia="en-AU"/>
              </w:rPr>
            </w:pPr>
          </w:p>
        </w:tc>
        <w:tc>
          <w:tcPr>
            <w:tcW w:w="1697"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45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7"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516"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027CD4" w:rsidRPr="00027CD4" w:rsidRDefault="00027CD4" w:rsidP="00027CD4">
            <w:pPr>
              <w:spacing w:after="0" w:line="240" w:lineRule="auto"/>
              <w:jc w:val="center"/>
              <w:rPr>
                <w:rFonts w:ascii="Calibri" w:eastAsia="Times New Roman" w:hAnsi="Calibri" w:cs="Calibri"/>
                <w:sz w:val="18"/>
                <w:szCs w:val="20"/>
                <w:lang w:eastAsia="en-AU"/>
              </w:rPr>
            </w:pPr>
            <w:r w:rsidRPr="00027CD4">
              <w:rPr>
                <w:rFonts w:ascii="Calibri" w:eastAsia="Times New Roman" w:hAnsi="Calibri" w:cs="Calibri"/>
                <w:sz w:val="18"/>
                <w:szCs w:val="20"/>
                <w:lang w:eastAsia="en-AU"/>
              </w:rPr>
              <w:t>Promyelocytes / metamyelocytes / myelocytes</w:t>
            </w:r>
          </w:p>
        </w:tc>
        <w:tc>
          <w:tcPr>
            <w:tcW w:w="1326"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8"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Blast cells</w:t>
            </w:r>
          </w:p>
        </w:tc>
        <w:tc>
          <w:tcPr>
            <w:tcW w:w="1326"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425"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027CD4" w:rsidRPr="00027CD4" w:rsidRDefault="00027CD4" w:rsidP="00027CD4">
            <w:pPr>
              <w:spacing w:after="0" w:line="240" w:lineRule="auto"/>
              <w:jc w:val="center"/>
              <w:rPr>
                <w:rFonts w:ascii="Calibri" w:eastAsia="Times New Roman" w:hAnsi="Calibri" w:cs="Calibri"/>
                <w:sz w:val="18"/>
                <w:szCs w:val="20"/>
                <w:lang w:eastAsia="en-AU"/>
              </w:rPr>
            </w:pPr>
            <w:r w:rsidRPr="00027CD4">
              <w:rPr>
                <w:rFonts w:ascii="Calibri" w:eastAsia="Times New Roman" w:hAnsi="Calibri" w:cs="Calibri"/>
                <w:sz w:val="18"/>
                <w:szCs w:val="20"/>
                <w:lang w:eastAsia="en-AU"/>
              </w:rPr>
              <w:t>Promyelocytes / metamyelocytes / myelocytes</w:t>
            </w:r>
          </w:p>
        </w:tc>
        <w:tc>
          <w:tcPr>
            <w:tcW w:w="134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r>
      <w:tr w:rsidR="00027CD4" w:rsidRPr="00027CD4" w:rsidTr="00027CD4">
        <w:trPr>
          <w:gridAfter w:val="1"/>
          <w:wAfter w:w="7" w:type="dxa"/>
          <w:trHeight w:val="763"/>
        </w:trPr>
        <w:tc>
          <w:tcPr>
            <w:tcW w:w="789" w:type="dxa"/>
            <w:vMerge/>
            <w:tcBorders>
              <w:top w:val="nil"/>
              <w:left w:val="single" w:sz="4" w:space="0" w:color="auto"/>
              <w:bottom w:val="single" w:sz="4" w:space="0" w:color="auto"/>
              <w:right w:val="single" w:sz="4" w:space="0" w:color="auto"/>
            </w:tcBorders>
            <w:vAlign w:val="center"/>
            <w:hideMark/>
          </w:tcPr>
          <w:p w:rsidR="00027CD4" w:rsidRPr="00027CD4" w:rsidRDefault="00027CD4" w:rsidP="00027CD4">
            <w:pPr>
              <w:spacing w:after="0" w:line="240" w:lineRule="auto"/>
              <w:rPr>
                <w:rFonts w:ascii="Calibri" w:eastAsia="Times New Roman" w:hAnsi="Calibri" w:cs="Calibri"/>
                <w:color w:val="000000"/>
                <w:sz w:val="18"/>
                <w:szCs w:val="20"/>
                <w:lang w:eastAsia="en-AU"/>
              </w:rPr>
            </w:pPr>
          </w:p>
        </w:tc>
        <w:tc>
          <w:tcPr>
            <w:tcW w:w="1697"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45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7"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516"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26"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Promyelocytes - abnormal</w:t>
            </w:r>
          </w:p>
        </w:tc>
        <w:tc>
          <w:tcPr>
            <w:tcW w:w="1326"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42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Promyelocytes - abnormal</w:t>
            </w:r>
          </w:p>
        </w:tc>
        <w:tc>
          <w:tcPr>
            <w:tcW w:w="134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r>
      <w:tr w:rsidR="00027CD4" w:rsidRPr="00027CD4" w:rsidTr="00027CD4">
        <w:trPr>
          <w:gridAfter w:val="1"/>
          <w:wAfter w:w="7" w:type="dxa"/>
          <w:trHeight w:val="1179"/>
        </w:trPr>
        <w:tc>
          <w:tcPr>
            <w:tcW w:w="789" w:type="dxa"/>
            <w:tcBorders>
              <w:top w:val="nil"/>
              <w:left w:val="single" w:sz="4" w:space="0" w:color="auto"/>
              <w:bottom w:val="single" w:sz="4" w:space="0" w:color="auto"/>
              <w:right w:val="single" w:sz="4" w:space="0" w:color="auto"/>
            </w:tcBorders>
            <w:shd w:val="clear" w:color="000000" w:fill="D6DCE4"/>
            <w:textDirection w:val="tbRl"/>
            <w:vAlign w:val="center"/>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Platelet Features</w:t>
            </w:r>
          </w:p>
        </w:tc>
        <w:tc>
          <w:tcPr>
            <w:tcW w:w="169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No significant morphological platelet abnormality</w:t>
            </w:r>
          </w:p>
        </w:tc>
        <w:tc>
          <w:tcPr>
            <w:tcW w:w="134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No significant morphological platelet abnormality</w:t>
            </w:r>
          </w:p>
        </w:tc>
        <w:tc>
          <w:tcPr>
            <w:tcW w:w="145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No significant morphological platelet abnormality</w:t>
            </w:r>
          </w:p>
        </w:tc>
        <w:tc>
          <w:tcPr>
            <w:tcW w:w="1516"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Giant platelets / significant numbers of large platelets</w:t>
            </w:r>
          </w:p>
        </w:tc>
        <w:tc>
          <w:tcPr>
            <w:tcW w:w="1326"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No significant morphological platelet abnormality</w:t>
            </w:r>
          </w:p>
        </w:tc>
        <w:tc>
          <w:tcPr>
            <w:tcW w:w="1326"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Inaccurate platelet count</w:t>
            </w:r>
          </w:p>
        </w:tc>
        <w:tc>
          <w:tcPr>
            <w:tcW w:w="142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Inaccurate platelet count</w:t>
            </w:r>
          </w:p>
        </w:tc>
        <w:tc>
          <w:tcPr>
            <w:tcW w:w="134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No significant morphological platelet abnormality</w:t>
            </w:r>
          </w:p>
        </w:tc>
      </w:tr>
      <w:tr w:rsidR="00027CD4" w:rsidRPr="00027CD4" w:rsidTr="00027CD4">
        <w:trPr>
          <w:gridAfter w:val="1"/>
          <w:wAfter w:w="7" w:type="dxa"/>
          <w:trHeight w:val="842"/>
        </w:trPr>
        <w:tc>
          <w:tcPr>
            <w:tcW w:w="789" w:type="dxa"/>
            <w:tcBorders>
              <w:top w:val="nil"/>
              <w:left w:val="single" w:sz="4" w:space="0" w:color="auto"/>
              <w:bottom w:val="single" w:sz="4" w:space="0" w:color="auto"/>
              <w:right w:val="single" w:sz="4" w:space="0" w:color="auto"/>
            </w:tcBorders>
            <w:shd w:val="clear" w:color="000000" w:fill="F8CBAD"/>
            <w:textDirection w:val="tbRl"/>
            <w:vAlign w:val="center"/>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Primary Diagnosis</w:t>
            </w:r>
          </w:p>
        </w:tc>
        <w:tc>
          <w:tcPr>
            <w:tcW w:w="169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Acute promyelocytic leukaemia</w:t>
            </w:r>
          </w:p>
        </w:tc>
        <w:tc>
          <w:tcPr>
            <w:tcW w:w="134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Acute promyelocytic leukaemia</w:t>
            </w:r>
          </w:p>
        </w:tc>
        <w:tc>
          <w:tcPr>
            <w:tcW w:w="145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7"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Acute leukaemia</w:t>
            </w:r>
          </w:p>
        </w:tc>
        <w:tc>
          <w:tcPr>
            <w:tcW w:w="151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Acute promyelocytic leukaemia</w:t>
            </w:r>
          </w:p>
        </w:tc>
        <w:tc>
          <w:tcPr>
            <w:tcW w:w="1326"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Acute promyelocytic leukaemia</w:t>
            </w:r>
          </w:p>
        </w:tc>
        <w:tc>
          <w:tcPr>
            <w:tcW w:w="1326"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4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Acute promyelocytic leukaemia</w:t>
            </w:r>
          </w:p>
        </w:tc>
        <w:tc>
          <w:tcPr>
            <w:tcW w:w="142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Acute promyelocytic leukaemia</w:t>
            </w:r>
          </w:p>
        </w:tc>
        <w:tc>
          <w:tcPr>
            <w:tcW w:w="134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Acute promyelocytic leukaemia</w:t>
            </w:r>
          </w:p>
        </w:tc>
      </w:tr>
    </w:tbl>
    <w:p w:rsidR="00396830" w:rsidRDefault="00396830"/>
    <w:tbl>
      <w:tblPr>
        <w:tblW w:w="8468" w:type="dxa"/>
        <w:tblInd w:w="-436" w:type="dxa"/>
        <w:tblLook w:val="04A0" w:firstRow="1" w:lastRow="0" w:firstColumn="1" w:lastColumn="0" w:noHBand="0" w:noVBand="1"/>
      </w:tblPr>
      <w:tblGrid>
        <w:gridCol w:w="2324"/>
        <w:gridCol w:w="2029"/>
        <w:gridCol w:w="1950"/>
        <w:gridCol w:w="2165"/>
      </w:tblGrid>
      <w:tr w:rsidR="00027CD4" w:rsidRPr="002A1F62" w:rsidTr="004933D2">
        <w:trPr>
          <w:trHeight w:val="550"/>
        </w:trPr>
        <w:tc>
          <w:tcPr>
            <w:tcW w:w="2324" w:type="dxa"/>
            <w:tcBorders>
              <w:top w:val="single" w:sz="8" w:space="0" w:color="auto"/>
              <w:left w:val="single" w:sz="8" w:space="0" w:color="auto"/>
              <w:bottom w:val="single" w:sz="8" w:space="0" w:color="auto"/>
              <w:right w:val="single" w:sz="8" w:space="0" w:color="auto"/>
            </w:tcBorders>
            <w:shd w:val="clear" w:color="000000" w:fill="C6EFCE"/>
            <w:vAlign w:val="center"/>
            <w:hideMark/>
          </w:tcPr>
          <w:p w:rsidR="00027CD4" w:rsidRPr="002A1F62" w:rsidRDefault="00027CD4" w:rsidP="004933D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Highest scoring response</w:t>
            </w:r>
          </w:p>
        </w:tc>
        <w:tc>
          <w:tcPr>
            <w:tcW w:w="2029"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027CD4" w:rsidRPr="002A1F62" w:rsidRDefault="00027CD4" w:rsidP="004933D2">
            <w:pPr>
              <w:spacing w:after="0" w:line="240" w:lineRule="auto"/>
              <w:jc w:val="center"/>
              <w:rPr>
                <w:rFonts w:ascii="Calibri" w:eastAsia="Times New Roman" w:hAnsi="Calibri" w:cs="Calibri"/>
                <w:color w:val="9C5700"/>
                <w:sz w:val="16"/>
                <w:szCs w:val="20"/>
                <w:lang w:eastAsia="en-AU"/>
              </w:rPr>
            </w:pPr>
            <w:r w:rsidRPr="002A1F62">
              <w:rPr>
                <w:rFonts w:ascii="Calibri" w:eastAsia="Times New Roman" w:hAnsi="Calibri" w:cs="Calibri"/>
                <w:color w:val="9C5700"/>
                <w:sz w:val="16"/>
                <w:szCs w:val="20"/>
                <w:lang w:eastAsia="en-AU"/>
              </w:rPr>
              <w:t>Moderate scoring response</w:t>
            </w:r>
          </w:p>
        </w:tc>
        <w:tc>
          <w:tcPr>
            <w:tcW w:w="1950" w:type="dxa"/>
            <w:tcBorders>
              <w:top w:val="single" w:sz="8" w:space="0" w:color="auto"/>
              <w:left w:val="single" w:sz="8" w:space="0" w:color="auto"/>
              <w:bottom w:val="single" w:sz="8" w:space="0" w:color="auto"/>
              <w:right w:val="single" w:sz="8" w:space="0" w:color="auto"/>
            </w:tcBorders>
            <w:shd w:val="clear" w:color="000000" w:fill="FFF2CC"/>
            <w:vAlign w:val="center"/>
            <w:hideMark/>
          </w:tcPr>
          <w:p w:rsidR="00027CD4" w:rsidRPr="002A1F62" w:rsidRDefault="00027CD4" w:rsidP="004933D2">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 xml:space="preserve">Lowest scoring response </w:t>
            </w:r>
          </w:p>
        </w:tc>
        <w:tc>
          <w:tcPr>
            <w:tcW w:w="2165" w:type="dxa"/>
            <w:tcBorders>
              <w:top w:val="single" w:sz="8" w:space="0" w:color="auto"/>
              <w:left w:val="nil"/>
              <w:bottom w:val="single" w:sz="8" w:space="0" w:color="auto"/>
              <w:right w:val="single" w:sz="8" w:space="0" w:color="auto"/>
            </w:tcBorders>
            <w:shd w:val="clear" w:color="auto" w:fill="auto"/>
            <w:vAlign w:val="center"/>
            <w:hideMark/>
          </w:tcPr>
          <w:p w:rsidR="00027CD4" w:rsidRPr="002A1F62" w:rsidRDefault="00027CD4" w:rsidP="004933D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xml:space="preserve">Response given no score </w:t>
            </w:r>
          </w:p>
        </w:tc>
      </w:tr>
    </w:tbl>
    <w:p w:rsidR="00027CD4" w:rsidRDefault="00027CD4"/>
    <w:p w:rsidR="00027CD4" w:rsidRDefault="00027CD4"/>
    <w:p w:rsidR="00027CD4" w:rsidRDefault="00027CD4"/>
    <w:p w:rsidR="00027CD4" w:rsidRDefault="00027CD4"/>
    <w:tbl>
      <w:tblPr>
        <w:tblW w:w="16374" w:type="dxa"/>
        <w:tblInd w:w="-572" w:type="dxa"/>
        <w:tblLook w:val="04A0" w:firstRow="1" w:lastRow="0" w:firstColumn="1" w:lastColumn="0" w:noHBand="0" w:noVBand="1"/>
      </w:tblPr>
      <w:tblGrid>
        <w:gridCol w:w="576"/>
        <w:gridCol w:w="1715"/>
        <w:gridCol w:w="1481"/>
        <w:gridCol w:w="1296"/>
        <w:gridCol w:w="1425"/>
        <w:gridCol w:w="1425"/>
        <w:gridCol w:w="1481"/>
        <w:gridCol w:w="1425"/>
        <w:gridCol w:w="1425"/>
        <w:gridCol w:w="1296"/>
        <w:gridCol w:w="1478"/>
        <w:gridCol w:w="1351"/>
      </w:tblGrid>
      <w:tr w:rsidR="00027CD4" w:rsidRPr="00027CD4" w:rsidTr="00027CD4">
        <w:trPr>
          <w:trHeight w:val="518"/>
        </w:trPr>
        <w:tc>
          <w:tcPr>
            <w:tcW w:w="744" w:type="dxa"/>
            <w:vMerge w:val="restart"/>
            <w:tcBorders>
              <w:top w:val="single" w:sz="4" w:space="0" w:color="auto"/>
              <w:left w:val="single" w:sz="4" w:space="0" w:color="auto"/>
              <w:bottom w:val="single" w:sz="4" w:space="0" w:color="auto"/>
              <w:right w:val="single" w:sz="4" w:space="0" w:color="auto"/>
            </w:tcBorders>
            <w:shd w:val="clear" w:color="000000" w:fill="FFCCFF"/>
            <w:textDirection w:val="tbRl"/>
            <w:vAlign w:val="center"/>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lastRenderedPageBreak/>
              <w:t>RBC Features</w:t>
            </w:r>
          </w:p>
        </w:tc>
        <w:tc>
          <w:tcPr>
            <w:tcW w:w="227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Polychromasia increased</w:t>
            </w:r>
          </w:p>
        </w:tc>
        <w:tc>
          <w:tcPr>
            <w:tcW w:w="1477" w:type="dxa"/>
            <w:tcBorders>
              <w:top w:val="single" w:sz="4" w:space="0" w:color="auto"/>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Bite cells</w:t>
            </w:r>
          </w:p>
        </w:tc>
        <w:tc>
          <w:tcPr>
            <w:tcW w:w="126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Schistocytes</w:t>
            </w:r>
          </w:p>
        </w:tc>
        <w:tc>
          <w:tcPr>
            <w:tcW w:w="126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Schistocytes</w:t>
            </w:r>
          </w:p>
        </w:tc>
        <w:tc>
          <w:tcPr>
            <w:tcW w:w="126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Schistocytes</w:t>
            </w:r>
          </w:p>
        </w:tc>
        <w:tc>
          <w:tcPr>
            <w:tcW w:w="1304"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Schistocytes</w:t>
            </w:r>
          </w:p>
        </w:tc>
        <w:tc>
          <w:tcPr>
            <w:tcW w:w="126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Schistocytes</w:t>
            </w:r>
          </w:p>
        </w:tc>
        <w:tc>
          <w:tcPr>
            <w:tcW w:w="126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Schistocytes</w:t>
            </w:r>
          </w:p>
        </w:tc>
        <w:tc>
          <w:tcPr>
            <w:tcW w:w="126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Schistocytes</w:t>
            </w:r>
          </w:p>
        </w:tc>
        <w:tc>
          <w:tcPr>
            <w:tcW w:w="154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Schistocytes</w:t>
            </w:r>
          </w:p>
        </w:tc>
        <w:tc>
          <w:tcPr>
            <w:tcW w:w="1422"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Polychromasia increased</w:t>
            </w:r>
          </w:p>
        </w:tc>
      </w:tr>
      <w:tr w:rsidR="00027CD4" w:rsidRPr="00027CD4" w:rsidTr="00027CD4">
        <w:trPr>
          <w:trHeight w:val="518"/>
        </w:trPr>
        <w:tc>
          <w:tcPr>
            <w:tcW w:w="744" w:type="dxa"/>
            <w:vMerge/>
            <w:tcBorders>
              <w:top w:val="single" w:sz="4" w:space="0" w:color="auto"/>
              <w:left w:val="single" w:sz="4" w:space="0" w:color="auto"/>
              <w:bottom w:val="single" w:sz="4" w:space="0" w:color="auto"/>
              <w:right w:val="single" w:sz="4" w:space="0" w:color="auto"/>
            </w:tcBorders>
            <w:vAlign w:val="center"/>
            <w:hideMark/>
          </w:tcPr>
          <w:p w:rsidR="00027CD4" w:rsidRPr="00027CD4" w:rsidRDefault="00027CD4" w:rsidP="00027CD4">
            <w:pPr>
              <w:spacing w:after="0" w:line="240" w:lineRule="auto"/>
              <w:rPr>
                <w:rFonts w:ascii="Calibri" w:eastAsia="Times New Roman" w:hAnsi="Calibri" w:cs="Calibri"/>
                <w:color w:val="000000"/>
                <w:sz w:val="18"/>
                <w:szCs w:val="20"/>
                <w:lang w:eastAsia="en-AU"/>
              </w:rPr>
            </w:pPr>
          </w:p>
        </w:tc>
        <w:tc>
          <w:tcPr>
            <w:tcW w:w="227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Schistocytes</w:t>
            </w:r>
          </w:p>
        </w:tc>
        <w:tc>
          <w:tcPr>
            <w:tcW w:w="147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Schistocytes</w:t>
            </w:r>
          </w:p>
        </w:tc>
        <w:tc>
          <w:tcPr>
            <w:tcW w:w="1267"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Spherocytes</w:t>
            </w:r>
          </w:p>
        </w:tc>
        <w:tc>
          <w:tcPr>
            <w:tcW w:w="126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Echinocytes</w:t>
            </w:r>
          </w:p>
        </w:tc>
        <w:tc>
          <w:tcPr>
            <w:tcW w:w="126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04"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Polychromasia increased</w:t>
            </w:r>
          </w:p>
        </w:tc>
        <w:tc>
          <w:tcPr>
            <w:tcW w:w="1268"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Nucleated red blood cells</w:t>
            </w:r>
          </w:p>
        </w:tc>
        <w:tc>
          <w:tcPr>
            <w:tcW w:w="1268"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Nucleated red blood cells</w:t>
            </w:r>
          </w:p>
        </w:tc>
        <w:tc>
          <w:tcPr>
            <w:tcW w:w="126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Polychromasia increased</w:t>
            </w:r>
          </w:p>
        </w:tc>
        <w:tc>
          <w:tcPr>
            <w:tcW w:w="1546"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Nucleated red blood cells</w:t>
            </w:r>
          </w:p>
        </w:tc>
        <w:tc>
          <w:tcPr>
            <w:tcW w:w="1422"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Schistocytes</w:t>
            </w:r>
          </w:p>
        </w:tc>
      </w:tr>
      <w:tr w:rsidR="00027CD4" w:rsidRPr="00027CD4" w:rsidTr="00027CD4">
        <w:trPr>
          <w:trHeight w:val="518"/>
        </w:trPr>
        <w:tc>
          <w:tcPr>
            <w:tcW w:w="744" w:type="dxa"/>
            <w:vMerge/>
            <w:tcBorders>
              <w:top w:val="single" w:sz="4" w:space="0" w:color="auto"/>
              <w:left w:val="single" w:sz="4" w:space="0" w:color="auto"/>
              <w:bottom w:val="single" w:sz="4" w:space="0" w:color="auto"/>
              <w:right w:val="single" w:sz="4" w:space="0" w:color="auto"/>
            </w:tcBorders>
            <w:vAlign w:val="center"/>
            <w:hideMark/>
          </w:tcPr>
          <w:p w:rsidR="00027CD4" w:rsidRPr="00027CD4" w:rsidRDefault="00027CD4" w:rsidP="00027CD4">
            <w:pPr>
              <w:spacing w:after="0" w:line="240" w:lineRule="auto"/>
              <w:rPr>
                <w:rFonts w:ascii="Calibri" w:eastAsia="Times New Roman" w:hAnsi="Calibri" w:cs="Calibri"/>
                <w:color w:val="000000"/>
                <w:sz w:val="18"/>
                <w:szCs w:val="20"/>
                <w:lang w:eastAsia="en-AU"/>
              </w:rPr>
            </w:pPr>
          </w:p>
        </w:tc>
        <w:tc>
          <w:tcPr>
            <w:tcW w:w="2275"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47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Polychromasia increased</w:t>
            </w:r>
          </w:p>
        </w:tc>
        <w:tc>
          <w:tcPr>
            <w:tcW w:w="126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Polychromasia increased</w:t>
            </w:r>
          </w:p>
        </w:tc>
        <w:tc>
          <w:tcPr>
            <w:tcW w:w="126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Polychromasia increased</w:t>
            </w:r>
          </w:p>
        </w:tc>
        <w:tc>
          <w:tcPr>
            <w:tcW w:w="126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04"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26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Polychromasia increased</w:t>
            </w:r>
          </w:p>
        </w:tc>
        <w:tc>
          <w:tcPr>
            <w:tcW w:w="126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267"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Nucleated red blood cells</w:t>
            </w:r>
          </w:p>
        </w:tc>
        <w:tc>
          <w:tcPr>
            <w:tcW w:w="154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Polychromasia increased</w:t>
            </w:r>
          </w:p>
        </w:tc>
        <w:tc>
          <w:tcPr>
            <w:tcW w:w="1422"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Nucleated red blood cells</w:t>
            </w:r>
          </w:p>
        </w:tc>
      </w:tr>
      <w:tr w:rsidR="00027CD4" w:rsidRPr="00027CD4" w:rsidTr="00027CD4">
        <w:trPr>
          <w:trHeight w:val="518"/>
        </w:trPr>
        <w:tc>
          <w:tcPr>
            <w:tcW w:w="744" w:type="dxa"/>
            <w:vMerge/>
            <w:tcBorders>
              <w:top w:val="single" w:sz="4" w:space="0" w:color="auto"/>
              <w:left w:val="single" w:sz="4" w:space="0" w:color="auto"/>
              <w:bottom w:val="single" w:sz="4" w:space="0" w:color="auto"/>
              <w:right w:val="single" w:sz="4" w:space="0" w:color="auto"/>
            </w:tcBorders>
            <w:vAlign w:val="center"/>
            <w:hideMark/>
          </w:tcPr>
          <w:p w:rsidR="00027CD4" w:rsidRPr="00027CD4" w:rsidRDefault="00027CD4" w:rsidP="00027CD4">
            <w:pPr>
              <w:spacing w:after="0" w:line="240" w:lineRule="auto"/>
              <w:rPr>
                <w:rFonts w:ascii="Calibri" w:eastAsia="Times New Roman" w:hAnsi="Calibri" w:cs="Calibri"/>
                <w:color w:val="000000"/>
                <w:sz w:val="18"/>
                <w:szCs w:val="20"/>
                <w:lang w:eastAsia="en-AU"/>
              </w:rPr>
            </w:pPr>
          </w:p>
        </w:tc>
        <w:tc>
          <w:tcPr>
            <w:tcW w:w="2275"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477"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Echinocytes</w:t>
            </w:r>
          </w:p>
        </w:tc>
        <w:tc>
          <w:tcPr>
            <w:tcW w:w="1267"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268"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Nucleated red blood cells</w:t>
            </w:r>
          </w:p>
        </w:tc>
        <w:tc>
          <w:tcPr>
            <w:tcW w:w="126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304"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26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26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267"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Bite cells</w:t>
            </w:r>
          </w:p>
        </w:tc>
        <w:tc>
          <w:tcPr>
            <w:tcW w:w="1546"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Microcytes</w:t>
            </w:r>
          </w:p>
        </w:tc>
        <w:tc>
          <w:tcPr>
            <w:tcW w:w="1422"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r>
      <w:tr w:rsidR="00027CD4" w:rsidRPr="00027CD4" w:rsidTr="00027CD4">
        <w:trPr>
          <w:trHeight w:val="873"/>
        </w:trPr>
        <w:tc>
          <w:tcPr>
            <w:tcW w:w="744" w:type="dxa"/>
            <w:vMerge w:val="restart"/>
            <w:tcBorders>
              <w:top w:val="nil"/>
              <w:left w:val="single" w:sz="4" w:space="0" w:color="auto"/>
              <w:bottom w:val="single" w:sz="4" w:space="0" w:color="auto"/>
              <w:right w:val="single" w:sz="4" w:space="0" w:color="auto"/>
            </w:tcBorders>
            <w:shd w:val="clear" w:color="000000" w:fill="BDD7EE"/>
            <w:textDirection w:val="tbRl"/>
            <w:vAlign w:val="center"/>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WBC Features</w:t>
            </w:r>
          </w:p>
        </w:tc>
        <w:tc>
          <w:tcPr>
            <w:tcW w:w="2275"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Blast cells</w:t>
            </w:r>
          </w:p>
        </w:tc>
        <w:tc>
          <w:tcPr>
            <w:tcW w:w="1477"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Blast cells</w:t>
            </w:r>
          </w:p>
        </w:tc>
        <w:tc>
          <w:tcPr>
            <w:tcW w:w="1267"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Blast cells</w:t>
            </w:r>
          </w:p>
        </w:tc>
        <w:tc>
          <w:tcPr>
            <w:tcW w:w="126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Promyelocytes - abnormal</w:t>
            </w:r>
          </w:p>
        </w:tc>
        <w:tc>
          <w:tcPr>
            <w:tcW w:w="1268"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Neutropenia</w:t>
            </w:r>
          </w:p>
        </w:tc>
        <w:tc>
          <w:tcPr>
            <w:tcW w:w="1304"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Blast cells</w:t>
            </w:r>
          </w:p>
        </w:tc>
        <w:tc>
          <w:tcPr>
            <w:tcW w:w="126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Promyelocytes - abnormal</w:t>
            </w:r>
          </w:p>
        </w:tc>
        <w:tc>
          <w:tcPr>
            <w:tcW w:w="1268"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Blast cells</w:t>
            </w:r>
          </w:p>
        </w:tc>
        <w:tc>
          <w:tcPr>
            <w:tcW w:w="126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Promyelocytes - abnormal</w:t>
            </w:r>
          </w:p>
        </w:tc>
        <w:tc>
          <w:tcPr>
            <w:tcW w:w="154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Auer rods</w:t>
            </w:r>
          </w:p>
        </w:tc>
        <w:tc>
          <w:tcPr>
            <w:tcW w:w="1422"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Promyelocytes - abnormal</w:t>
            </w:r>
          </w:p>
        </w:tc>
      </w:tr>
      <w:tr w:rsidR="00027CD4" w:rsidRPr="00027CD4" w:rsidTr="00027CD4">
        <w:trPr>
          <w:trHeight w:val="769"/>
        </w:trPr>
        <w:tc>
          <w:tcPr>
            <w:tcW w:w="744" w:type="dxa"/>
            <w:vMerge/>
            <w:tcBorders>
              <w:top w:val="nil"/>
              <w:left w:val="single" w:sz="4" w:space="0" w:color="auto"/>
              <w:bottom w:val="single" w:sz="4" w:space="0" w:color="auto"/>
              <w:right w:val="single" w:sz="4" w:space="0" w:color="auto"/>
            </w:tcBorders>
            <w:vAlign w:val="center"/>
            <w:hideMark/>
          </w:tcPr>
          <w:p w:rsidR="00027CD4" w:rsidRPr="00027CD4" w:rsidRDefault="00027CD4" w:rsidP="00027CD4">
            <w:pPr>
              <w:spacing w:after="0" w:line="240" w:lineRule="auto"/>
              <w:rPr>
                <w:rFonts w:ascii="Calibri" w:eastAsia="Times New Roman" w:hAnsi="Calibri" w:cs="Calibri"/>
                <w:color w:val="000000"/>
                <w:sz w:val="18"/>
                <w:szCs w:val="20"/>
                <w:lang w:eastAsia="en-AU"/>
              </w:rPr>
            </w:pPr>
          </w:p>
        </w:tc>
        <w:tc>
          <w:tcPr>
            <w:tcW w:w="2275"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47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Promyelocytes - abnormal</w:t>
            </w:r>
          </w:p>
        </w:tc>
        <w:tc>
          <w:tcPr>
            <w:tcW w:w="126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Promyelocytes - abnormal</w:t>
            </w:r>
          </w:p>
        </w:tc>
        <w:tc>
          <w:tcPr>
            <w:tcW w:w="1268"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Blast cells</w:t>
            </w:r>
          </w:p>
        </w:tc>
        <w:tc>
          <w:tcPr>
            <w:tcW w:w="1268"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Blast cells</w:t>
            </w:r>
          </w:p>
        </w:tc>
        <w:tc>
          <w:tcPr>
            <w:tcW w:w="1304"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xml:space="preserve">Neutrophils - </w:t>
            </w:r>
            <w:proofErr w:type="spellStart"/>
            <w:r w:rsidRPr="00027CD4">
              <w:rPr>
                <w:rFonts w:ascii="Calibri" w:eastAsia="Times New Roman" w:hAnsi="Calibri" w:cs="Calibri"/>
                <w:color w:val="000000"/>
                <w:sz w:val="18"/>
                <w:szCs w:val="20"/>
                <w:lang w:eastAsia="en-AU"/>
              </w:rPr>
              <w:t>hypergranulation</w:t>
            </w:r>
            <w:proofErr w:type="spellEnd"/>
          </w:p>
        </w:tc>
        <w:tc>
          <w:tcPr>
            <w:tcW w:w="1268"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Blast cells</w:t>
            </w:r>
          </w:p>
        </w:tc>
        <w:tc>
          <w:tcPr>
            <w:tcW w:w="1268"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027CD4" w:rsidRPr="00027CD4" w:rsidRDefault="00027CD4" w:rsidP="00027CD4">
            <w:pPr>
              <w:spacing w:after="0" w:line="240" w:lineRule="auto"/>
              <w:jc w:val="center"/>
              <w:rPr>
                <w:rFonts w:ascii="Calibri" w:eastAsia="Times New Roman" w:hAnsi="Calibri" w:cs="Calibri"/>
                <w:sz w:val="18"/>
                <w:szCs w:val="20"/>
                <w:lang w:eastAsia="en-AU"/>
              </w:rPr>
            </w:pPr>
            <w:r w:rsidRPr="00027CD4">
              <w:rPr>
                <w:rFonts w:ascii="Calibri" w:eastAsia="Times New Roman" w:hAnsi="Calibri" w:cs="Calibri"/>
                <w:sz w:val="18"/>
                <w:szCs w:val="20"/>
                <w:lang w:eastAsia="en-AU"/>
              </w:rPr>
              <w:t>Promyelocytes / metamyelocytes / myelocytes</w:t>
            </w:r>
          </w:p>
        </w:tc>
        <w:tc>
          <w:tcPr>
            <w:tcW w:w="1267"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Blast cells</w:t>
            </w:r>
          </w:p>
        </w:tc>
        <w:tc>
          <w:tcPr>
            <w:tcW w:w="1546"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Blast cells</w:t>
            </w:r>
          </w:p>
        </w:tc>
        <w:tc>
          <w:tcPr>
            <w:tcW w:w="1422"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Auer rods</w:t>
            </w:r>
          </w:p>
        </w:tc>
      </w:tr>
      <w:tr w:rsidR="00027CD4" w:rsidRPr="00027CD4" w:rsidTr="00027CD4">
        <w:trPr>
          <w:trHeight w:val="769"/>
        </w:trPr>
        <w:tc>
          <w:tcPr>
            <w:tcW w:w="744" w:type="dxa"/>
            <w:vMerge/>
            <w:tcBorders>
              <w:top w:val="nil"/>
              <w:left w:val="single" w:sz="4" w:space="0" w:color="auto"/>
              <w:bottom w:val="single" w:sz="4" w:space="0" w:color="auto"/>
              <w:right w:val="single" w:sz="4" w:space="0" w:color="auto"/>
            </w:tcBorders>
            <w:vAlign w:val="center"/>
            <w:hideMark/>
          </w:tcPr>
          <w:p w:rsidR="00027CD4" w:rsidRPr="00027CD4" w:rsidRDefault="00027CD4" w:rsidP="00027CD4">
            <w:pPr>
              <w:spacing w:after="0" w:line="240" w:lineRule="auto"/>
              <w:rPr>
                <w:rFonts w:ascii="Calibri" w:eastAsia="Times New Roman" w:hAnsi="Calibri" w:cs="Calibri"/>
                <w:color w:val="000000"/>
                <w:sz w:val="18"/>
                <w:szCs w:val="20"/>
                <w:lang w:eastAsia="en-AU"/>
              </w:rPr>
            </w:pPr>
          </w:p>
        </w:tc>
        <w:tc>
          <w:tcPr>
            <w:tcW w:w="2275"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477"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xml:space="preserve">Neutrophils - </w:t>
            </w:r>
            <w:proofErr w:type="spellStart"/>
            <w:r w:rsidRPr="00027CD4">
              <w:rPr>
                <w:rFonts w:ascii="Calibri" w:eastAsia="Times New Roman" w:hAnsi="Calibri" w:cs="Calibri"/>
                <w:color w:val="000000"/>
                <w:sz w:val="18"/>
                <w:szCs w:val="20"/>
                <w:lang w:eastAsia="en-AU"/>
              </w:rPr>
              <w:t>hypergranulation</w:t>
            </w:r>
            <w:proofErr w:type="spellEnd"/>
          </w:p>
        </w:tc>
        <w:tc>
          <w:tcPr>
            <w:tcW w:w="126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Auer rods</w:t>
            </w:r>
          </w:p>
        </w:tc>
        <w:tc>
          <w:tcPr>
            <w:tcW w:w="1268"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027CD4" w:rsidRPr="00027CD4" w:rsidRDefault="00027CD4" w:rsidP="00027CD4">
            <w:pPr>
              <w:spacing w:after="0" w:line="240" w:lineRule="auto"/>
              <w:jc w:val="center"/>
              <w:rPr>
                <w:rFonts w:ascii="Calibri" w:eastAsia="Times New Roman" w:hAnsi="Calibri" w:cs="Calibri"/>
                <w:sz w:val="18"/>
                <w:szCs w:val="20"/>
                <w:lang w:eastAsia="en-AU"/>
              </w:rPr>
            </w:pPr>
            <w:r w:rsidRPr="00027CD4">
              <w:rPr>
                <w:rFonts w:ascii="Calibri" w:eastAsia="Times New Roman" w:hAnsi="Calibri" w:cs="Calibri"/>
                <w:sz w:val="18"/>
                <w:szCs w:val="20"/>
                <w:lang w:eastAsia="en-AU"/>
              </w:rPr>
              <w:t>Promyelocytes / metamyelocytes / myelocytes</w:t>
            </w:r>
          </w:p>
        </w:tc>
        <w:tc>
          <w:tcPr>
            <w:tcW w:w="126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Promyelocytes - abnormal</w:t>
            </w:r>
          </w:p>
        </w:tc>
        <w:tc>
          <w:tcPr>
            <w:tcW w:w="1304"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26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Auer rods</w:t>
            </w:r>
          </w:p>
        </w:tc>
        <w:tc>
          <w:tcPr>
            <w:tcW w:w="126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Promyelocytes - abnormal</w:t>
            </w:r>
          </w:p>
        </w:tc>
        <w:tc>
          <w:tcPr>
            <w:tcW w:w="1267"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Neutropenia</w:t>
            </w:r>
          </w:p>
        </w:tc>
        <w:tc>
          <w:tcPr>
            <w:tcW w:w="154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Promyelocytes - abnormal</w:t>
            </w:r>
          </w:p>
        </w:tc>
        <w:tc>
          <w:tcPr>
            <w:tcW w:w="1422"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Other inclusions</w:t>
            </w:r>
          </w:p>
        </w:tc>
      </w:tr>
      <w:tr w:rsidR="00027CD4" w:rsidRPr="00027CD4" w:rsidTr="00027CD4">
        <w:trPr>
          <w:trHeight w:val="769"/>
        </w:trPr>
        <w:tc>
          <w:tcPr>
            <w:tcW w:w="744" w:type="dxa"/>
            <w:vMerge/>
            <w:tcBorders>
              <w:top w:val="nil"/>
              <w:left w:val="single" w:sz="4" w:space="0" w:color="auto"/>
              <w:bottom w:val="single" w:sz="4" w:space="0" w:color="auto"/>
              <w:right w:val="single" w:sz="4" w:space="0" w:color="auto"/>
            </w:tcBorders>
            <w:vAlign w:val="center"/>
            <w:hideMark/>
          </w:tcPr>
          <w:p w:rsidR="00027CD4" w:rsidRPr="00027CD4" w:rsidRDefault="00027CD4" w:rsidP="00027CD4">
            <w:pPr>
              <w:spacing w:after="0" w:line="240" w:lineRule="auto"/>
              <w:rPr>
                <w:rFonts w:ascii="Calibri" w:eastAsia="Times New Roman" w:hAnsi="Calibri" w:cs="Calibri"/>
                <w:color w:val="000000"/>
                <w:sz w:val="18"/>
                <w:szCs w:val="20"/>
                <w:lang w:eastAsia="en-AU"/>
              </w:rPr>
            </w:pPr>
          </w:p>
        </w:tc>
        <w:tc>
          <w:tcPr>
            <w:tcW w:w="2275"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477"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267"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268"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268"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027CD4" w:rsidRPr="00027CD4" w:rsidRDefault="00027CD4" w:rsidP="00027CD4">
            <w:pPr>
              <w:spacing w:after="0" w:line="240" w:lineRule="auto"/>
              <w:jc w:val="center"/>
              <w:rPr>
                <w:rFonts w:ascii="Calibri" w:eastAsia="Times New Roman" w:hAnsi="Calibri" w:cs="Calibri"/>
                <w:sz w:val="18"/>
                <w:szCs w:val="20"/>
                <w:lang w:eastAsia="en-AU"/>
              </w:rPr>
            </w:pPr>
            <w:r w:rsidRPr="00027CD4">
              <w:rPr>
                <w:rFonts w:ascii="Calibri" w:eastAsia="Times New Roman" w:hAnsi="Calibri" w:cs="Calibri"/>
                <w:sz w:val="18"/>
                <w:szCs w:val="20"/>
                <w:lang w:eastAsia="en-AU"/>
              </w:rPr>
              <w:t>Promyelocytes / metamyelocytes / myelocytes</w:t>
            </w:r>
          </w:p>
        </w:tc>
        <w:tc>
          <w:tcPr>
            <w:tcW w:w="1304"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268"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027CD4" w:rsidRPr="00027CD4" w:rsidRDefault="00027CD4" w:rsidP="00027CD4">
            <w:pPr>
              <w:spacing w:after="0" w:line="240" w:lineRule="auto"/>
              <w:jc w:val="center"/>
              <w:rPr>
                <w:rFonts w:ascii="Calibri" w:eastAsia="Times New Roman" w:hAnsi="Calibri" w:cs="Calibri"/>
                <w:sz w:val="18"/>
                <w:szCs w:val="20"/>
                <w:lang w:eastAsia="en-AU"/>
              </w:rPr>
            </w:pPr>
            <w:r w:rsidRPr="00027CD4">
              <w:rPr>
                <w:rFonts w:ascii="Calibri" w:eastAsia="Times New Roman" w:hAnsi="Calibri" w:cs="Calibri"/>
                <w:sz w:val="18"/>
                <w:szCs w:val="20"/>
                <w:lang w:eastAsia="en-AU"/>
              </w:rPr>
              <w:t>Promyelocytes / metamyelocytes / myelocytes</w:t>
            </w:r>
          </w:p>
        </w:tc>
        <w:tc>
          <w:tcPr>
            <w:tcW w:w="1268"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027CD4" w:rsidRPr="00027CD4" w:rsidRDefault="00027CD4" w:rsidP="00027CD4">
            <w:pPr>
              <w:spacing w:after="0" w:line="240" w:lineRule="auto"/>
              <w:jc w:val="center"/>
              <w:rPr>
                <w:rFonts w:ascii="Calibri" w:eastAsia="Times New Roman" w:hAnsi="Calibri" w:cs="Calibri"/>
                <w:color w:val="9C5700"/>
                <w:sz w:val="18"/>
                <w:szCs w:val="20"/>
                <w:lang w:eastAsia="en-AU"/>
              </w:rPr>
            </w:pPr>
            <w:r w:rsidRPr="00027CD4">
              <w:rPr>
                <w:rFonts w:ascii="Calibri" w:eastAsia="Times New Roman" w:hAnsi="Calibri" w:cs="Calibri"/>
                <w:color w:val="9C5700"/>
                <w:sz w:val="18"/>
                <w:szCs w:val="20"/>
                <w:lang w:eastAsia="en-AU"/>
              </w:rPr>
              <w:t>Neutropenia</w:t>
            </w:r>
          </w:p>
        </w:tc>
        <w:tc>
          <w:tcPr>
            <w:tcW w:w="1267"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546"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027CD4" w:rsidRPr="00027CD4" w:rsidRDefault="00027CD4" w:rsidP="00027CD4">
            <w:pPr>
              <w:spacing w:after="0" w:line="240" w:lineRule="auto"/>
              <w:jc w:val="center"/>
              <w:rPr>
                <w:rFonts w:ascii="Calibri" w:eastAsia="Times New Roman" w:hAnsi="Calibri" w:cs="Calibri"/>
                <w:sz w:val="18"/>
                <w:szCs w:val="20"/>
                <w:lang w:eastAsia="en-AU"/>
              </w:rPr>
            </w:pPr>
            <w:r w:rsidRPr="00027CD4">
              <w:rPr>
                <w:rFonts w:ascii="Calibri" w:eastAsia="Times New Roman" w:hAnsi="Calibri" w:cs="Calibri"/>
                <w:sz w:val="18"/>
                <w:szCs w:val="20"/>
                <w:lang w:eastAsia="en-AU"/>
              </w:rPr>
              <w:t>Promyelocytes / metamyelocytes / myelocytes</w:t>
            </w:r>
          </w:p>
        </w:tc>
        <w:tc>
          <w:tcPr>
            <w:tcW w:w="1422"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r>
      <w:tr w:rsidR="00027CD4" w:rsidRPr="00027CD4" w:rsidTr="00027CD4">
        <w:trPr>
          <w:trHeight w:val="1021"/>
        </w:trPr>
        <w:tc>
          <w:tcPr>
            <w:tcW w:w="744" w:type="dxa"/>
            <w:tcBorders>
              <w:top w:val="nil"/>
              <w:left w:val="single" w:sz="4" w:space="0" w:color="auto"/>
              <w:bottom w:val="single" w:sz="4" w:space="0" w:color="auto"/>
              <w:right w:val="single" w:sz="4" w:space="0" w:color="auto"/>
            </w:tcBorders>
            <w:shd w:val="clear" w:color="000000" w:fill="D6DCE4"/>
            <w:textDirection w:val="tbRl"/>
            <w:vAlign w:val="center"/>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Platelet Features</w:t>
            </w:r>
          </w:p>
        </w:tc>
        <w:tc>
          <w:tcPr>
            <w:tcW w:w="227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No significant morphological platelet abnormality</w:t>
            </w:r>
          </w:p>
        </w:tc>
        <w:tc>
          <w:tcPr>
            <w:tcW w:w="147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Inaccurate platelet count</w:t>
            </w:r>
          </w:p>
        </w:tc>
        <w:tc>
          <w:tcPr>
            <w:tcW w:w="1267"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26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No significant morphological platelet abnormality</w:t>
            </w:r>
          </w:p>
        </w:tc>
        <w:tc>
          <w:tcPr>
            <w:tcW w:w="126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No significant morphological platelet abnormality</w:t>
            </w:r>
          </w:p>
        </w:tc>
        <w:tc>
          <w:tcPr>
            <w:tcW w:w="1304"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26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Inaccurate platelet count</w:t>
            </w:r>
          </w:p>
        </w:tc>
        <w:tc>
          <w:tcPr>
            <w:tcW w:w="126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Inaccurate platelet count</w:t>
            </w:r>
          </w:p>
        </w:tc>
        <w:tc>
          <w:tcPr>
            <w:tcW w:w="1267" w:type="dxa"/>
            <w:tcBorders>
              <w:top w:val="nil"/>
              <w:left w:val="nil"/>
              <w:bottom w:val="single" w:sz="4" w:space="0" w:color="auto"/>
              <w:right w:val="single" w:sz="4" w:space="0" w:color="auto"/>
            </w:tcBorders>
            <w:shd w:val="clear" w:color="auto" w:fill="auto"/>
            <w:vAlign w:val="bottom"/>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w:t>
            </w:r>
          </w:p>
        </w:tc>
        <w:tc>
          <w:tcPr>
            <w:tcW w:w="154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No significant morphological platelet abnormality</w:t>
            </w:r>
          </w:p>
        </w:tc>
        <w:tc>
          <w:tcPr>
            <w:tcW w:w="1422"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Inaccurate platelet count</w:t>
            </w:r>
          </w:p>
        </w:tc>
      </w:tr>
      <w:tr w:rsidR="00027CD4" w:rsidRPr="00027CD4" w:rsidTr="00027CD4">
        <w:trPr>
          <w:trHeight w:val="1036"/>
        </w:trPr>
        <w:tc>
          <w:tcPr>
            <w:tcW w:w="744" w:type="dxa"/>
            <w:tcBorders>
              <w:top w:val="nil"/>
              <w:left w:val="single" w:sz="4" w:space="0" w:color="auto"/>
              <w:bottom w:val="single" w:sz="4" w:space="0" w:color="auto"/>
              <w:right w:val="single" w:sz="4" w:space="0" w:color="auto"/>
            </w:tcBorders>
            <w:shd w:val="clear" w:color="000000" w:fill="F8CBAD"/>
            <w:textDirection w:val="tbRl"/>
            <w:vAlign w:val="center"/>
            <w:hideMark/>
          </w:tcPr>
          <w:p w:rsidR="00027CD4" w:rsidRPr="00027CD4" w:rsidRDefault="00027CD4" w:rsidP="00027CD4">
            <w:pPr>
              <w:spacing w:after="0" w:line="240" w:lineRule="auto"/>
              <w:jc w:val="center"/>
              <w:rPr>
                <w:rFonts w:ascii="Calibri" w:eastAsia="Times New Roman" w:hAnsi="Calibri" w:cs="Calibri"/>
                <w:color w:val="000000"/>
                <w:sz w:val="18"/>
                <w:szCs w:val="20"/>
                <w:lang w:eastAsia="en-AU"/>
              </w:rPr>
            </w:pPr>
            <w:r w:rsidRPr="00027CD4">
              <w:rPr>
                <w:rFonts w:ascii="Calibri" w:eastAsia="Times New Roman" w:hAnsi="Calibri" w:cs="Calibri"/>
                <w:color w:val="000000"/>
                <w:sz w:val="18"/>
                <w:szCs w:val="20"/>
                <w:lang w:eastAsia="en-AU"/>
              </w:rPr>
              <w:t xml:space="preserve">Primary Diagnosis </w:t>
            </w:r>
          </w:p>
        </w:tc>
        <w:tc>
          <w:tcPr>
            <w:tcW w:w="227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Acute promyelocytic leukaemia</w:t>
            </w:r>
          </w:p>
        </w:tc>
        <w:tc>
          <w:tcPr>
            <w:tcW w:w="147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Acute promyelocytic leukaemia</w:t>
            </w:r>
          </w:p>
        </w:tc>
        <w:tc>
          <w:tcPr>
            <w:tcW w:w="126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Acute promyelocytic leukaemia</w:t>
            </w:r>
          </w:p>
        </w:tc>
        <w:tc>
          <w:tcPr>
            <w:tcW w:w="126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Acute promyelocytic leukaemia</w:t>
            </w:r>
          </w:p>
        </w:tc>
        <w:tc>
          <w:tcPr>
            <w:tcW w:w="126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Acute promyelocytic leukaemia</w:t>
            </w:r>
          </w:p>
        </w:tc>
        <w:tc>
          <w:tcPr>
            <w:tcW w:w="1304"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Acute promyelocytic leukaemia</w:t>
            </w:r>
          </w:p>
        </w:tc>
        <w:tc>
          <w:tcPr>
            <w:tcW w:w="126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Acute promyelocytic leukaemia</w:t>
            </w:r>
          </w:p>
        </w:tc>
        <w:tc>
          <w:tcPr>
            <w:tcW w:w="1268"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Acute promyelocytic leukaemia</w:t>
            </w:r>
          </w:p>
        </w:tc>
        <w:tc>
          <w:tcPr>
            <w:tcW w:w="1267"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Acute promyelocytic leukaemia</w:t>
            </w:r>
          </w:p>
        </w:tc>
        <w:tc>
          <w:tcPr>
            <w:tcW w:w="1546"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Acute promyelocytic leukaemia</w:t>
            </w:r>
          </w:p>
        </w:tc>
        <w:tc>
          <w:tcPr>
            <w:tcW w:w="1422"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027CD4" w:rsidRPr="00027CD4" w:rsidRDefault="00027CD4" w:rsidP="00027CD4">
            <w:pPr>
              <w:spacing w:after="0" w:line="240" w:lineRule="auto"/>
              <w:jc w:val="center"/>
              <w:rPr>
                <w:rFonts w:ascii="Calibri" w:eastAsia="Times New Roman" w:hAnsi="Calibri" w:cs="Calibri"/>
                <w:color w:val="006100"/>
                <w:sz w:val="18"/>
                <w:szCs w:val="20"/>
                <w:lang w:eastAsia="en-AU"/>
              </w:rPr>
            </w:pPr>
            <w:r w:rsidRPr="00027CD4">
              <w:rPr>
                <w:rFonts w:ascii="Calibri" w:eastAsia="Times New Roman" w:hAnsi="Calibri" w:cs="Calibri"/>
                <w:color w:val="006100"/>
                <w:sz w:val="18"/>
                <w:szCs w:val="20"/>
                <w:lang w:eastAsia="en-AU"/>
              </w:rPr>
              <w:t>Acute promyelocytic leukaemia</w:t>
            </w:r>
          </w:p>
        </w:tc>
      </w:tr>
    </w:tbl>
    <w:p w:rsidR="00027CD4" w:rsidRDefault="00027CD4"/>
    <w:tbl>
      <w:tblPr>
        <w:tblW w:w="8468" w:type="dxa"/>
        <w:tblInd w:w="-436" w:type="dxa"/>
        <w:tblLook w:val="04A0" w:firstRow="1" w:lastRow="0" w:firstColumn="1" w:lastColumn="0" w:noHBand="0" w:noVBand="1"/>
      </w:tblPr>
      <w:tblGrid>
        <w:gridCol w:w="2324"/>
        <w:gridCol w:w="2029"/>
        <w:gridCol w:w="1950"/>
        <w:gridCol w:w="2165"/>
      </w:tblGrid>
      <w:tr w:rsidR="00EF0B4B" w:rsidRPr="002A1F62" w:rsidTr="004933D2">
        <w:trPr>
          <w:trHeight w:val="550"/>
        </w:trPr>
        <w:tc>
          <w:tcPr>
            <w:tcW w:w="2324" w:type="dxa"/>
            <w:tcBorders>
              <w:top w:val="single" w:sz="8" w:space="0" w:color="auto"/>
              <w:left w:val="single" w:sz="8" w:space="0" w:color="auto"/>
              <w:bottom w:val="single" w:sz="8" w:space="0" w:color="auto"/>
              <w:right w:val="single" w:sz="8" w:space="0" w:color="auto"/>
            </w:tcBorders>
            <w:shd w:val="clear" w:color="000000" w:fill="C6EFCE"/>
            <w:vAlign w:val="center"/>
            <w:hideMark/>
          </w:tcPr>
          <w:p w:rsidR="00EF0B4B" w:rsidRPr="002A1F62" w:rsidRDefault="00EF0B4B" w:rsidP="004933D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Highest scoring response</w:t>
            </w:r>
          </w:p>
        </w:tc>
        <w:tc>
          <w:tcPr>
            <w:tcW w:w="2029"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EF0B4B" w:rsidRPr="002A1F62" w:rsidRDefault="00EF0B4B" w:rsidP="004933D2">
            <w:pPr>
              <w:spacing w:after="0" w:line="240" w:lineRule="auto"/>
              <w:jc w:val="center"/>
              <w:rPr>
                <w:rFonts w:ascii="Calibri" w:eastAsia="Times New Roman" w:hAnsi="Calibri" w:cs="Calibri"/>
                <w:color w:val="9C5700"/>
                <w:sz w:val="16"/>
                <w:szCs w:val="20"/>
                <w:lang w:eastAsia="en-AU"/>
              </w:rPr>
            </w:pPr>
            <w:r w:rsidRPr="002A1F62">
              <w:rPr>
                <w:rFonts w:ascii="Calibri" w:eastAsia="Times New Roman" w:hAnsi="Calibri" w:cs="Calibri"/>
                <w:color w:val="9C5700"/>
                <w:sz w:val="16"/>
                <w:szCs w:val="20"/>
                <w:lang w:eastAsia="en-AU"/>
              </w:rPr>
              <w:t>Moderate scoring response</w:t>
            </w:r>
          </w:p>
        </w:tc>
        <w:tc>
          <w:tcPr>
            <w:tcW w:w="1950" w:type="dxa"/>
            <w:tcBorders>
              <w:top w:val="single" w:sz="8" w:space="0" w:color="auto"/>
              <w:left w:val="single" w:sz="8" w:space="0" w:color="auto"/>
              <w:bottom w:val="single" w:sz="8" w:space="0" w:color="auto"/>
              <w:right w:val="single" w:sz="8" w:space="0" w:color="auto"/>
            </w:tcBorders>
            <w:shd w:val="clear" w:color="000000" w:fill="FFF2CC"/>
            <w:vAlign w:val="center"/>
            <w:hideMark/>
          </w:tcPr>
          <w:p w:rsidR="00EF0B4B" w:rsidRPr="002A1F62" w:rsidRDefault="00EF0B4B" w:rsidP="004933D2">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 xml:space="preserve">Lowest scoring response </w:t>
            </w:r>
          </w:p>
        </w:tc>
        <w:tc>
          <w:tcPr>
            <w:tcW w:w="2165" w:type="dxa"/>
            <w:tcBorders>
              <w:top w:val="single" w:sz="8" w:space="0" w:color="auto"/>
              <w:left w:val="nil"/>
              <w:bottom w:val="single" w:sz="8" w:space="0" w:color="auto"/>
              <w:right w:val="single" w:sz="8" w:space="0" w:color="auto"/>
            </w:tcBorders>
            <w:shd w:val="clear" w:color="auto" w:fill="auto"/>
            <w:vAlign w:val="center"/>
            <w:hideMark/>
          </w:tcPr>
          <w:p w:rsidR="00EF0B4B" w:rsidRPr="002A1F62" w:rsidRDefault="00EF0B4B" w:rsidP="004933D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xml:space="preserve">Response given no score </w:t>
            </w:r>
          </w:p>
        </w:tc>
      </w:tr>
    </w:tbl>
    <w:p w:rsidR="00EF0B4B" w:rsidRDefault="00EF0B4B"/>
    <w:p w:rsidR="00EF0B4B" w:rsidRDefault="00EF0B4B">
      <w:r>
        <w:rPr>
          <w:noProof/>
        </w:rPr>
        <w:lastRenderedPageBreak/>
        <w:drawing>
          <wp:inline distT="0" distB="0" distL="0" distR="0" wp14:anchorId="380C219A" wp14:editId="0508E005">
            <wp:extent cx="9777730" cy="37064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777730" cy="3706495"/>
                    </a:xfrm>
                    <a:prstGeom prst="rect">
                      <a:avLst/>
                    </a:prstGeom>
                  </pic:spPr>
                </pic:pic>
              </a:graphicData>
            </a:graphic>
          </wp:inline>
        </w:drawing>
      </w:r>
    </w:p>
    <w:p w:rsidR="00EF0B4B" w:rsidRDefault="00EF0B4B">
      <w:r>
        <w:rPr>
          <w:noProof/>
        </w:rPr>
        <w:drawing>
          <wp:inline distT="0" distB="0" distL="0" distR="0" wp14:anchorId="16321470" wp14:editId="2B26478E">
            <wp:extent cx="9777730" cy="1952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777730" cy="1952625"/>
                    </a:xfrm>
                    <a:prstGeom prst="rect">
                      <a:avLst/>
                    </a:prstGeom>
                  </pic:spPr>
                </pic:pic>
              </a:graphicData>
            </a:graphic>
          </wp:inline>
        </w:drawing>
      </w:r>
    </w:p>
    <w:sectPr w:rsidR="00EF0B4B" w:rsidSect="00027CD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475"/>
    <w:rsid w:val="00027CD4"/>
    <w:rsid w:val="001E6A13"/>
    <w:rsid w:val="00396830"/>
    <w:rsid w:val="00420031"/>
    <w:rsid w:val="005A675B"/>
    <w:rsid w:val="00620AF5"/>
    <w:rsid w:val="007B5475"/>
    <w:rsid w:val="00BC1C98"/>
    <w:rsid w:val="00CA55C8"/>
    <w:rsid w:val="00D74FEB"/>
    <w:rsid w:val="00D820E0"/>
    <w:rsid w:val="00EF0B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684842-F4F5-4840-B398-4957BE995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052592">
      <w:bodyDiv w:val="1"/>
      <w:marLeft w:val="0"/>
      <w:marRight w:val="0"/>
      <w:marTop w:val="0"/>
      <w:marBottom w:val="0"/>
      <w:divBdr>
        <w:top w:val="none" w:sz="0" w:space="0" w:color="auto"/>
        <w:left w:val="none" w:sz="0" w:space="0" w:color="auto"/>
        <w:bottom w:val="none" w:sz="0" w:space="0" w:color="auto"/>
        <w:right w:val="none" w:sz="0" w:space="0" w:color="auto"/>
      </w:divBdr>
      <w:divsChild>
        <w:div w:id="1226406290">
          <w:marLeft w:val="0"/>
          <w:marRight w:val="0"/>
          <w:marTop w:val="15"/>
          <w:marBottom w:val="0"/>
          <w:divBdr>
            <w:top w:val="single" w:sz="48" w:space="0" w:color="auto"/>
            <w:left w:val="single" w:sz="48" w:space="0" w:color="auto"/>
            <w:bottom w:val="single" w:sz="48" w:space="0" w:color="auto"/>
            <w:right w:val="single" w:sz="48" w:space="0" w:color="auto"/>
          </w:divBdr>
          <w:divsChild>
            <w:div w:id="6287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5565">
      <w:bodyDiv w:val="1"/>
      <w:marLeft w:val="0"/>
      <w:marRight w:val="0"/>
      <w:marTop w:val="0"/>
      <w:marBottom w:val="0"/>
      <w:divBdr>
        <w:top w:val="none" w:sz="0" w:space="0" w:color="auto"/>
        <w:left w:val="none" w:sz="0" w:space="0" w:color="auto"/>
        <w:bottom w:val="none" w:sz="0" w:space="0" w:color="auto"/>
        <w:right w:val="none" w:sz="0" w:space="0" w:color="auto"/>
      </w:divBdr>
    </w:div>
    <w:div w:id="1328434243">
      <w:bodyDiv w:val="1"/>
      <w:marLeft w:val="0"/>
      <w:marRight w:val="0"/>
      <w:marTop w:val="0"/>
      <w:marBottom w:val="0"/>
      <w:divBdr>
        <w:top w:val="none" w:sz="0" w:space="0" w:color="auto"/>
        <w:left w:val="none" w:sz="0" w:space="0" w:color="auto"/>
        <w:bottom w:val="none" w:sz="0" w:space="0" w:color="auto"/>
        <w:right w:val="none" w:sz="0" w:space="0" w:color="auto"/>
      </w:divBdr>
      <w:divsChild>
        <w:div w:id="199125764">
          <w:marLeft w:val="0"/>
          <w:marRight w:val="0"/>
          <w:marTop w:val="15"/>
          <w:marBottom w:val="0"/>
          <w:divBdr>
            <w:top w:val="single" w:sz="48" w:space="0" w:color="auto"/>
            <w:left w:val="single" w:sz="48" w:space="0" w:color="auto"/>
            <w:bottom w:val="single" w:sz="48" w:space="0" w:color="auto"/>
            <w:right w:val="single" w:sz="48" w:space="0" w:color="auto"/>
          </w:divBdr>
          <w:divsChild>
            <w:div w:id="130515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0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5</Pages>
  <Words>1051</Words>
  <Characters>5992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Shackles, Jocelyn</dc:creator>
  <cp:keywords/>
  <dc:description/>
  <cp:lastModifiedBy>Shackles, Jocelyn</cp:lastModifiedBy>
  <cp:revision>7</cp:revision>
  <dcterms:created xsi:type="dcterms:W3CDTF">2022-05-27T05:42:00Z</dcterms:created>
  <dcterms:modified xsi:type="dcterms:W3CDTF">2022-05-27T06:56:00Z</dcterms:modified>
</cp:coreProperties>
</file>