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4FEB" w:rsidRDefault="00874567">
      <w:pPr>
        <w:rPr>
          <w:rFonts w:ascii="Arial" w:hAnsi="Arial" w:cs="Arial"/>
          <w:sz w:val="34"/>
          <w:szCs w:val="34"/>
          <w:shd w:val="clear" w:color="auto" w:fill="FFFFFF"/>
        </w:rPr>
      </w:pPr>
      <w:r>
        <w:rPr>
          <w:rFonts w:ascii="Arial" w:hAnsi="Arial" w:cs="Arial"/>
          <w:sz w:val="34"/>
          <w:szCs w:val="34"/>
          <w:shd w:val="clear" w:color="auto" w:fill="FFFFFF"/>
        </w:rPr>
        <w:t>HA-MA-22-01</w:t>
      </w:r>
    </w:p>
    <w:p w:rsidR="00874567" w:rsidRDefault="00874567">
      <w:r>
        <w:rPr>
          <w:noProof/>
        </w:rPr>
        <w:drawing>
          <wp:inline distT="0" distB="0" distL="0" distR="0" wp14:anchorId="5E043251" wp14:editId="6438350D">
            <wp:extent cx="3638405" cy="25431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651016" cy="2551990"/>
                    </a:xfrm>
                    <a:prstGeom prst="rect">
                      <a:avLst/>
                    </a:prstGeom>
                  </pic:spPr>
                </pic:pic>
              </a:graphicData>
            </a:graphic>
          </wp:inline>
        </w:drawing>
      </w:r>
    </w:p>
    <w:p w:rsidR="00874567" w:rsidRDefault="00874567">
      <w:r>
        <w:rPr>
          <w:noProof/>
        </w:rPr>
        <w:drawing>
          <wp:inline distT="0" distB="0" distL="0" distR="0" wp14:anchorId="2E035BD7" wp14:editId="34690956">
            <wp:extent cx="3342732" cy="1743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 r="16315" b="3027"/>
                    <a:stretch/>
                  </pic:blipFill>
                  <pic:spPr bwMode="auto">
                    <a:xfrm>
                      <a:off x="0" y="0"/>
                      <a:ext cx="3409731" cy="1778012"/>
                    </a:xfrm>
                    <a:prstGeom prst="rect">
                      <a:avLst/>
                    </a:prstGeom>
                    <a:ln>
                      <a:noFill/>
                    </a:ln>
                    <a:extLst>
                      <a:ext uri="{53640926-AAD7-44D8-BBD7-CCE9431645EC}">
                        <a14:shadowObscured xmlns:a14="http://schemas.microsoft.com/office/drawing/2010/main"/>
                      </a:ext>
                    </a:extLst>
                  </pic:spPr>
                </pic:pic>
              </a:graphicData>
            </a:graphic>
          </wp:inline>
        </w:drawing>
      </w:r>
      <w:r w:rsidR="0028211C">
        <w:rPr>
          <w:noProof/>
        </w:rPr>
        <w:drawing>
          <wp:inline distT="0" distB="0" distL="0" distR="0" wp14:anchorId="40B689AC" wp14:editId="35CC7057">
            <wp:extent cx="3190875" cy="176257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1189" cy="1773800"/>
                    </a:xfrm>
                    <a:prstGeom prst="rect">
                      <a:avLst/>
                    </a:prstGeom>
                    <a:noFill/>
                    <a:ln>
                      <a:noFill/>
                    </a:ln>
                  </pic:spPr>
                </pic:pic>
              </a:graphicData>
            </a:graphic>
          </wp:inline>
        </w:drawing>
      </w:r>
    </w:p>
    <w:p w:rsidR="0028211C" w:rsidRDefault="0028211C">
      <w:r>
        <w:rPr>
          <w:noProof/>
        </w:rPr>
        <w:drawing>
          <wp:inline distT="0" distB="0" distL="0" distR="0" wp14:anchorId="546CDFFA" wp14:editId="6836B745">
            <wp:extent cx="3228975" cy="27478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 r="1484" b="31215"/>
                    <a:stretch/>
                  </pic:blipFill>
                  <pic:spPr bwMode="auto">
                    <a:xfrm>
                      <a:off x="0" y="0"/>
                      <a:ext cx="3243468" cy="2760223"/>
                    </a:xfrm>
                    <a:prstGeom prst="rect">
                      <a:avLst/>
                    </a:prstGeom>
                    <a:ln>
                      <a:noFill/>
                    </a:ln>
                    <a:extLst>
                      <a:ext uri="{53640926-AAD7-44D8-BBD7-CCE9431645EC}">
                        <a14:shadowObscured xmlns:a14="http://schemas.microsoft.com/office/drawing/2010/main"/>
                      </a:ext>
                    </a:extLst>
                  </pic:spPr>
                </pic:pic>
              </a:graphicData>
            </a:graphic>
          </wp:inline>
        </w:drawing>
      </w:r>
    </w:p>
    <w:p w:rsidR="0028211C" w:rsidRDefault="0028211C">
      <w:r>
        <w:rPr>
          <w:noProof/>
        </w:rPr>
        <w:drawing>
          <wp:inline distT="0" distB="0" distL="0" distR="0">
            <wp:extent cx="6742998" cy="18288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3926" cy="1845325"/>
                    </a:xfrm>
                    <a:prstGeom prst="rect">
                      <a:avLst/>
                    </a:prstGeom>
                    <a:noFill/>
                    <a:ln>
                      <a:noFill/>
                    </a:ln>
                  </pic:spPr>
                </pic:pic>
              </a:graphicData>
            </a:graphic>
          </wp:inline>
        </w:drawing>
      </w:r>
    </w:p>
    <w:p w:rsidR="00874567" w:rsidRDefault="00874567">
      <w:r>
        <w:rPr>
          <w:noProof/>
        </w:rPr>
        <w:lastRenderedPageBreak/>
        <w:drawing>
          <wp:inline distT="0" distB="0" distL="0" distR="0" wp14:anchorId="10FB27E3" wp14:editId="58F94695">
            <wp:extent cx="6908817" cy="19526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15171" cy="1954421"/>
                    </a:xfrm>
                    <a:prstGeom prst="rect">
                      <a:avLst/>
                    </a:prstGeom>
                  </pic:spPr>
                </pic:pic>
              </a:graphicData>
            </a:graphic>
          </wp:inline>
        </w:drawing>
      </w:r>
    </w:p>
    <w:p w:rsidR="00874567" w:rsidRDefault="00874567">
      <w:r>
        <w:rPr>
          <w:noProof/>
        </w:rPr>
        <w:drawing>
          <wp:inline distT="0" distB="0" distL="0" distR="0" wp14:anchorId="0909763B" wp14:editId="57D8BCB9">
            <wp:extent cx="5731510" cy="33896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389630"/>
                    </a:xfrm>
                    <a:prstGeom prst="rect">
                      <a:avLst/>
                    </a:prstGeom>
                  </pic:spPr>
                </pic:pic>
              </a:graphicData>
            </a:graphic>
          </wp:inline>
        </w:drawing>
      </w:r>
    </w:p>
    <w:p w:rsidR="00874567" w:rsidRPr="00B36FC1" w:rsidRDefault="00874567" w:rsidP="00874567">
      <w:pPr>
        <w:shd w:val="clear" w:color="auto" w:fill="FFFFFF"/>
        <w:spacing w:after="0" w:line="240" w:lineRule="auto"/>
        <w:rPr>
          <w:rFonts w:ascii="Arial" w:eastAsia="Times New Roman" w:hAnsi="Arial" w:cs="Arial"/>
          <w:b/>
          <w:sz w:val="24"/>
          <w:lang w:eastAsia="en-AU"/>
        </w:rPr>
      </w:pPr>
      <w:r w:rsidRPr="00874567">
        <w:rPr>
          <w:rFonts w:ascii="Arial" w:eastAsia="Times New Roman" w:hAnsi="Arial" w:cs="Arial"/>
          <w:b/>
          <w:sz w:val="24"/>
          <w:lang w:eastAsia="en-AU"/>
        </w:rPr>
        <w:t>Case Study HA-MA-22-01: Not Assessed</w:t>
      </w:r>
    </w:p>
    <w:p w:rsidR="00874567" w:rsidRDefault="00874567" w:rsidP="00874567">
      <w:pPr>
        <w:shd w:val="clear" w:color="auto" w:fill="FFFFFF"/>
        <w:spacing w:after="0" w:line="240" w:lineRule="auto"/>
        <w:rPr>
          <w:rFonts w:ascii="Arial" w:eastAsia="Times New Roman" w:hAnsi="Arial" w:cs="Arial"/>
          <w:sz w:val="20"/>
          <w:szCs w:val="20"/>
          <w:lang w:eastAsia="en-AU"/>
        </w:rPr>
      </w:pPr>
      <w:r w:rsidRPr="00874567">
        <w:rPr>
          <w:rFonts w:ascii="Arial" w:eastAsia="Times New Roman" w:hAnsi="Arial" w:cs="Arial"/>
          <w:sz w:val="20"/>
          <w:szCs w:val="20"/>
          <w:lang w:eastAsia="en-AU"/>
        </w:rPr>
        <w:t xml:space="preserve">Due to a lack of consensus among participants this case was not assessed for diagnosis and is deemed an educational exercise. The advisory committee assessment of this case notes morphological overlap between </w:t>
      </w:r>
      <w:proofErr w:type="spellStart"/>
      <w:proofErr w:type="gramStart"/>
      <w:r w:rsidRPr="00874567">
        <w:rPr>
          <w:rFonts w:ascii="Arial" w:eastAsia="Times New Roman" w:hAnsi="Arial" w:cs="Arial"/>
          <w:sz w:val="20"/>
          <w:szCs w:val="20"/>
          <w:lang w:eastAsia="en-AU"/>
        </w:rPr>
        <w:t>P.ovale</w:t>
      </w:r>
      <w:proofErr w:type="spellEnd"/>
      <w:proofErr w:type="gramEnd"/>
      <w:r>
        <w:rPr>
          <w:rFonts w:ascii="Arial" w:eastAsia="Times New Roman" w:hAnsi="Arial" w:cs="Arial"/>
          <w:sz w:val="20"/>
          <w:szCs w:val="20"/>
          <w:lang w:eastAsia="en-AU"/>
        </w:rPr>
        <w:t xml:space="preserve"> </w:t>
      </w:r>
      <w:r w:rsidRPr="00874567">
        <w:rPr>
          <w:rFonts w:ascii="Arial" w:eastAsia="Times New Roman" w:hAnsi="Arial" w:cs="Arial"/>
          <w:sz w:val="20"/>
          <w:szCs w:val="20"/>
          <w:lang w:eastAsia="en-AU"/>
        </w:rPr>
        <w:t xml:space="preserve">and </w:t>
      </w:r>
      <w:proofErr w:type="spellStart"/>
      <w:r w:rsidRPr="00874567">
        <w:rPr>
          <w:rFonts w:ascii="Arial" w:eastAsia="Times New Roman" w:hAnsi="Arial" w:cs="Arial"/>
          <w:sz w:val="20"/>
          <w:szCs w:val="20"/>
          <w:lang w:eastAsia="en-AU"/>
        </w:rPr>
        <w:t>P.vivax</w:t>
      </w:r>
      <w:proofErr w:type="spellEnd"/>
      <w:r w:rsidRPr="00874567">
        <w:rPr>
          <w:rFonts w:ascii="Arial" w:eastAsia="Times New Roman" w:hAnsi="Arial" w:cs="Arial"/>
          <w:sz w:val="20"/>
          <w:szCs w:val="20"/>
          <w:lang w:eastAsia="en-AU"/>
        </w:rPr>
        <w:t xml:space="preserve">. This case was diagnosed with </w:t>
      </w:r>
      <w:proofErr w:type="spellStart"/>
      <w:proofErr w:type="gramStart"/>
      <w:r w:rsidRPr="00874567">
        <w:rPr>
          <w:rFonts w:ascii="Arial" w:eastAsia="Times New Roman" w:hAnsi="Arial" w:cs="Arial"/>
          <w:sz w:val="20"/>
          <w:szCs w:val="20"/>
          <w:lang w:eastAsia="en-AU"/>
        </w:rPr>
        <w:t>P.ovale</w:t>
      </w:r>
      <w:proofErr w:type="spellEnd"/>
      <w:proofErr w:type="gramEnd"/>
      <w:r>
        <w:rPr>
          <w:rFonts w:ascii="Arial" w:eastAsia="Times New Roman" w:hAnsi="Arial" w:cs="Arial"/>
          <w:sz w:val="20"/>
          <w:szCs w:val="20"/>
          <w:lang w:eastAsia="en-AU"/>
        </w:rPr>
        <w:t xml:space="preserve"> </w:t>
      </w:r>
      <w:r w:rsidRPr="00874567">
        <w:rPr>
          <w:rFonts w:ascii="Arial" w:eastAsia="Times New Roman" w:hAnsi="Arial" w:cs="Arial"/>
          <w:sz w:val="20"/>
          <w:szCs w:val="20"/>
          <w:lang w:eastAsia="en-AU"/>
        </w:rPr>
        <w:t xml:space="preserve">at presentation. There was no molecular testing available in this instance. The morphology of the slide leans towards a </w:t>
      </w:r>
      <w:proofErr w:type="spellStart"/>
      <w:proofErr w:type="gramStart"/>
      <w:r w:rsidRPr="00874567">
        <w:rPr>
          <w:rFonts w:ascii="Arial" w:eastAsia="Times New Roman" w:hAnsi="Arial" w:cs="Arial"/>
          <w:sz w:val="20"/>
          <w:szCs w:val="20"/>
          <w:lang w:eastAsia="en-AU"/>
        </w:rPr>
        <w:t>P.ovale</w:t>
      </w:r>
      <w:proofErr w:type="spellEnd"/>
      <w:proofErr w:type="gramEnd"/>
      <w:r>
        <w:rPr>
          <w:rFonts w:ascii="Arial" w:eastAsia="Times New Roman" w:hAnsi="Arial" w:cs="Arial"/>
          <w:sz w:val="20"/>
          <w:szCs w:val="20"/>
          <w:lang w:eastAsia="en-AU"/>
        </w:rPr>
        <w:t xml:space="preserve"> </w:t>
      </w:r>
      <w:r w:rsidRPr="00874567">
        <w:rPr>
          <w:rFonts w:ascii="Arial" w:eastAsia="Times New Roman" w:hAnsi="Arial" w:cs="Arial"/>
          <w:sz w:val="20"/>
          <w:szCs w:val="20"/>
          <w:lang w:eastAsia="en-AU"/>
        </w:rPr>
        <w:t xml:space="preserve">however, given the lack of consensus </w:t>
      </w:r>
      <w:proofErr w:type="spellStart"/>
      <w:r w:rsidRPr="00874567">
        <w:rPr>
          <w:rFonts w:ascii="Arial" w:eastAsia="Times New Roman" w:hAnsi="Arial" w:cs="Arial"/>
          <w:sz w:val="20"/>
          <w:szCs w:val="20"/>
          <w:lang w:eastAsia="en-AU"/>
        </w:rPr>
        <w:t>P.vivax</w:t>
      </w:r>
      <w:proofErr w:type="spellEnd"/>
      <w:r>
        <w:rPr>
          <w:rFonts w:ascii="Arial" w:eastAsia="Times New Roman" w:hAnsi="Arial" w:cs="Arial"/>
          <w:sz w:val="20"/>
          <w:szCs w:val="20"/>
          <w:lang w:eastAsia="en-AU"/>
        </w:rPr>
        <w:t xml:space="preserve"> </w:t>
      </w:r>
      <w:r w:rsidRPr="00874567">
        <w:rPr>
          <w:rFonts w:ascii="Arial" w:eastAsia="Times New Roman" w:hAnsi="Arial" w:cs="Arial"/>
          <w:sz w:val="20"/>
          <w:szCs w:val="20"/>
          <w:lang w:eastAsia="en-AU"/>
        </w:rPr>
        <w:t>cannot be excluded.</w:t>
      </w:r>
      <w:r>
        <w:rPr>
          <w:rFonts w:ascii="Arial" w:eastAsia="Times New Roman" w:hAnsi="Arial" w:cs="Arial"/>
          <w:sz w:val="20"/>
          <w:szCs w:val="20"/>
          <w:lang w:eastAsia="en-AU"/>
        </w:rPr>
        <w:t xml:space="preserve"> </w:t>
      </w:r>
      <w:r w:rsidRPr="00874567">
        <w:rPr>
          <w:rFonts w:ascii="Arial" w:eastAsia="Times New Roman" w:hAnsi="Arial" w:cs="Arial"/>
          <w:sz w:val="20"/>
          <w:szCs w:val="20"/>
          <w:lang w:eastAsia="en-AU"/>
        </w:rPr>
        <w:t>Identification of either species, at initial diagnosis would not have significant clinical impact</w:t>
      </w:r>
      <w:r>
        <w:rPr>
          <w:rFonts w:ascii="Arial" w:eastAsia="Times New Roman" w:hAnsi="Arial" w:cs="Arial"/>
          <w:sz w:val="20"/>
          <w:szCs w:val="20"/>
          <w:lang w:eastAsia="en-AU"/>
        </w:rPr>
        <w:t xml:space="preserve"> </w:t>
      </w:r>
      <w:r w:rsidRPr="00874567">
        <w:rPr>
          <w:rFonts w:ascii="Arial" w:eastAsia="Times New Roman" w:hAnsi="Arial" w:cs="Arial"/>
          <w:sz w:val="20"/>
          <w:szCs w:val="20"/>
          <w:lang w:eastAsia="en-AU"/>
        </w:rPr>
        <w:t>due to the treatment being the same for both species.</w:t>
      </w:r>
    </w:p>
    <w:p w:rsidR="00874567" w:rsidRDefault="00874567" w:rsidP="00874567">
      <w:pPr>
        <w:shd w:val="clear" w:color="auto" w:fill="FFFFFF"/>
        <w:spacing w:after="0" w:line="240" w:lineRule="auto"/>
        <w:rPr>
          <w:rFonts w:ascii="Arial" w:eastAsia="Times New Roman" w:hAnsi="Arial" w:cs="Arial"/>
          <w:sz w:val="20"/>
          <w:szCs w:val="20"/>
          <w:lang w:eastAsia="en-AU"/>
        </w:rPr>
      </w:pPr>
      <w:r w:rsidRPr="00874567">
        <w:rPr>
          <w:rFonts w:ascii="Arial" w:eastAsia="Times New Roman" w:hAnsi="Arial" w:cs="Arial"/>
          <w:sz w:val="20"/>
          <w:szCs w:val="20"/>
          <w:lang w:eastAsia="en-AU"/>
        </w:rPr>
        <w:t xml:space="preserve">Features on the thick and thin films that identify Plasmodium </w:t>
      </w:r>
      <w:proofErr w:type="spellStart"/>
      <w:r w:rsidRPr="00874567">
        <w:rPr>
          <w:rFonts w:ascii="Arial" w:eastAsia="Times New Roman" w:hAnsi="Arial" w:cs="Arial"/>
          <w:sz w:val="20"/>
          <w:szCs w:val="20"/>
          <w:lang w:eastAsia="en-AU"/>
        </w:rPr>
        <w:t>ovale</w:t>
      </w:r>
      <w:proofErr w:type="spellEnd"/>
      <w:r w:rsidRPr="00874567">
        <w:rPr>
          <w:rFonts w:ascii="Arial" w:eastAsia="Times New Roman" w:hAnsi="Arial" w:cs="Arial"/>
          <w:sz w:val="20"/>
          <w:szCs w:val="20"/>
          <w:lang w:eastAsia="en-AU"/>
        </w:rPr>
        <w:t>:</w:t>
      </w:r>
    </w:p>
    <w:p w:rsidR="00874567" w:rsidRDefault="00874567" w:rsidP="00874567">
      <w:pPr>
        <w:shd w:val="clear" w:color="auto" w:fill="FFFFFF"/>
        <w:spacing w:after="0" w:line="240" w:lineRule="auto"/>
        <w:rPr>
          <w:rFonts w:ascii="Arial" w:eastAsia="Times New Roman" w:hAnsi="Arial" w:cs="Arial"/>
          <w:sz w:val="20"/>
          <w:szCs w:val="20"/>
          <w:lang w:eastAsia="en-AU"/>
        </w:rPr>
      </w:pPr>
      <w:r w:rsidRPr="00874567">
        <w:rPr>
          <w:rFonts w:ascii="Arial" w:eastAsia="Times New Roman" w:hAnsi="Arial" w:cs="Arial"/>
          <w:sz w:val="20"/>
          <w:szCs w:val="20"/>
          <w:lang w:eastAsia="en-AU"/>
        </w:rPr>
        <w:t xml:space="preserve">1.Infected RBCs are larger than uninfected RBCs but not as marked as typically seen in </w:t>
      </w:r>
      <w:proofErr w:type="spellStart"/>
      <w:proofErr w:type="gramStart"/>
      <w:r w:rsidRPr="00874567">
        <w:rPr>
          <w:rFonts w:ascii="Arial" w:eastAsia="Times New Roman" w:hAnsi="Arial" w:cs="Arial"/>
          <w:sz w:val="20"/>
          <w:szCs w:val="20"/>
          <w:lang w:eastAsia="en-AU"/>
        </w:rPr>
        <w:t>P.vivax</w:t>
      </w:r>
      <w:proofErr w:type="spellEnd"/>
      <w:proofErr w:type="gramEnd"/>
      <w:r w:rsidRPr="00874567">
        <w:rPr>
          <w:rFonts w:ascii="Arial" w:eastAsia="Times New Roman" w:hAnsi="Arial" w:cs="Arial"/>
          <w:sz w:val="20"/>
          <w:szCs w:val="20"/>
          <w:lang w:eastAsia="en-AU"/>
        </w:rPr>
        <w:t>.</w:t>
      </w:r>
    </w:p>
    <w:p w:rsidR="00874567" w:rsidRDefault="00874567" w:rsidP="00874567">
      <w:pPr>
        <w:shd w:val="clear" w:color="auto" w:fill="FFFFFF"/>
        <w:spacing w:after="0" w:line="240" w:lineRule="auto"/>
        <w:rPr>
          <w:rFonts w:ascii="Arial" w:eastAsia="Times New Roman" w:hAnsi="Arial" w:cs="Arial"/>
          <w:sz w:val="20"/>
          <w:szCs w:val="20"/>
          <w:lang w:eastAsia="en-AU"/>
        </w:rPr>
      </w:pPr>
      <w:r w:rsidRPr="00874567">
        <w:rPr>
          <w:rFonts w:ascii="Arial" w:eastAsia="Times New Roman" w:hAnsi="Arial" w:cs="Arial"/>
          <w:sz w:val="20"/>
          <w:szCs w:val="20"/>
          <w:lang w:eastAsia="en-AU"/>
        </w:rPr>
        <w:t xml:space="preserve">2.Strong </w:t>
      </w:r>
      <w:proofErr w:type="spellStart"/>
      <w:r w:rsidRPr="00874567">
        <w:rPr>
          <w:rFonts w:ascii="Arial" w:eastAsia="Times New Roman" w:hAnsi="Arial" w:cs="Arial"/>
          <w:sz w:val="20"/>
          <w:szCs w:val="20"/>
          <w:lang w:eastAsia="en-AU"/>
        </w:rPr>
        <w:t>Schuffner's</w:t>
      </w:r>
      <w:proofErr w:type="spellEnd"/>
      <w:r w:rsidRPr="00874567">
        <w:rPr>
          <w:rFonts w:ascii="Arial" w:eastAsia="Times New Roman" w:hAnsi="Arial" w:cs="Arial"/>
          <w:sz w:val="20"/>
          <w:szCs w:val="20"/>
          <w:lang w:eastAsia="en-AU"/>
        </w:rPr>
        <w:t xml:space="preserve"> dots are present at all stages and concentrated predominantly at the periphery of the host cell. Generally they are larger and</w:t>
      </w:r>
      <w:r w:rsidR="00626491">
        <w:rPr>
          <w:rFonts w:ascii="Arial" w:eastAsia="Times New Roman" w:hAnsi="Arial" w:cs="Arial"/>
          <w:sz w:val="20"/>
          <w:szCs w:val="20"/>
          <w:lang w:eastAsia="en-AU"/>
        </w:rPr>
        <w:t xml:space="preserve"> </w:t>
      </w:r>
      <w:r w:rsidRPr="00874567">
        <w:rPr>
          <w:rFonts w:ascii="Arial" w:eastAsia="Times New Roman" w:hAnsi="Arial" w:cs="Arial"/>
          <w:sz w:val="20"/>
          <w:szCs w:val="20"/>
          <w:lang w:eastAsia="en-AU"/>
        </w:rPr>
        <w:t xml:space="preserve">darker than those seen in </w:t>
      </w:r>
      <w:proofErr w:type="spellStart"/>
      <w:proofErr w:type="gramStart"/>
      <w:r w:rsidRPr="00874567">
        <w:rPr>
          <w:rFonts w:ascii="Arial" w:eastAsia="Times New Roman" w:hAnsi="Arial" w:cs="Arial"/>
          <w:sz w:val="20"/>
          <w:szCs w:val="20"/>
          <w:lang w:eastAsia="en-AU"/>
        </w:rPr>
        <w:t>P.vivax</w:t>
      </w:r>
      <w:proofErr w:type="spellEnd"/>
      <w:proofErr w:type="gramEnd"/>
      <w:r w:rsidRPr="00874567">
        <w:rPr>
          <w:rFonts w:ascii="Arial" w:eastAsia="Times New Roman" w:hAnsi="Arial" w:cs="Arial"/>
          <w:sz w:val="20"/>
          <w:szCs w:val="20"/>
          <w:lang w:eastAsia="en-AU"/>
        </w:rPr>
        <w:t>.</w:t>
      </w:r>
    </w:p>
    <w:p w:rsidR="00874567" w:rsidRDefault="00874567" w:rsidP="00874567">
      <w:pPr>
        <w:shd w:val="clear" w:color="auto" w:fill="FFFFFF"/>
        <w:spacing w:after="0" w:line="240" w:lineRule="auto"/>
        <w:rPr>
          <w:rFonts w:ascii="Arial" w:eastAsia="Times New Roman" w:hAnsi="Arial" w:cs="Arial"/>
          <w:sz w:val="20"/>
          <w:szCs w:val="20"/>
          <w:lang w:eastAsia="en-AU"/>
        </w:rPr>
      </w:pPr>
      <w:r w:rsidRPr="00874567">
        <w:rPr>
          <w:rFonts w:ascii="Arial" w:eastAsia="Times New Roman" w:hAnsi="Arial" w:cs="Arial"/>
          <w:sz w:val="20"/>
          <w:szCs w:val="20"/>
          <w:lang w:eastAsia="en-AU"/>
        </w:rPr>
        <w:t>3.There are some oval, elongated and fimbriated infected red cells present more easily located in</w:t>
      </w:r>
      <w:r>
        <w:rPr>
          <w:rFonts w:ascii="Arial" w:eastAsia="Times New Roman" w:hAnsi="Arial" w:cs="Arial"/>
          <w:sz w:val="20"/>
          <w:szCs w:val="20"/>
          <w:lang w:eastAsia="en-AU"/>
        </w:rPr>
        <w:t xml:space="preserve"> </w:t>
      </w:r>
      <w:r w:rsidRPr="00874567">
        <w:rPr>
          <w:rFonts w:ascii="Arial" w:eastAsia="Times New Roman" w:hAnsi="Arial" w:cs="Arial"/>
          <w:sz w:val="20"/>
          <w:szCs w:val="20"/>
          <w:lang w:eastAsia="en-AU"/>
        </w:rPr>
        <w:t xml:space="preserve">thicker parts of the thin film. The fimbriation is generally restricted to one or two sides of the host cell. There is also the typical “comet” or “rocket” shaped host cells present. </w:t>
      </w:r>
    </w:p>
    <w:p w:rsidR="00874567" w:rsidRDefault="00874567" w:rsidP="00874567">
      <w:pPr>
        <w:shd w:val="clear" w:color="auto" w:fill="FFFFFF"/>
        <w:spacing w:after="0" w:line="240" w:lineRule="auto"/>
        <w:rPr>
          <w:rFonts w:ascii="Arial" w:eastAsia="Times New Roman" w:hAnsi="Arial" w:cs="Arial"/>
          <w:sz w:val="20"/>
          <w:szCs w:val="20"/>
          <w:lang w:eastAsia="en-AU"/>
        </w:rPr>
      </w:pPr>
      <w:r w:rsidRPr="00874567">
        <w:rPr>
          <w:rFonts w:ascii="Arial" w:eastAsia="Times New Roman" w:hAnsi="Arial" w:cs="Arial"/>
          <w:sz w:val="20"/>
          <w:szCs w:val="20"/>
          <w:lang w:eastAsia="en-AU"/>
        </w:rPr>
        <w:t>4.The mature/late trophozoites are compact, heavily pigmented and occupy</w:t>
      </w:r>
      <w:r>
        <w:rPr>
          <w:rFonts w:ascii="Arial" w:eastAsia="Times New Roman" w:hAnsi="Arial" w:cs="Arial"/>
          <w:sz w:val="20"/>
          <w:szCs w:val="20"/>
          <w:lang w:eastAsia="en-AU"/>
        </w:rPr>
        <w:t xml:space="preserve"> </w:t>
      </w:r>
      <w:r w:rsidRPr="00874567">
        <w:rPr>
          <w:rFonts w:ascii="Arial" w:eastAsia="Times New Roman" w:hAnsi="Arial" w:cs="Arial"/>
          <w:sz w:val="20"/>
          <w:szCs w:val="20"/>
          <w:lang w:eastAsia="en-AU"/>
        </w:rPr>
        <w:t>approximately one third of the moderately enlarged RBC.</w:t>
      </w:r>
    </w:p>
    <w:p w:rsidR="00874567" w:rsidRDefault="00874567" w:rsidP="00874567">
      <w:pPr>
        <w:shd w:val="clear" w:color="auto" w:fill="FFFFFF"/>
        <w:spacing w:after="0" w:line="240" w:lineRule="auto"/>
        <w:rPr>
          <w:rFonts w:ascii="Arial" w:eastAsia="Times New Roman" w:hAnsi="Arial" w:cs="Arial"/>
          <w:sz w:val="20"/>
          <w:szCs w:val="20"/>
          <w:lang w:eastAsia="en-AU"/>
        </w:rPr>
      </w:pPr>
      <w:r w:rsidRPr="00874567">
        <w:rPr>
          <w:rFonts w:ascii="Arial" w:eastAsia="Times New Roman" w:hAnsi="Arial" w:cs="Arial"/>
          <w:sz w:val="20"/>
          <w:szCs w:val="20"/>
          <w:lang w:eastAsia="en-AU"/>
        </w:rPr>
        <w:t>5.There are early trophozoites, gametocytes and an occasional schizont present.</w:t>
      </w:r>
    </w:p>
    <w:p w:rsidR="00874567" w:rsidRDefault="00874567" w:rsidP="00874567">
      <w:pPr>
        <w:shd w:val="clear" w:color="auto" w:fill="FFFFFF"/>
        <w:spacing w:after="0" w:line="240" w:lineRule="auto"/>
        <w:rPr>
          <w:rFonts w:ascii="Arial" w:eastAsia="Times New Roman" w:hAnsi="Arial" w:cs="Arial"/>
          <w:sz w:val="20"/>
          <w:szCs w:val="20"/>
          <w:lang w:eastAsia="en-AU"/>
        </w:rPr>
      </w:pPr>
    </w:p>
    <w:p w:rsidR="00874567" w:rsidRPr="00874567" w:rsidRDefault="00874567" w:rsidP="00874567">
      <w:pPr>
        <w:shd w:val="clear" w:color="auto" w:fill="FFFFFF"/>
        <w:spacing w:after="0" w:line="240" w:lineRule="auto"/>
        <w:rPr>
          <w:rFonts w:ascii="Times New Roman" w:eastAsia="Times New Roman" w:hAnsi="Times New Roman" w:cs="Times New Roman"/>
          <w:sz w:val="20"/>
          <w:szCs w:val="24"/>
          <w:lang w:eastAsia="en-AU"/>
        </w:rPr>
      </w:pPr>
      <w:r w:rsidRPr="00874567">
        <w:rPr>
          <w:rFonts w:ascii="Arial" w:eastAsia="Times New Roman" w:hAnsi="Arial" w:cs="Arial"/>
          <w:sz w:val="16"/>
          <w:szCs w:val="20"/>
          <w:lang w:eastAsia="en-AU"/>
        </w:rPr>
        <w:t>1. World Health Organization, 2022. WHO guidelines for malaria, 3 June 2022 (No. WHO/UCN/GMP/2022.01 Rev. 2). World Health Organization.</w:t>
      </w:r>
    </w:p>
    <w:p w:rsidR="00874567" w:rsidRDefault="00874567"/>
    <w:p w:rsidR="00972F0F" w:rsidRDefault="00972F0F"/>
    <w:p w:rsidR="0028211C" w:rsidRDefault="0028211C">
      <w:pPr>
        <w:sectPr w:rsidR="0028211C" w:rsidSect="0028211C">
          <w:pgSz w:w="11906" w:h="16838"/>
          <w:pgMar w:top="720" w:right="720" w:bottom="720" w:left="720" w:header="708" w:footer="708" w:gutter="0"/>
          <w:cols w:space="708"/>
          <w:docGrid w:linePitch="360"/>
        </w:sectPr>
      </w:pPr>
    </w:p>
    <w:tbl>
      <w:tblPr>
        <w:tblW w:w="15406" w:type="dxa"/>
        <w:tblLook w:val="04A0" w:firstRow="1" w:lastRow="0" w:firstColumn="1" w:lastColumn="0" w:noHBand="0" w:noVBand="1"/>
      </w:tblPr>
      <w:tblGrid>
        <w:gridCol w:w="812"/>
        <w:gridCol w:w="1183"/>
        <w:gridCol w:w="1183"/>
        <w:gridCol w:w="1183"/>
        <w:gridCol w:w="1183"/>
        <w:gridCol w:w="1174"/>
        <w:gridCol w:w="1183"/>
        <w:gridCol w:w="424"/>
        <w:gridCol w:w="1183"/>
        <w:gridCol w:w="1183"/>
        <w:gridCol w:w="1177"/>
        <w:gridCol w:w="1183"/>
        <w:gridCol w:w="1183"/>
        <w:gridCol w:w="1172"/>
      </w:tblGrid>
      <w:tr w:rsidR="006E149C" w:rsidRPr="00DA4B16" w:rsidTr="006E149C">
        <w:trPr>
          <w:trHeight w:val="440"/>
        </w:trPr>
        <w:tc>
          <w:tcPr>
            <w:tcW w:w="812" w:type="dxa"/>
            <w:tcBorders>
              <w:top w:val="nil"/>
              <w:left w:val="nil"/>
              <w:bottom w:val="nil"/>
              <w:right w:val="nil"/>
            </w:tcBorders>
            <w:shd w:val="clear" w:color="auto" w:fill="auto"/>
            <w:vAlign w:val="bottom"/>
            <w:hideMark/>
          </w:tcPr>
          <w:p w:rsidR="006E149C" w:rsidRPr="00DA4B16" w:rsidRDefault="006E149C" w:rsidP="00DA4B16">
            <w:pPr>
              <w:spacing w:after="0" w:line="240" w:lineRule="auto"/>
              <w:rPr>
                <w:rFonts w:ascii="Times New Roman" w:eastAsia="Times New Roman" w:hAnsi="Times New Roman" w:cs="Times New Roman"/>
                <w:sz w:val="24"/>
                <w:szCs w:val="24"/>
                <w:lang w:eastAsia="en-AU"/>
              </w:rPr>
            </w:pPr>
          </w:p>
        </w:tc>
        <w:tc>
          <w:tcPr>
            <w:tcW w:w="2366" w:type="dxa"/>
            <w:gridSpan w:val="2"/>
            <w:tcBorders>
              <w:top w:val="nil"/>
              <w:left w:val="nil"/>
              <w:bottom w:val="nil"/>
              <w:right w:val="nil"/>
            </w:tcBorders>
            <w:shd w:val="clear" w:color="000000" w:fill="D9E1F2"/>
            <w:vAlign w:val="bottom"/>
            <w:hideMark/>
          </w:tcPr>
          <w:p w:rsidR="006E149C" w:rsidRPr="006E149C" w:rsidRDefault="006E149C" w:rsidP="00DA4B16">
            <w:pPr>
              <w:spacing w:after="0" w:line="240" w:lineRule="auto"/>
              <w:rPr>
                <w:rFonts w:ascii="Calibri" w:eastAsia="Times New Roman" w:hAnsi="Calibri" w:cs="Calibri"/>
                <w:b/>
                <w:color w:val="000000"/>
                <w:sz w:val="18"/>
                <w:szCs w:val="18"/>
                <w:lang w:eastAsia="en-AU"/>
              </w:rPr>
            </w:pPr>
            <w:r w:rsidRPr="00DA4B16">
              <w:rPr>
                <w:rFonts w:ascii="Calibri" w:eastAsia="Times New Roman" w:hAnsi="Calibri" w:cs="Calibri"/>
                <w:b/>
                <w:color w:val="000000"/>
                <w:sz w:val="18"/>
                <w:szCs w:val="18"/>
                <w:lang w:eastAsia="en-AU"/>
              </w:rPr>
              <w:t xml:space="preserve"> HA-MA-22-01</w:t>
            </w:r>
          </w:p>
          <w:p w:rsidR="006E149C" w:rsidRPr="00DA4B16" w:rsidRDefault="006E149C" w:rsidP="00DA4B16">
            <w:pPr>
              <w:spacing w:after="0" w:line="240" w:lineRule="auto"/>
              <w:rPr>
                <w:rFonts w:ascii="Calibri" w:eastAsia="Times New Roman" w:hAnsi="Calibri" w:cs="Calibri"/>
                <w:b/>
                <w:color w:val="000000"/>
                <w:sz w:val="18"/>
                <w:szCs w:val="18"/>
                <w:lang w:eastAsia="en-AU"/>
              </w:rPr>
            </w:pPr>
            <w:r w:rsidRPr="00DA4B16">
              <w:rPr>
                <w:rFonts w:ascii="Calibri" w:eastAsia="Times New Roman" w:hAnsi="Calibri" w:cs="Calibri"/>
                <w:b/>
                <w:color w:val="000000"/>
                <w:sz w:val="18"/>
                <w:szCs w:val="18"/>
                <w:lang w:eastAsia="en-AU"/>
              </w:rPr>
              <w:t> </w:t>
            </w:r>
          </w:p>
        </w:tc>
        <w:tc>
          <w:tcPr>
            <w:tcW w:w="1183" w:type="dxa"/>
            <w:tcBorders>
              <w:top w:val="nil"/>
              <w:left w:val="nil"/>
              <w:bottom w:val="nil"/>
              <w:right w:val="nil"/>
            </w:tcBorders>
            <w:shd w:val="clear" w:color="000000" w:fill="D9E1F2"/>
            <w:vAlign w:val="bottom"/>
            <w:hideMark/>
          </w:tcPr>
          <w:p w:rsidR="006E149C" w:rsidRPr="00DA4B16" w:rsidRDefault="006E149C" w:rsidP="00DA4B16">
            <w:pPr>
              <w:spacing w:after="0" w:line="240" w:lineRule="auto"/>
              <w:rPr>
                <w:rFonts w:ascii="Calibri" w:eastAsia="Times New Roman" w:hAnsi="Calibri" w:cs="Calibri"/>
                <w:color w:val="000000"/>
                <w:sz w:val="18"/>
                <w:szCs w:val="18"/>
                <w:lang w:eastAsia="en-AU"/>
              </w:rPr>
            </w:pPr>
            <w:r w:rsidRPr="00DA4B16">
              <w:rPr>
                <w:rFonts w:ascii="Calibri" w:eastAsia="Times New Roman" w:hAnsi="Calibri" w:cs="Calibri"/>
                <w:color w:val="000000"/>
                <w:sz w:val="18"/>
                <w:szCs w:val="18"/>
                <w:lang w:eastAsia="en-AU"/>
              </w:rPr>
              <w:t> </w:t>
            </w:r>
          </w:p>
        </w:tc>
        <w:tc>
          <w:tcPr>
            <w:tcW w:w="1183" w:type="dxa"/>
            <w:tcBorders>
              <w:top w:val="nil"/>
              <w:left w:val="nil"/>
              <w:bottom w:val="nil"/>
              <w:right w:val="nil"/>
            </w:tcBorders>
            <w:shd w:val="clear" w:color="000000" w:fill="D9E1F2"/>
            <w:vAlign w:val="bottom"/>
            <w:hideMark/>
          </w:tcPr>
          <w:p w:rsidR="006E149C" w:rsidRPr="00DA4B16" w:rsidRDefault="006E149C" w:rsidP="00DA4B16">
            <w:pPr>
              <w:spacing w:after="0" w:line="240" w:lineRule="auto"/>
              <w:rPr>
                <w:rFonts w:ascii="Calibri" w:eastAsia="Times New Roman" w:hAnsi="Calibri" w:cs="Calibri"/>
                <w:color w:val="000000"/>
                <w:sz w:val="18"/>
                <w:szCs w:val="18"/>
                <w:lang w:eastAsia="en-AU"/>
              </w:rPr>
            </w:pPr>
            <w:r w:rsidRPr="00DA4B16">
              <w:rPr>
                <w:rFonts w:ascii="Calibri" w:eastAsia="Times New Roman" w:hAnsi="Calibri" w:cs="Calibri"/>
                <w:color w:val="000000"/>
                <w:sz w:val="18"/>
                <w:szCs w:val="18"/>
                <w:lang w:eastAsia="en-AU"/>
              </w:rPr>
              <w:t> </w:t>
            </w:r>
          </w:p>
        </w:tc>
        <w:tc>
          <w:tcPr>
            <w:tcW w:w="1174" w:type="dxa"/>
            <w:tcBorders>
              <w:top w:val="nil"/>
              <w:left w:val="nil"/>
              <w:bottom w:val="nil"/>
              <w:right w:val="nil"/>
            </w:tcBorders>
            <w:shd w:val="clear" w:color="000000" w:fill="D9E1F2"/>
            <w:vAlign w:val="bottom"/>
            <w:hideMark/>
          </w:tcPr>
          <w:p w:rsidR="006E149C" w:rsidRPr="00DA4B16" w:rsidRDefault="006E149C" w:rsidP="00DA4B16">
            <w:pPr>
              <w:spacing w:after="0" w:line="240" w:lineRule="auto"/>
              <w:rPr>
                <w:rFonts w:ascii="Calibri" w:eastAsia="Times New Roman" w:hAnsi="Calibri" w:cs="Calibri"/>
                <w:color w:val="000000"/>
                <w:sz w:val="18"/>
                <w:szCs w:val="18"/>
                <w:lang w:eastAsia="en-AU"/>
              </w:rPr>
            </w:pPr>
            <w:r w:rsidRPr="00DA4B16">
              <w:rPr>
                <w:rFonts w:ascii="Calibri" w:eastAsia="Times New Roman" w:hAnsi="Calibri" w:cs="Calibri"/>
                <w:color w:val="000000"/>
                <w:sz w:val="18"/>
                <w:szCs w:val="18"/>
                <w:lang w:eastAsia="en-AU"/>
              </w:rPr>
              <w:t> </w:t>
            </w:r>
          </w:p>
        </w:tc>
        <w:tc>
          <w:tcPr>
            <w:tcW w:w="1183" w:type="dxa"/>
            <w:tcBorders>
              <w:top w:val="nil"/>
              <w:left w:val="nil"/>
              <w:bottom w:val="nil"/>
              <w:right w:val="nil"/>
            </w:tcBorders>
            <w:shd w:val="clear" w:color="000000" w:fill="D9E1F2"/>
            <w:vAlign w:val="bottom"/>
            <w:hideMark/>
          </w:tcPr>
          <w:p w:rsidR="006E149C" w:rsidRPr="00DA4B16" w:rsidRDefault="006E149C" w:rsidP="00DA4B16">
            <w:pPr>
              <w:spacing w:after="0" w:line="240" w:lineRule="auto"/>
              <w:rPr>
                <w:rFonts w:ascii="Calibri" w:eastAsia="Times New Roman" w:hAnsi="Calibri" w:cs="Calibri"/>
                <w:color w:val="000000"/>
                <w:sz w:val="18"/>
                <w:szCs w:val="18"/>
                <w:lang w:eastAsia="en-AU"/>
              </w:rPr>
            </w:pPr>
            <w:r w:rsidRPr="00DA4B16">
              <w:rPr>
                <w:rFonts w:ascii="Calibri" w:eastAsia="Times New Roman" w:hAnsi="Calibri" w:cs="Calibri"/>
                <w:color w:val="000000"/>
                <w:sz w:val="18"/>
                <w:szCs w:val="18"/>
                <w:lang w:eastAsia="en-AU"/>
              </w:rPr>
              <w:t> </w:t>
            </w:r>
          </w:p>
        </w:tc>
        <w:tc>
          <w:tcPr>
            <w:tcW w:w="424" w:type="dxa"/>
            <w:tcBorders>
              <w:top w:val="nil"/>
              <w:left w:val="nil"/>
              <w:bottom w:val="nil"/>
              <w:right w:val="nil"/>
            </w:tcBorders>
            <w:shd w:val="clear" w:color="000000" w:fill="D9E1F2"/>
            <w:vAlign w:val="bottom"/>
            <w:hideMark/>
          </w:tcPr>
          <w:p w:rsidR="006E149C" w:rsidRPr="00DA4B16" w:rsidRDefault="006E149C" w:rsidP="00DA4B16">
            <w:pPr>
              <w:spacing w:after="0" w:line="240" w:lineRule="auto"/>
              <w:rPr>
                <w:rFonts w:ascii="Calibri" w:eastAsia="Times New Roman" w:hAnsi="Calibri" w:cs="Calibri"/>
                <w:color w:val="000000"/>
                <w:sz w:val="18"/>
                <w:szCs w:val="18"/>
                <w:lang w:eastAsia="en-AU"/>
              </w:rPr>
            </w:pPr>
            <w:r w:rsidRPr="00DA4B16">
              <w:rPr>
                <w:rFonts w:ascii="Calibri" w:eastAsia="Times New Roman" w:hAnsi="Calibri" w:cs="Calibri"/>
                <w:color w:val="000000"/>
                <w:sz w:val="18"/>
                <w:szCs w:val="18"/>
                <w:lang w:eastAsia="en-AU"/>
              </w:rPr>
              <w:t> </w:t>
            </w:r>
          </w:p>
        </w:tc>
        <w:tc>
          <w:tcPr>
            <w:tcW w:w="1183" w:type="dxa"/>
            <w:tcBorders>
              <w:top w:val="nil"/>
              <w:left w:val="nil"/>
              <w:bottom w:val="nil"/>
              <w:right w:val="nil"/>
            </w:tcBorders>
            <w:shd w:val="clear" w:color="000000" w:fill="D9E1F2"/>
            <w:vAlign w:val="bottom"/>
            <w:hideMark/>
          </w:tcPr>
          <w:p w:rsidR="006E149C" w:rsidRPr="00DA4B16" w:rsidRDefault="006E149C" w:rsidP="00DA4B16">
            <w:pPr>
              <w:spacing w:after="0" w:line="240" w:lineRule="auto"/>
              <w:rPr>
                <w:rFonts w:ascii="Calibri" w:eastAsia="Times New Roman" w:hAnsi="Calibri" w:cs="Calibri"/>
                <w:color w:val="000000"/>
                <w:sz w:val="18"/>
                <w:szCs w:val="18"/>
                <w:lang w:eastAsia="en-AU"/>
              </w:rPr>
            </w:pPr>
            <w:r w:rsidRPr="00DA4B16">
              <w:rPr>
                <w:rFonts w:ascii="Calibri" w:eastAsia="Times New Roman" w:hAnsi="Calibri" w:cs="Calibri"/>
                <w:color w:val="000000"/>
                <w:sz w:val="18"/>
                <w:szCs w:val="18"/>
                <w:lang w:eastAsia="en-AU"/>
              </w:rPr>
              <w:t> </w:t>
            </w:r>
          </w:p>
        </w:tc>
        <w:tc>
          <w:tcPr>
            <w:tcW w:w="1183" w:type="dxa"/>
            <w:tcBorders>
              <w:top w:val="nil"/>
              <w:left w:val="nil"/>
              <w:bottom w:val="nil"/>
              <w:right w:val="nil"/>
            </w:tcBorders>
            <w:shd w:val="clear" w:color="000000" w:fill="D9E1F2"/>
            <w:vAlign w:val="bottom"/>
            <w:hideMark/>
          </w:tcPr>
          <w:p w:rsidR="006E149C" w:rsidRPr="00DA4B16" w:rsidRDefault="006E149C" w:rsidP="00DA4B16">
            <w:pPr>
              <w:spacing w:after="0" w:line="240" w:lineRule="auto"/>
              <w:rPr>
                <w:rFonts w:ascii="Calibri" w:eastAsia="Times New Roman" w:hAnsi="Calibri" w:cs="Calibri"/>
                <w:color w:val="000000"/>
                <w:sz w:val="18"/>
                <w:szCs w:val="18"/>
                <w:lang w:eastAsia="en-AU"/>
              </w:rPr>
            </w:pPr>
            <w:r w:rsidRPr="00DA4B16">
              <w:rPr>
                <w:rFonts w:ascii="Calibri" w:eastAsia="Times New Roman" w:hAnsi="Calibri" w:cs="Calibri"/>
                <w:color w:val="000000"/>
                <w:sz w:val="18"/>
                <w:szCs w:val="18"/>
                <w:lang w:eastAsia="en-AU"/>
              </w:rPr>
              <w:t> </w:t>
            </w:r>
          </w:p>
        </w:tc>
        <w:tc>
          <w:tcPr>
            <w:tcW w:w="1177" w:type="dxa"/>
            <w:tcBorders>
              <w:top w:val="nil"/>
              <w:left w:val="nil"/>
              <w:bottom w:val="nil"/>
              <w:right w:val="nil"/>
            </w:tcBorders>
            <w:shd w:val="clear" w:color="000000" w:fill="D9E1F2"/>
            <w:vAlign w:val="bottom"/>
            <w:hideMark/>
          </w:tcPr>
          <w:p w:rsidR="006E149C" w:rsidRPr="00DA4B16" w:rsidRDefault="006E149C" w:rsidP="00DA4B16">
            <w:pPr>
              <w:spacing w:after="0" w:line="240" w:lineRule="auto"/>
              <w:rPr>
                <w:rFonts w:ascii="Calibri" w:eastAsia="Times New Roman" w:hAnsi="Calibri" w:cs="Calibri"/>
                <w:color w:val="000000"/>
                <w:sz w:val="18"/>
                <w:szCs w:val="18"/>
                <w:lang w:eastAsia="en-AU"/>
              </w:rPr>
            </w:pPr>
            <w:r w:rsidRPr="00DA4B16">
              <w:rPr>
                <w:rFonts w:ascii="Calibri" w:eastAsia="Times New Roman" w:hAnsi="Calibri" w:cs="Calibri"/>
                <w:color w:val="000000"/>
                <w:sz w:val="18"/>
                <w:szCs w:val="18"/>
                <w:lang w:eastAsia="en-AU"/>
              </w:rPr>
              <w:t> </w:t>
            </w:r>
          </w:p>
        </w:tc>
        <w:tc>
          <w:tcPr>
            <w:tcW w:w="1183" w:type="dxa"/>
            <w:tcBorders>
              <w:top w:val="nil"/>
              <w:left w:val="nil"/>
              <w:bottom w:val="nil"/>
              <w:right w:val="nil"/>
            </w:tcBorders>
            <w:shd w:val="clear" w:color="000000" w:fill="D9E1F2"/>
            <w:vAlign w:val="bottom"/>
            <w:hideMark/>
          </w:tcPr>
          <w:p w:rsidR="006E149C" w:rsidRPr="00DA4B16" w:rsidRDefault="006E149C" w:rsidP="00DA4B16">
            <w:pPr>
              <w:spacing w:after="0" w:line="240" w:lineRule="auto"/>
              <w:rPr>
                <w:rFonts w:ascii="Calibri" w:eastAsia="Times New Roman" w:hAnsi="Calibri" w:cs="Calibri"/>
                <w:color w:val="000000"/>
                <w:sz w:val="18"/>
                <w:szCs w:val="18"/>
                <w:lang w:eastAsia="en-AU"/>
              </w:rPr>
            </w:pPr>
            <w:r w:rsidRPr="00DA4B16">
              <w:rPr>
                <w:rFonts w:ascii="Calibri" w:eastAsia="Times New Roman" w:hAnsi="Calibri" w:cs="Calibri"/>
                <w:color w:val="000000"/>
                <w:sz w:val="18"/>
                <w:szCs w:val="18"/>
                <w:lang w:eastAsia="en-AU"/>
              </w:rPr>
              <w:t> </w:t>
            </w:r>
          </w:p>
        </w:tc>
        <w:tc>
          <w:tcPr>
            <w:tcW w:w="1183" w:type="dxa"/>
            <w:tcBorders>
              <w:top w:val="nil"/>
              <w:left w:val="nil"/>
              <w:bottom w:val="nil"/>
              <w:right w:val="nil"/>
            </w:tcBorders>
            <w:shd w:val="clear" w:color="000000" w:fill="D9E1F2"/>
            <w:vAlign w:val="bottom"/>
            <w:hideMark/>
          </w:tcPr>
          <w:p w:rsidR="006E149C" w:rsidRPr="00DA4B16" w:rsidRDefault="006E149C" w:rsidP="00DA4B16">
            <w:pPr>
              <w:spacing w:after="0" w:line="240" w:lineRule="auto"/>
              <w:rPr>
                <w:rFonts w:ascii="Calibri" w:eastAsia="Times New Roman" w:hAnsi="Calibri" w:cs="Calibri"/>
                <w:color w:val="000000"/>
                <w:sz w:val="18"/>
                <w:szCs w:val="18"/>
                <w:lang w:eastAsia="en-AU"/>
              </w:rPr>
            </w:pPr>
            <w:r w:rsidRPr="00DA4B16">
              <w:rPr>
                <w:rFonts w:ascii="Calibri" w:eastAsia="Times New Roman" w:hAnsi="Calibri" w:cs="Calibri"/>
                <w:color w:val="000000"/>
                <w:sz w:val="18"/>
                <w:szCs w:val="18"/>
                <w:lang w:eastAsia="en-AU"/>
              </w:rPr>
              <w:t> </w:t>
            </w:r>
          </w:p>
        </w:tc>
        <w:tc>
          <w:tcPr>
            <w:tcW w:w="1172" w:type="dxa"/>
            <w:tcBorders>
              <w:top w:val="nil"/>
              <w:left w:val="nil"/>
              <w:bottom w:val="nil"/>
              <w:right w:val="nil"/>
            </w:tcBorders>
            <w:shd w:val="clear" w:color="000000" w:fill="D9E1F2"/>
            <w:vAlign w:val="bottom"/>
            <w:hideMark/>
          </w:tcPr>
          <w:p w:rsidR="006E149C" w:rsidRPr="00DA4B16" w:rsidRDefault="006E149C" w:rsidP="00DA4B16">
            <w:pPr>
              <w:spacing w:after="0" w:line="240" w:lineRule="auto"/>
              <w:rPr>
                <w:rFonts w:ascii="Calibri" w:eastAsia="Times New Roman" w:hAnsi="Calibri" w:cs="Calibri"/>
                <w:color w:val="000000"/>
                <w:sz w:val="18"/>
                <w:szCs w:val="18"/>
                <w:lang w:eastAsia="en-AU"/>
              </w:rPr>
            </w:pPr>
            <w:r w:rsidRPr="00DA4B16">
              <w:rPr>
                <w:rFonts w:ascii="Calibri" w:eastAsia="Times New Roman" w:hAnsi="Calibri" w:cs="Calibri"/>
                <w:color w:val="000000"/>
                <w:sz w:val="18"/>
                <w:szCs w:val="18"/>
                <w:lang w:eastAsia="en-AU"/>
              </w:rPr>
              <w:t> </w:t>
            </w:r>
          </w:p>
        </w:tc>
      </w:tr>
      <w:tr w:rsidR="006E149C" w:rsidRPr="00DA4B16" w:rsidTr="006E149C">
        <w:trPr>
          <w:trHeight w:val="1185"/>
        </w:trPr>
        <w:tc>
          <w:tcPr>
            <w:tcW w:w="812" w:type="dxa"/>
            <w:vMerge w:val="restart"/>
            <w:tcBorders>
              <w:top w:val="single" w:sz="4" w:space="0" w:color="auto"/>
              <w:left w:val="single" w:sz="4" w:space="0" w:color="auto"/>
              <w:bottom w:val="single" w:sz="4" w:space="0" w:color="000000"/>
              <w:right w:val="single" w:sz="4" w:space="0" w:color="auto"/>
            </w:tcBorders>
            <w:shd w:val="clear" w:color="000000" w:fill="FFCCFF"/>
            <w:textDirection w:val="tbRl"/>
            <w:vAlign w:val="center"/>
            <w:hideMark/>
          </w:tcPr>
          <w:p w:rsidR="00DA4B16" w:rsidRPr="00DA4B16" w:rsidRDefault="00DA4B16" w:rsidP="00DA4B16">
            <w:pPr>
              <w:spacing w:after="0" w:line="240" w:lineRule="auto"/>
              <w:jc w:val="center"/>
              <w:rPr>
                <w:rFonts w:ascii="Calibri" w:eastAsia="Times New Roman" w:hAnsi="Calibri" w:cs="Calibri"/>
                <w:color w:val="000000"/>
                <w:sz w:val="20"/>
                <w:szCs w:val="20"/>
                <w:lang w:eastAsia="en-AU"/>
              </w:rPr>
            </w:pPr>
            <w:r w:rsidRPr="00DA4B16">
              <w:rPr>
                <w:rFonts w:ascii="Calibri" w:eastAsia="Times New Roman" w:hAnsi="Calibri" w:cs="Calibri"/>
                <w:color w:val="000000"/>
                <w:sz w:val="20"/>
                <w:szCs w:val="20"/>
                <w:lang w:eastAsia="en-AU"/>
              </w:rPr>
              <w:t>RBC Features</w:t>
            </w:r>
          </w:p>
        </w:tc>
        <w:tc>
          <w:tcPr>
            <w:tcW w:w="1183" w:type="dxa"/>
            <w:tcBorders>
              <w:top w:val="nil"/>
              <w:left w:val="nil"/>
              <w:bottom w:val="nil"/>
              <w:right w:val="nil"/>
            </w:tcBorders>
            <w:shd w:val="clear" w:color="000000" w:fill="FFF2CC"/>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r w:rsidRPr="00DA4B16">
              <w:rPr>
                <w:rFonts w:ascii="Calibri" w:eastAsia="Times New Roman" w:hAnsi="Calibri" w:cs="Calibri"/>
                <w:sz w:val="18"/>
                <w:szCs w:val="18"/>
                <w:lang w:eastAsia="en-AU"/>
              </w:rPr>
              <w:t>Gametocytes</w:t>
            </w:r>
          </w:p>
        </w:tc>
        <w:tc>
          <w:tcPr>
            <w:tcW w:w="1183" w:type="dxa"/>
            <w:tcBorders>
              <w:top w:val="nil"/>
              <w:left w:val="nil"/>
              <w:bottom w:val="nil"/>
              <w:right w:val="nil"/>
            </w:tcBorders>
            <w:shd w:val="clear" w:color="000000" w:fill="FFF2CC"/>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r w:rsidRPr="00DA4B16">
              <w:rPr>
                <w:rFonts w:ascii="Calibri" w:eastAsia="Times New Roman" w:hAnsi="Calibri" w:cs="Calibri"/>
                <w:sz w:val="18"/>
                <w:szCs w:val="18"/>
                <w:lang w:eastAsia="en-AU"/>
              </w:rPr>
              <w:t>Gametocytes</w:t>
            </w: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Parasitised red cells larger than uninfected cells</w:t>
            </w:r>
          </w:p>
        </w:tc>
        <w:tc>
          <w:tcPr>
            <w:tcW w:w="1183" w:type="dxa"/>
            <w:tcBorders>
              <w:top w:val="nil"/>
              <w:left w:val="nil"/>
              <w:bottom w:val="nil"/>
              <w:right w:val="nil"/>
            </w:tcBorders>
            <w:shd w:val="clear" w:color="000000" w:fill="FFEB9C"/>
            <w:vAlign w:val="bottom"/>
            <w:hideMark/>
          </w:tcPr>
          <w:p w:rsidR="00DA4B16" w:rsidRPr="00DA4B16" w:rsidRDefault="00DA4B16" w:rsidP="00DA4B16">
            <w:pPr>
              <w:spacing w:after="0" w:line="240" w:lineRule="auto"/>
              <w:jc w:val="center"/>
              <w:rPr>
                <w:rFonts w:ascii="Calibri" w:eastAsia="Times New Roman" w:hAnsi="Calibri" w:cs="Calibri"/>
                <w:color w:val="9C5700"/>
                <w:sz w:val="18"/>
                <w:szCs w:val="18"/>
                <w:lang w:eastAsia="en-AU"/>
              </w:rPr>
            </w:pPr>
            <w:proofErr w:type="spellStart"/>
            <w:r w:rsidRPr="00DA4B16">
              <w:rPr>
                <w:rFonts w:ascii="Calibri" w:eastAsia="Times New Roman" w:hAnsi="Calibri" w:cs="Calibri"/>
                <w:color w:val="9C5700"/>
                <w:sz w:val="18"/>
                <w:szCs w:val="18"/>
                <w:lang w:eastAsia="en-AU"/>
              </w:rPr>
              <w:t>Schüffner's</w:t>
            </w:r>
            <w:proofErr w:type="spellEnd"/>
            <w:r w:rsidRPr="00DA4B16">
              <w:rPr>
                <w:rFonts w:ascii="Calibri" w:eastAsia="Times New Roman" w:hAnsi="Calibri" w:cs="Calibri"/>
                <w:color w:val="9C5700"/>
                <w:sz w:val="18"/>
                <w:szCs w:val="18"/>
                <w:lang w:eastAsia="en-AU"/>
              </w:rPr>
              <w:t xml:space="preserve"> dots</w:t>
            </w:r>
          </w:p>
        </w:tc>
        <w:tc>
          <w:tcPr>
            <w:tcW w:w="1174"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Parasitised red cells larger than uninfected cells</w:t>
            </w:r>
          </w:p>
        </w:tc>
        <w:tc>
          <w:tcPr>
            <w:tcW w:w="1183" w:type="dxa"/>
            <w:tcBorders>
              <w:top w:val="nil"/>
              <w:left w:val="nil"/>
              <w:bottom w:val="nil"/>
              <w:right w:val="nil"/>
            </w:tcBorders>
            <w:shd w:val="clear" w:color="000000" w:fill="FFEB9C"/>
            <w:vAlign w:val="bottom"/>
            <w:hideMark/>
          </w:tcPr>
          <w:p w:rsidR="00DA4B16" w:rsidRPr="00DA4B16" w:rsidRDefault="00DA4B16" w:rsidP="00DA4B16">
            <w:pPr>
              <w:spacing w:after="0" w:line="240" w:lineRule="auto"/>
              <w:jc w:val="center"/>
              <w:rPr>
                <w:rFonts w:ascii="Calibri" w:eastAsia="Times New Roman" w:hAnsi="Calibri" w:cs="Calibri"/>
                <w:color w:val="9C5700"/>
                <w:sz w:val="18"/>
                <w:szCs w:val="18"/>
                <w:lang w:eastAsia="en-AU"/>
              </w:rPr>
            </w:pPr>
            <w:proofErr w:type="spellStart"/>
            <w:r w:rsidRPr="00DA4B16">
              <w:rPr>
                <w:rFonts w:ascii="Calibri" w:eastAsia="Times New Roman" w:hAnsi="Calibri" w:cs="Calibri"/>
                <w:color w:val="9C5700"/>
                <w:sz w:val="18"/>
                <w:szCs w:val="18"/>
                <w:lang w:eastAsia="en-AU"/>
              </w:rPr>
              <w:t>Schüffner's</w:t>
            </w:r>
            <w:proofErr w:type="spellEnd"/>
            <w:r w:rsidRPr="00DA4B16">
              <w:rPr>
                <w:rFonts w:ascii="Calibri" w:eastAsia="Times New Roman" w:hAnsi="Calibri" w:cs="Calibri"/>
                <w:color w:val="9C5700"/>
                <w:sz w:val="18"/>
                <w:szCs w:val="18"/>
                <w:lang w:eastAsia="en-AU"/>
              </w:rPr>
              <w:t xml:space="preserve"> dots</w:t>
            </w:r>
          </w:p>
        </w:tc>
        <w:tc>
          <w:tcPr>
            <w:tcW w:w="424"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Calibri" w:eastAsia="Times New Roman" w:hAnsi="Calibri" w:cs="Calibri"/>
                <w:color w:val="9C5700"/>
                <w:sz w:val="18"/>
                <w:szCs w:val="18"/>
                <w:lang w:eastAsia="en-AU"/>
              </w:rPr>
            </w:pP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Parasitised red cells larger than uninfected cells</w:t>
            </w:r>
          </w:p>
        </w:tc>
        <w:tc>
          <w:tcPr>
            <w:tcW w:w="1183" w:type="dxa"/>
            <w:tcBorders>
              <w:top w:val="nil"/>
              <w:left w:val="nil"/>
              <w:bottom w:val="nil"/>
              <w:right w:val="nil"/>
            </w:tcBorders>
            <w:shd w:val="clear" w:color="000000" w:fill="FFF2CC"/>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r w:rsidRPr="00DA4B16">
              <w:rPr>
                <w:rFonts w:ascii="Calibri" w:eastAsia="Times New Roman" w:hAnsi="Calibri" w:cs="Calibri"/>
                <w:sz w:val="18"/>
                <w:szCs w:val="18"/>
                <w:lang w:eastAsia="en-AU"/>
              </w:rPr>
              <w:t>Gametocytes</w:t>
            </w:r>
          </w:p>
        </w:tc>
        <w:tc>
          <w:tcPr>
            <w:tcW w:w="1177"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Parasitised red cells larger than uninfected cells</w:t>
            </w:r>
          </w:p>
        </w:tc>
        <w:tc>
          <w:tcPr>
            <w:tcW w:w="1183" w:type="dxa"/>
            <w:tcBorders>
              <w:top w:val="nil"/>
              <w:left w:val="nil"/>
              <w:bottom w:val="nil"/>
              <w:right w:val="nil"/>
            </w:tcBorders>
            <w:shd w:val="clear" w:color="000000" w:fill="FFF2CC"/>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r w:rsidRPr="00DA4B16">
              <w:rPr>
                <w:rFonts w:ascii="Calibri" w:eastAsia="Times New Roman" w:hAnsi="Calibri" w:cs="Calibri"/>
                <w:sz w:val="18"/>
                <w:szCs w:val="18"/>
                <w:lang w:eastAsia="en-AU"/>
              </w:rPr>
              <w:t>Early trophozoites</w:t>
            </w: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Parasitised red cells larger than uninfected cells</w:t>
            </w:r>
          </w:p>
        </w:tc>
        <w:tc>
          <w:tcPr>
            <w:tcW w:w="1172"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p>
        </w:tc>
      </w:tr>
      <w:tr w:rsidR="006E149C" w:rsidRPr="00DA4B16" w:rsidTr="006E149C">
        <w:trPr>
          <w:trHeight w:val="1171"/>
        </w:trPr>
        <w:tc>
          <w:tcPr>
            <w:tcW w:w="812" w:type="dxa"/>
            <w:vMerge/>
            <w:tcBorders>
              <w:top w:val="single" w:sz="4" w:space="0" w:color="auto"/>
              <w:left w:val="single" w:sz="4" w:space="0" w:color="auto"/>
              <w:bottom w:val="single" w:sz="4" w:space="0" w:color="000000"/>
              <w:right w:val="single" w:sz="4" w:space="0" w:color="auto"/>
            </w:tcBorders>
            <w:vAlign w:val="center"/>
            <w:hideMark/>
          </w:tcPr>
          <w:p w:rsidR="00DA4B16" w:rsidRPr="00DA4B16" w:rsidRDefault="00DA4B16" w:rsidP="00DA4B16">
            <w:pPr>
              <w:spacing w:after="0" w:line="240" w:lineRule="auto"/>
              <w:rPr>
                <w:rFonts w:ascii="Calibri" w:eastAsia="Times New Roman" w:hAnsi="Calibri" w:cs="Calibri"/>
                <w:color w:val="000000"/>
                <w:sz w:val="20"/>
                <w:szCs w:val="20"/>
                <w:lang w:eastAsia="en-AU"/>
              </w:rPr>
            </w:pPr>
          </w:p>
        </w:tc>
        <w:tc>
          <w:tcPr>
            <w:tcW w:w="1183" w:type="dxa"/>
            <w:tcBorders>
              <w:top w:val="nil"/>
              <w:left w:val="nil"/>
              <w:bottom w:val="nil"/>
              <w:right w:val="nil"/>
            </w:tcBorders>
            <w:shd w:val="clear" w:color="000000" w:fill="FFEB9C"/>
            <w:vAlign w:val="bottom"/>
            <w:hideMark/>
          </w:tcPr>
          <w:p w:rsidR="00DA4B16" w:rsidRPr="00DA4B16" w:rsidRDefault="00DA4B16" w:rsidP="00DA4B16">
            <w:pPr>
              <w:spacing w:after="0" w:line="240" w:lineRule="auto"/>
              <w:jc w:val="center"/>
              <w:rPr>
                <w:rFonts w:ascii="Calibri" w:eastAsia="Times New Roman" w:hAnsi="Calibri" w:cs="Calibri"/>
                <w:color w:val="9C5700"/>
                <w:sz w:val="18"/>
                <w:szCs w:val="18"/>
                <w:lang w:eastAsia="en-AU"/>
              </w:rPr>
            </w:pPr>
            <w:proofErr w:type="spellStart"/>
            <w:r w:rsidRPr="00DA4B16">
              <w:rPr>
                <w:rFonts w:ascii="Calibri" w:eastAsia="Times New Roman" w:hAnsi="Calibri" w:cs="Calibri"/>
                <w:color w:val="9C5700"/>
                <w:sz w:val="18"/>
                <w:szCs w:val="18"/>
                <w:lang w:eastAsia="en-AU"/>
              </w:rPr>
              <w:t>Schüffner's</w:t>
            </w:r>
            <w:proofErr w:type="spellEnd"/>
            <w:r w:rsidRPr="00DA4B16">
              <w:rPr>
                <w:rFonts w:ascii="Calibri" w:eastAsia="Times New Roman" w:hAnsi="Calibri" w:cs="Calibri"/>
                <w:color w:val="9C5700"/>
                <w:sz w:val="18"/>
                <w:szCs w:val="18"/>
                <w:lang w:eastAsia="en-AU"/>
              </w:rPr>
              <w:t xml:space="preserve"> dots</w:t>
            </w: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Parasitised red cells larger than uninfected cells</w:t>
            </w:r>
          </w:p>
        </w:tc>
        <w:tc>
          <w:tcPr>
            <w:tcW w:w="1183" w:type="dxa"/>
            <w:tcBorders>
              <w:top w:val="nil"/>
              <w:left w:val="nil"/>
              <w:bottom w:val="nil"/>
              <w:right w:val="nil"/>
            </w:tcBorders>
            <w:shd w:val="clear" w:color="000000" w:fill="FFEB9C"/>
            <w:vAlign w:val="bottom"/>
            <w:hideMark/>
          </w:tcPr>
          <w:p w:rsidR="00DA4B16" w:rsidRPr="00DA4B16" w:rsidRDefault="00DA4B16" w:rsidP="00DA4B16">
            <w:pPr>
              <w:spacing w:after="0" w:line="240" w:lineRule="auto"/>
              <w:jc w:val="center"/>
              <w:rPr>
                <w:rFonts w:ascii="Calibri" w:eastAsia="Times New Roman" w:hAnsi="Calibri" w:cs="Calibri"/>
                <w:color w:val="9C5700"/>
                <w:sz w:val="18"/>
                <w:szCs w:val="18"/>
                <w:lang w:eastAsia="en-AU"/>
              </w:rPr>
            </w:pPr>
            <w:proofErr w:type="spellStart"/>
            <w:r w:rsidRPr="00DA4B16">
              <w:rPr>
                <w:rFonts w:ascii="Calibri" w:eastAsia="Times New Roman" w:hAnsi="Calibri" w:cs="Calibri"/>
                <w:color w:val="9C5700"/>
                <w:sz w:val="18"/>
                <w:szCs w:val="18"/>
                <w:lang w:eastAsia="en-AU"/>
              </w:rPr>
              <w:t>Schüffner's</w:t>
            </w:r>
            <w:proofErr w:type="spellEnd"/>
            <w:r w:rsidRPr="00DA4B16">
              <w:rPr>
                <w:rFonts w:ascii="Calibri" w:eastAsia="Times New Roman" w:hAnsi="Calibri" w:cs="Calibri"/>
                <w:color w:val="9C5700"/>
                <w:sz w:val="18"/>
                <w:szCs w:val="18"/>
                <w:lang w:eastAsia="en-AU"/>
              </w:rPr>
              <w:t xml:space="preserve"> dots</w:t>
            </w: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Parasitised red cells larger than uninfected cells</w:t>
            </w:r>
          </w:p>
        </w:tc>
        <w:tc>
          <w:tcPr>
            <w:tcW w:w="1174"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Calibri" w:eastAsia="Times New Roman" w:hAnsi="Calibri" w:cs="Calibri"/>
                <w:color w:val="000000"/>
                <w:sz w:val="18"/>
                <w:szCs w:val="18"/>
                <w:lang w:eastAsia="en-AU"/>
              </w:rPr>
            </w:pPr>
            <w:r w:rsidRPr="00DA4B16">
              <w:rPr>
                <w:rFonts w:ascii="Calibri" w:eastAsia="Times New Roman" w:hAnsi="Calibri" w:cs="Calibri"/>
                <w:color w:val="000000"/>
                <w:sz w:val="18"/>
                <w:szCs w:val="18"/>
                <w:lang w:eastAsia="en-AU"/>
              </w:rPr>
              <w:t>Heavy malaria pigment</w:t>
            </w: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Parasitised red cells larger than uninfected cells</w:t>
            </w:r>
          </w:p>
        </w:tc>
        <w:tc>
          <w:tcPr>
            <w:tcW w:w="424"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p>
        </w:tc>
        <w:tc>
          <w:tcPr>
            <w:tcW w:w="1183" w:type="dxa"/>
            <w:tcBorders>
              <w:top w:val="nil"/>
              <w:left w:val="nil"/>
              <w:bottom w:val="nil"/>
              <w:right w:val="nil"/>
            </w:tcBorders>
            <w:shd w:val="clear" w:color="000000" w:fill="FFEB9C"/>
            <w:vAlign w:val="bottom"/>
            <w:hideMark/>
          </w:tcPr>
          <w:p w:rsidR="00DA4B16" w:rsidRPr="00DA4B16" w:rsidRDefault="00DA4B16" w:rsidP="00DA4B16">
            <w:pPr>
              <w:spacing w:after="0" w:line="240" w:lineRule="auto"/>
              <w:jc w:val="center"/>
              <w:rPr>
                <w:rFonts w:ascii="Calibri" w:eastAsia="Times New Roman" w:hAnsi="Calibri" w:cs="Calibri"/>
                <w:color w:val="9C5700"/>
                <w:sz w:val="18"/>
                <w:szCs w:val="18"/>
                <w:lang w:eastAsia="en-AU"/>
              </w:rPr>
            </w:pPr>
            <w:proofErr w:type="spellStart"/>
            <w:r w:rsidRPr="00DA4B16">
              <w:rPr>
                <w:rFonts w:ascii="Calibri" w:eastAsia="Times New Roman" w:hAnsi="Calibri" w:cs="Calibri"/>
                <w:color w:val="9C5700"/>
                <w:sz w:val="18"/>
                <w:szCs w:val="18"/>
                <w:lang w:eastAsia="en-AU"/>
              </w:rPr>
              <w:t>Schüffner's</w:t>
            </w:r>
            <w:proofErr w:type="spellEnd"/>
            <w:r w:rsidRPr="00DA4B16">
              <w:rPr>
                <w:rFonts w:ascii="Calibri" w:eastAsia="Times New Roman" w:hAnsi="Calibri" w:cs="Calibri"/>
                <w:color w:val="9C5700"/>
                <w:sz w:val="18"/>
                <w:szCs w:val="18"/>
                <w:lang w:eastAsia="en-AU"/>
              </w:rPr>
              <w:t xml:space="preserve"> dots</w:t>
            </w: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Parasitised red cells larger than uninfected cells</w:t>
            </w:r>
          </w:p>
        </w:tc>
        <w:tc>
          <w:tcPr>
            <w:tcW w:w="1177" w:type="dxa"/>
            <w:tcBorders>
              <w:top w:val="nil"/>
              <w:left w:val="nil"/>
              <w:bottom w:val="nil"/>
              <w:right w:val="nil"/>
            </w:tcBorders>
            <w:shd w:val="clear" w:color="000000" w:fill="FFEB9C"/>
            <w:vAlign w:val="bottom"/>
            <w:hideMark/>
          </w:tcPr>
          <w:p w:rsidR="00DA4B16" w:rsidRPr="00DA4B16" w:rsidRDefault="00DA4B16" w:rsidP="00DA4B16">
            <w:pPr>
              <w:spacing w:after="0" w:line="240" w:lineRule="auto"/>
              <w:jc w:val="center"/>
              <w:rPr>
                <w:rFonts w:ascii="Calibri" w:eastAsia="Times New Roman" w:hAnsi="Calibri" w:cs="Calibri"/>
                <w:color w:val="9C5700"/>
                <w:sz w:val="18"/>
                <w:szCs w:val="18"/>
                <w:lang w:eastAsia="en-AU"/>
              </w:rPr>
            </w:pPr>
            <w:proofErr w:type="spellStart"/>
            <w:r w:rsidRPr="00DA4B16">
              <w:rPr>
                <w:rFonts w:ascii="Calibri" w:eastAsia="Times New Roman" w:hAnsi="Calibri" w:cs="Calibri"/>
                <w:color w:val="9C5700"/>
                <w:sz w:val="18"/>
                <w:szCs w:val="18"/>
                <w:lang w:eastAsia="en-AU"/>
              </w:rPr>
              <w:t>Schüffner's</w:t>
            </w:r>
            <w:proofErr w:type="spellEnd"/>
            <w:r w:rsidRPr="00DA4B16">
              <w:rPr>
                <w:rFonts w:ascii="Calibri" w:eastAsia="Times New Roman" w:hAnsi="Calibri" w:cs="Calibri"/>
                <w:color w:val="9C5700"/>
                <w:sz w:val="18"/>
                <w:szCs w:val="18"/>
                <w:lang w:eastAsia="en-AU"/>
              </w:rPr>
              <w:t xml:space="preserve"> dots</w:t>
            </w:r>
          </w:p>
        </w:tc>
        <w:tc>
          <w:tcPr>
            <w:tcW w:w="1183" w:type="dxa"/>
            <w:tcBorders>
              <w:top w:val="nil"/>
              <w:left w:val="nil"/>
              <w:bottom w:val="nil"/>
              <w:right w:val="nil"/>
            </w:tcBorders>
            <w:shd w:val="clear" w:color="000000" w:fill="FFF2CC"/>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r w:rsidRPr="00DA4B16">
              <w:rPr>
                <w:rFonts w:ascii="Calibri" w:eastAsia="Times New Roman" w:hAnsi="Calibri" w:cs="Calibri"/>
                <w:sz w:val="18"/>
                <w:szCs w:val="18"/>
                <w:lang w:eastAsia="en-AU"/>
              </w:rPr>
              <w:t>Gametocytes</w:t>
            </w:r>
          </w:p>
        </w:tc>
        <w:tc>
          <w:tcPr>
            <w:tcW w:w="1183" w:type="dxa"/>
            <w:tcBorders>
              <w:top w:val="nil"/>
              <w:left w:val="nil"/>
              <w:bottom w:val="nil"/>
              <w:right w:val="nil"/>
            </w:tcBorders>
            <w:shd w:val="clear" w:color="000000" w:fill="FFEB9C"/>
            <w:vAlign w:val="bottom"/>
            <w:hideMark/>
          </w:tcPr>
          <w:p w:rsidR="00DA4B16" w:rsidRPr="00DA4B16" w:rsidRDefault="00DA4B16" w:rsidP="00DA4B16">
            <w:pPr>
              <w:spacing w:after="0" w:line="240" w:lineRule="auto"/>
              <w:jc w:val="center"/>
              <w:rPr>
                <w:rFonts w:ascii="Calibri" w:eastAsia="Times New Roman" w:hAnsi="Calibri" w:cs="Calibri"/>
                <w:color w:val="9C5700"/>
                <w:sz w:val="18"/>
                <w:szCs w:val="18"/>
                <w:lang w:eastAsia="en-AU"/>
              </w:rPr>
            </w:pPr>
            <w:proofErr w:type="spellStart"/>
            <w:r w:rsidRPr="00DA4B16">
              <w:rPr>
                <w:rFonts w:ascii="Calibri" w:eastAsia="Times New Roman" w:hAnsi="Calibri" w:cs="Calibri"/>
                <w:color w:val="9C5700"/>
                <w:sz w:val="18"/>
                <w:szCs w:val="18"/>
                <w:lang w:eastAsia="en-AU"/>
              </w:rPr>
              <w:t>Schüffner's</w:t>
            </w:r>
            <w:proofErr w:type="spellEnd"/>
            <w:r w:rsidRPr="00DA4B16">
              <w:rPr>
                <w:rFonts w:ascii="Calibri" w:eastAsia="Times New Roman" w:hAnsi="Calibri" w:cs="Calibri"/>
                <w:color w:val="9C5700"/>
                <w:sz w:val="18"/>
                <w:szCs w:val="18"/>
                <w:lang w:eastAsia="en-AU"/>
              </w:rPr>
              <w:t xml:space="preserve"> dots</w:t>
            </w:r>
          </w:p>
        </w:tc>
        <w:tc>
          <w:tcPr>
            <w:tcW w:w="1172"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Calibri" w:eastAsia="Times New Roman" w:hAnsi="Calibri" w:cs="Calibri"/>
                <w:color w:val="9C5700"/>
                <w:sz w:val="18"/>
                <w:szCs w:val="18"/>
                <w:lang w:eastAsia="en-AU"/>
              </w:rPr>
            </w:pPr>
          </w:p>
        </w:tc>
      </w:tr>
      <w:tr w:rsidR="006E149C" w:rsidRPr="00DA4B16" w:rsidTr="006E149C">
        <w:trPr>
          <w:trHeight w:val="1102"/>
        </w:trPr>
        <w:tc>
          <w:tcPr>
            <w:tcW w:w="812" w:type="dxa"/>
            <w:vMerge/>
            <w:tcBorders>
              <w:top w:val="single" w:sz="4" w:space="0" w:color="auto"/>
              <w:left w:val="single" w:sz="4" w:space="0" w:color="auto"/>
              <w:bottom w:val="single" w:sz="4" w:space="0" w:color="000000"/>
              <w:right w:val="single" w:sz="4" w:space="0" w:color="auto"/>
            </w:tcBorders>
            <w:vAlign w:val="center"/>
            <w:hideMark/>
          </w:tcPr>
          <w:p w:rsidR="00DA4B16" w:rsidRPr="00DA4B16" w:rsidRDefault="00DA4B16" w:rsidP="00DA4B16">
            <w:pPr>
              <w:spacing w:after="0" w:line="240" w:lineRule="auto"/>
              <w:rPr>
                <w:rFonts w:ascii="Calibri" w:eastAsia="Times New Roman" w:hAnsi="Calibri" w:cs="Calibri"/>
                <w:color w:val="000000"/>
                <w:sz w:val="20"/>
                <w:szCs w:val="20"/>
                <w:lang w:eastAsia="en-AU"/>
              </w:rPr>
            </w:pP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Parasitised red cells larger than uninfected cells</w:t>
            </w:r>
          </w:p>
        </w:tc>
        <w:tc>
          <w:tcPr>
            <w:tcW w:w="1183" w:type="dxa"/>
            <w:tcBorders>
              <w:top w:val="nil"/>
              <w:left w:val="nil"/>
              <w:bottom w:val="nil"/>
              <w:right w:val="nil"/>
            </w:tcBorders>
            <w:shd w:val="clear" w:color="000000" w:fill="FFF2CC"/>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r w:rsidRPr="00DA4B16">
              <w:rPr>
                <w:rFonts w:ascii="Calibri" w:eastAsia="Times New Roman" w:hAnsi="Calibri" w:cs="Calibri"/>
                <w:sz w:val="18"/>
                <w:szCs w:val="18"/>
                <w:lang w:eastAsia="en-AU"/>
              </w:rPr>
              <w:t>Gametocytes</w:t>
            </w:r>
          </w:p>
        </w:tc>
        <w:tc>
          <w:tcPr>
            <w:tcW w:w="1183" w:type="dxa"/>
            <w:tcBorders>
              <w:top w:val="nil"/>
              <w:left w:val="nil"/>
              <w:bottom w:val="nil"/>
              <w:right w:val="nil"/>
            </w:tcBorders>
            <w:shd w:val="clear" w:color="000000" w:fill="FFF2CC"/>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r w:rsidRPr="00DA4B16">
              <w:rPr>
                <w:rFonts w:ascii="Calibri" w:eastAsia="Times New Roman" w:hAnsi="Calibri" w:cs="Calibri"/>
                <w:sz w:val="18"/>
                <w:szCs w:val="18"/>
                <w:lang w:eastAsia="en-AU"/>
              </w:rPr>
              <w:t>Gametocytes</w:t>
            </w:r>
          </w:p>
        </w:tc>
        <w:tc>
          <w:tcPr>
            <w:tcW w:w="1183" w:type="dxa"/>
            <w:tcBorders>
              <w:top w:val="nil"/>
              <w:left w:val="nil"/>
              <w:bottom w:val="nil"/>
              <w:right w:val="nil"/>
            </w:tcBorders>
            <w:shd w:val="clear" w:color="000000" w:fill="FFF2CC"/>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r w:rsidRPr="00DA4B16">
              <w:rPr>
                <w:rFonts w:ascii="Calibri" w:eastAsia="Times New Roman" w:hAnsi="Calibri" w:cs="Calibri"/>
                <w:sz w:val="18"/>
                <w:szCs w:val="18"/>
                <w:lang w:eastAsia="en-AU"/>
              </w:rPr>
              <w:t>Early trophozoites</w:t>
            </w:r>
          </w:p>
        </w:tc>
        <w:tc>
          <w:tcPr>
            <w:tcW w:w="1174" w:type="dxa"/>
            <w:tcBorders>
              <w:top w:val="nil"/>
              <w:left w:val="nil"/>
              <w:bottom w:val="nil"/>
              <w:right w:val="nil"/>
            </w:tcBorders>
            <w:shd w:val="clear" w:color="000000" w:fill="FFF2CC"/>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r w:rsidRPr="00DA4B16">
              <w:rPr>
                <w:rFonts w:ascii="Calibri" w:eastAsia="Times New Roman" w:hAnsi="Calibri" w:cs="Calibri"/>
                <w:sz w:val="18"/>
                <w:szCs w:val="18"/>
                <w:lang w:eastAsia="en-AU"/>
              </w:rPr>
              <w:t>Early trophozoites</w:t>
            </w:r>
          </w:p>
        </w:tc>
        <w:tc>
          <w:tcPr>
            <w:tcW w:w="1183" w:type="dxa"/>
            <w:tcBorders>
              <w:top w:val="nil"/>
              <w:left w:val="nil"/>
              <w:bottom w:val="nil"/>
              <w:right w:val="nil"/>
            </w:tcBorders>
            <w:shd w:val="clear" w:color="000000" w:fill="FFF2CC"/>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r w:rsidRPr="00DA4B16">
              <w:rPr>
                <w:rFonts w:ascii="Calibri" w:eastAsia="Times New Roman" w:hAnsi="Calibri" w:cs="Calibri"/>
                <w:sz w:val="18"/>
                <w:szCs w:val="18"/>
                <w:lang w:eastAsia="en-AU"/>
              </w:rPr>
              <w:t>Gametocytes</w:t>
            </w:r>
          </w:p>
        </w:tc>
        <w:tc>
          <w:tcPr>
            <w:tcW w:w="424"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Trophozoites with amoeboid-like morphology</w:t>
            </w: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Trophozoites with amoeboid-like morphology</w:t>
            </w:r>
          </w:p>
        </w:tc>
        <w:tc>
          <w:tcPr>
            <w:tcW w:w="1177" w:type="dxa"/>
            <w:tcBorders>
              <w:top w:val="nil"/>
              <w:left w:val="nil"/>
              <w:bottom w:val="nil"/>
              <w:right w:val="nil"/>
            </w:tcBorders>
            <w:shd w:val="clear" w:color="000000" w:fill="FFF2CC"/>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r w:rsidRPr="00DA4B16">
              <w:rPr>
                <w:rFonts w:ascii="Calibri" w:eastAsia="Times New Roman" w:hAnsi="Calibri" w:cs="Calibri"/>
                <w:sz w:val="18"/>
                <w:szCs w:val="18"/>
                <w:lang w:eastAsia="en-AU"/>
              </w:rPr>
              <w:t>Schizonts</w:t>
            </w: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Parasitised red cells larger than uninfected cells</w:t>
            </w:r>
          </w:p>
        </w:tc>
        <w:tc>
          <w:tcPr>
            <w:tcW w:w="1183" w:type="dxa"/>
            <w:tcBorders>
              <w:top w:val="nil"/>
              <w:left w:val="nil"/>
              <w:bottom w:val="nil"/>
              <w:right w:val="nil"/>
            </w:tcBorders>
            <w:shd w:val="clear" w:color="000000" w:fill="FFF2CC"/>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r w:rsidRPr="00DA4B16">
              <w:rPr>
                <w:rFonts w:ascii="Calibri" w:eastAsia="Times New Roman" w:hAnsi="Calibri" w:cs="Calibri"/>
                <w:sz w:val="18"/>
                <w:szCs w:val="18"/>
                <w:lang w:eastAsia="en-AU"/>
              </w:rPr>
              <w:t>Early trophozoites</w:t>
            </w:r>
          </w:p>
        </w:tc>
        <w:tc>
          <w:tcPr>
            <w:tcW w:w="1172"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p>
        </w:tc>
      </w:tr>
      <w:tr w:rsidR="006E149C" w:rsidRPr="00DA4B16" w:rsidTr="006E149C">
        <w:trPr>
          <w:trHeight w:val="881"/>
        </w:trPr>
        <w:tc>
          <w:tcPr>
            <w:tcW w:w="812" w:type="dxa"/>
            <w:vMerge/>
            <w:tcBorders>
              <w:top w:val="single" w:sz="4" w:space="0" w:color="auto"/>
              <w:left w:val="single" w:sz="4" w:space="0" w:color="auto"/>
              <w:bottom w:val="single" w:sz="4" w:space="0" w:color="000000"/>
              <w:right w:val="single" w:sz="4" w:space="0" w:color="auto"/>
            </w:tcBorders>
            <w:vAlign w:val="center"/>
            <w:hideMark/>
          </w:tcPr>
          <w:p w:rsidR="00DA4B16" w:rsidRPr="00DA4B16" w:rsidRDefault="00DA4B16" w:rsidP="00DA4B16">
            <w:pPr>
              <w:spacing w:after="0" w:line="240" w:lineRule="auto"/>
              <w:rPr>
                <w:rFonts w:ascii="Calibri" w:eastAsia="Times New Roman" w:hAnsi="Calibri" w:cs="Calibri"/>
                <w:color w:val="000000"/>
                <w:sz w:val="20"/>
                <w:szCs w:val="20"/>
                <w:lang w:eastAsia="en-AU"/>
              </w:rPr>
            </w:pP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Trophozoites with amoeboid-like morphology</w:t>
            </w: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Parasitised fimbriated red cells</w:t>
            </w:r>
          </w:p>
        </w:tc>
        <w:tc>
          <w:tcPr>
            <w:tcW w:w="1183" w:type="dxa"/>
            <w:tcBorders>
              <w:top w:val="nil"/>
              <w:left w:val="nil"/>
              <w:bottom w:val="nil"/>
              <w:right w:val="nil"/>
            </w:tcBorders>
            <w:shd w:val="clear" w:color="000000" w:fill="FFF2CC"/>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r w:rsidRPr="00DA4B16">
              <w:rPr>
                <w:rFonts w:ascii="Calibri" w:eastAsia="Times New Roman" w:hAnsi="Calibri" w:cs="Calibri"/>
                <w:sz w:val="18"/>
                <w:szCs w:val="18"/>
                <w:lang w:eastAsia="en-AU"/>
              </w:rPr>
              <w:t>Early trophozoites</w:t>
            </w:r>
          </w:p>
        </w:tc>
        <w:tc>
          <w:tcPr>
            <w:tcW w:w="1183" w:type="dxa"/>
            <w:tcBorders>
              <w:top w:val="nil"/>
              <w:left w:val="nil"/>
              <w:bottom w:val="nil"/>
              <w:right w:val="nil"/>
            </w:tcBorders>
            <w:shd w:val="clear" w:color="000000" w:fill="FFF2CC"/>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r w:rsidRPr="00DA4B16">
              <w:rPr>
                <w:rFonts w:ascii="Calibri" w:eastAsia="Times New Roman" w:hAnsi="Calibri" w:cs="Calibri"/>
                <w:sz w:val="18"/>
                <w:szCs w:val="18"/>
                <w:lang w:eastAsia="en-AU"/>
              </w:rPr>
              <w:t>Gametocytes</w:t>
            </w:r>
          </w:p>
        </w:tc>
        <w:tc>
          <w:tcPr>
            <w:tcW w:w="1174" w:type="dxa"/>
            <w:tcBorders>
              <w:top w:val="nil"/>
              <w:left w:val="nil"/>
              <w:bottom w:val="nil"/>
              <w:right w:val="nil"/>
            </w:tcBorders>
            <w:shd w:val="clear" w:color="000000" w:fill="FFEB9C"/>
            <w:vAlign w:val="bottom"/>
            <w:hideMark/>
          </w:tcPr>
          <w:p w:rsidR="00DA4B16" w:rsidRPr="00DA4B16" w:rsidRDefault="00DA4B16" w:rsidP="00DA4B16">
            <w:pPr>
              <w:spacing w:after="0" w:line="240" w:lineRule="auto"/>
              <w:jc w:val="center"/>
              <w:rPr>
                <w:rFonts w:ascii="Calibri" w:eastAsia="Times New Roman" w:hAnsi="Calibri" w:cs="Calibri"/>
                <w:color w:val="9C5700"/>
                <w:sz w:val="18"/>
                <w:szCs w:val="18"/>
                <w:lang w:eastAsia="en-AU"/>
              </w:rPr>
            </w:pPr>
            <w:proofErr w:type="spellStart"/>
            <w:r w:rsidRPr="00DA4B16">
              <w:rPr>
                <w:rFonts w:ascii="Calibri" w:eastAsia="Times New Roman" w:hAnsi="Calibri" w:cs="Calibri"/>
                <w:color w:val="9C5700"/>
                <w:sz w:val="18"/>
                <w:szCs w:val="18"/>
                <w:lang w:eastAsia="en-AU"/>
              </w:rPr>
              <w:t>Schüffner's</w:t>
            </w:r>
            <w:proofErr w:type="spellEnd"/>
            <w:r w:rsidRPr="00DA4B16">
              <w:rPr>
                <w:rFonts w:ascii="Calibri" w:eastAsia="Times New Roman" w:hAnsi="Calibri" w:cs="Calibri"/>
                <w:color w:val="9C5700"/>
                <w:sz w:val="18"/>
                <w:szCs w:val="18"/>
                <w:lang w:eastAsia="en-AU"/>
              </w:rPr>
              <w:t xml:space="preserve"> dots</w:t>
            </w:r>
          </w:p>
        </w:tc>
        <w:tc>
          <w:tcPr>
            <w:tcW w:w="1183"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Calibri" w:eastAsia="Times New Roman" w:hAnsi="Calibri" w:cs="Calibri"/>
                <w:color w:val="9C5700"/>
                <w:sz w:val="18"/>
                <w:szCs w:val="18"/>
                <w:lang w:eastAsia="en-AU"/>
              </w:rPr>
            </w:pPr>
          </w:p>
        </w:tc>
        <w:tc>
          <w:tcPr>
            <w:tcW w:w="424"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c>
          <w:tcPr>
            <w:tcW w:w="1183" w:type="dxa"/>
            <w:tcBorders>
              <w:top w:val="nil"/>
              <w:left w:val="nil"/>
              <w:bottom w:val="nil"/>
              <w:right w:val="nil"/>
            </w:tcBorders>
            <w:shd w:val="clear" w:color="000000" w:fill="FFF2CC"/>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r w:rsidRPr="00DA4B16">
              <w:rPr>
                <w:rFonts w:ascii="Calibri" w:eastAsia="Times New Roman" w:hAnsi="Calibri" w:cs="Calibri"/>
                <w:sz w:val="18"/>
                <w:szCs w:val="18"/>
                <w:lang w:eastAsia="en-AU"/>
              </w:rPr>
              <w:t>Gametocytes</w:t>
            </w:r>
          </w:p>
        </w:tc>
        <w:tc>
          <w:tcPr>
            <w:tcW w:w="1183"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p>
        </w:tc>
        <w:tc>
          <w:tcPr>
            <w:tcW w:w="1177"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Trophozoites with amoeboid-like morphology</w:t>
            </w:r>
          </w:p>
        </w:tc>
        <w:tc>
          <w:tcPr>
            <w:tcW w:w="1183" w:type="dxa"/>
            <w:tcBorders>
              <w:top w:val="nil"/>
              <w:left w:val="nil"/>
              <w:bottom w:val="nil"/>
              <w:right w:val="nil"/>
            </w:tcBorders>
            <w:shd w:val="clear" w:color="000000" w:fill="FFEB9C"/>
            <w:vAlign w:val="bottom"/>
            <w:hideMark/>
          </w:tcPr>
          <w:p w:rsidR="00DA4B16" w:rsidRPr="00DA4B16" w:rsidRDefault="00DA4B16" w:rsidP="00DA4B16">
            <w:pPr>
              <w:spacing w:after="0" w:line="240" w:lineRule="auto"/>
              <w:jc w:val="center"/>
              <w:rPr>
                <w:rFonts w:ascii="Calibri" w:eastAsia="Times New Roman" w:hAnsi="Calibri" w:cs="Calibri"/>
                <w:color w:val="9C5700"/>
                <w:sz w:val="18"/>
                <w:szCs w:val="18"/>
                <w:lang w:eastAsia="en-AU"/>
              </w:rPr>
            </w:pPr>
            <w:proofErr w:type="spellStart"/>
            <w:r w:rsidRPr="00DA4B16">
              <w:rPr>
                <w:rFonts w:ascii="Calibri" w:eastAsia="Times New Roman" w:hAnsi="Calibri" w:cs="Calibri"/>
                <w:color w:val="9C5700"/>
                <w:sz w:val="18"/>
                <w:szCs w:val="18"/>
                <w:lang w:eastAsia="en-AU"/>
              </w:rPr>
              <w:t>Schüffner's</w:t>
            </w:r>
            <w:proofErr w:type="spellEnd"/>
            <w:r w:rsidRPr="00DA4B16">
              <w:rPr>
                <w:rFonts w:ascii="Calibri" w:eastAsia="Times New Roman" w:hAnsi="Calibri" w:cs="Calibri"/>
                <w:color w:val="9C5700"/>
                <w:sz w:val="18"/>
                <w:szCs w:val="18"/>
                <w:lang w:eastAsia="en-AU"/>
              </w:rPr>
              <w:t xml:space="preserve"> dots</w:t>
            </w:r>
          </w:p>
        </w:tc>
        <w:tc>
          <w:tcPr>
            <w:tcW w:w="1183" w:type="dxa"/>
            <w:tcBorders>
              <w:top w:val="nil"/>
              <w:left w:val="nil"/>
              <w:bottom w:val="nil"/>
              <w:right w:val="nil"/>
            </w:tcBorders>
            <w:shd w:val="clear" w:color="000000" w:fill="FFF2CC"/>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r w:rsidRPr="00DA4B16">
              <w:rPr>
                <w:rFonts w:ascii="Calibri" w:eastAsia="Times New Roman" w:hAnsi="Calibri" w:cs="Calibri"/>
                <w:sz w:val="18"/>
                <w:szCs w:val="18"/>
                <w:lang w:eastAsia="en-AU"/>
              </w:rPr>
              <w:t>Gametocytes</w:t>
            </w:r>
          </w:p>
        </w:tc>
        <w:tc>
          <w:tcPr>
            <w:tcW w:w="1172"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p>
        </w:tc>
      </w:tr>
      <w:tr w:rsidR="006E149C" w:rsidRPr="00DA4B16" w:rsidTr="006E149C">
        <w:trPr>
          <w:trHeight w:val="427"/>
        </w:trPr>
        <w:tc>
          <w:tcPr>
            <w:tcW w:w="812" w:type="dxa"/>
            <w:vMerge/>
            <w:tcBorders>
              <w:top w:val="single" w:sz="4" w:space="0" w:color="auto"/>
              <w:left w:val="single" w:sz="4" w:space="0" w:color="auto"/>
              <w:bottom w:val="single" w:sz="4" w:space="0" w:color="000000"/>
              <w:right w:val="single" w:sz="4" w:space="0" w:color="auto"/>
            </w:tcBorders>
            <w:vAlign w:val="center"/>
            <w:hideMark/>
          </w:tcPr>
          <w:p w:rsidR="00DA4B16" w:rsidRPr="00DA4B16" w:rsidRDefault="00DA4B16" w:rsidP="00DA4B16">
            <w:pPr>
              <w:spacing w:after="0" w:line="240" w:lineRule="auto"/>
              <w:rPr>
                <w:rFonts w:ascii="Calibri" w:eastAsia="Times New Roman" w:hAnsi="Calibri" w:cs="Calibri"/>
                <w:color w:val="000000"/>
                <w:sz w:val="20"/>
                <w:szCs w:val="20"/>
                <w:lang w:eastAsia="en-AU"/>
              </w:rPr>
            </w:pPr>
          </w:p>
        </w:tc>
        <w:tc>
          <w:tcPr>
            <w:tcW w:w="1183"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c>
          <w:tcPr>
            <w:tcW w:w="1183"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c>
          <w:tcPr>
            <w:tcW w:w="1183"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c>
          <w:tcPr>
            <w:tcW w:w="1183"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c>
          <w:tcPr>
            <w:tcW w:w="1174"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c>
          <w:tcPr>
            <w:tcW w:w="1183"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c>
          <w:tcPr>
            <w:tcW w:w="424"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c>
          <w:tcPr>
            <w:tcW w:w="1183" w:type="dxa"/>
            <w:tcBorders>
              <w:top w:val="nil"/>
              <w:left w:val="nil"/>
              <w:bottom w:val="nil"/>
              <w:right w:val="nil"/>
            </w:tcBorders>
            <w:shd w:val="clear" w:color="000000" w:fill="FFF2CC"/>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r w:rsidRPr="00DA4B16">
              <w:rPr>
                <w:rFonts w:ascii="Calibri" w:eastAsia="Times New Roman" w:hAnsi="Calibri" w:cs="Calibri"/>
                <w:sz w:val="18"/>
                <w:szCs w:val="18"/>
                <w:lang w:eastAsia="en-AU"/>
              </w:rPr>
              <w:t>Early trophozoites</w:t>
            </w:r>
          </w:p>
        </w:tc>
        <w:tc>
          <w:tcPr>
            <w:tcW w:w="1183"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p>
        </w:tc>
        <w:tc>
          <w:tcPr>
            <w:tcW w:w="1177"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c>
          <w:tcPr>
            <w:tcW w:w="1183"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c>
          <w:tcPr>
            <w:tcW w:w="1183"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c>
          <w:tcPr>
            <w:tcW w:w="1172"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r>
      <w:tr w:rsidR="006E149C" w:rsidRPr="00DA4B16" w:rsidTr="006E149C">
        <w:trPr>
          <w:trHeight w:val="661"/>
        </w:trPr>
        <w:tc>
          <w:tcPr>
            <w:tcW w:w="812" w:type="dxa"/>
            <w:vMerge/>
            <w:tcBorders>
              <w:top w:val="single" w:sz="4" w:space="0" w:color="auto"/>
              <w:left w:val="single" w:sz="4" w:space="0" w:color="auto"/>
              <w:bottom w:val="single" w:sz="4" w:space="0" w:color="000000"/>
              <w:right w:val="single" w:sz="4" w:space="0" w:color="auto"/>
            </w:tcBorders>
            <w:vAlign w:val="center"/>
            <w:hideMark/>
          </w:tcPr>
          <w:p w:rsidR="00DA4B16" w:rsidRPr="00DA4B16" w:rsidRDefault="00DA4B16" w:rsidP="00DA4B16">
            <w:pPr>
              <w:spacing w:after="0" w:line="240" w:lineRule="auto"/>
              <w:rPr>
                <w:rFonts w:ascii="Calibri" w:eastAsia="Times New Roman" w:hAnsi="Calibri" w:cs="Calibri"/>
                <w:color w:val="000000"/>
                <w:sz w:val="20"/>
                <w:szCs w:val="20"/>
                <w:lang w:eastAsia="en-AU"/>
              </w:rPr>
            </w:pPr>
          </w:p>
        </w:tc>
        <w:tc>
          <w:tcPr>
            <w:tcW w:w="1183"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c>
          <w:tcPr>
            <w:tcW w:w="1183"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c>
          <w:tcPr>
            <w:tcW w:w="1183"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c>
          <w:tcPr>
            <w:tcW w:w="1183"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c>
          <w:tcPr>
            <w:tcW w:w="1174"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c>
          <w:tcPr>
            <w:tcW w:w="1183"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c>
          <w:tcPr>
            <w:tcW w:w="424"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c>
          <w:tcPr>
            <w:tcW w:w="1183" w:type="dxa"/>
            <w:tcBorders>
              <w:top w:val="nil"/>
              <w:left w:val="nil"/>
              <w:bottom w:val="nil"/>
              <w:right w:val="nil"/>
            </w:tcBorders>
            <w:shd w:val="clear" w:color="000000" w:fill="FFF2CC"/>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r w:rsidRPr="00DA4B16">
              <w:rPr>
                <w:rFonts w:ascii="Calibri" w:eastAsia="Times New Roman" w:hAnsi="Calibri" w:cs="Calibri"/>
                <w:sz w:val="18"/>
                <w:szCs w:val="18"/>
                <w:lang w:eastAsia="en-AU"/>
              </w:rPr>
              <w:t>Mature trophozoites</w:t>
            </w:r>
          </w:p>
        </w:tc>
        <w:tc>
          <w:tcPr>
            <w:tcW w:w="1183"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Calibri" w:eastAsia="Times New Roman" w:hAnsi="Calibri" w:cs="Calibri"/>
                <w:sz w:val="18"/>
                <w:szCs w:val="18"/>
                <w:lang w:eastAsia="en-AU"/>
              </w:rPr>
            </w:pPr>
          </w:p>
        </w:tc>
        <w:tc>
          <w:tcPr>
            <w:tcW w:w="1177"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c>
          <w:tcPr>
            <w:tcW w:w="1183"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c>
          <w:tcPr>
            <w:tcW w:w="1183"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c>
          <w:tcPr>
            <w:tcW w:w="1172"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Times New Roman" w:eastAsia="Times New Roman" w:hAnsi="Times New Roman" w:cs="Times New Roman"/>
                <w:sz w:val="20"/>
                <w:szCs w:val="20"/>
                <w:lang w:eastAsia="en-AU"/>
              </w:rPr>
            </w:pPr>
          </w:p>
        </w:tc>
      </w:tr>
      <w:tr w:rsidR="006E149C" w:rsidRPr="00DA4B16" w:rsidTr="006E149C">
        <w:trPr>
          <w:trHeight w:val="854"/>
        </w:trPr>
        <w:tc>
          <w:tcPr>
            <w:tcW w:w="812" w:type="dxa"/>
            <w:tcBorders>
              <w:top w:val="nil"/>
              <w:left w:val="single" w:sz="4" w:space="0" w:color="auto"/>
              <w:bottom w:val="single" w:sz="4" w:space="0" w:color="auto"/>
              <w:right w:val="single" w:sz="4" w:space="0" w:color="auto"/>
            </w:tcBorders>
            <w:shd w:val="clear" w:color="000000" w:fill="F8CBAD"/>
            <w:textDirection w:val="tbRl"/>
            <w:vAlign w:val="center"/>
            <w:hideMark/>
          </w:tcPr>
          <w:p w:rsidR="00DA4B16" w:rsidRPr="00DA4B16" w:rsidRDefault="00DA4B16" w:rsidP="00DA4B16">
            <w:pPr>
              <w:spacing w:after="0" w:line="240" w:lineRule="auto"/>
              <w:jc w:val="center"/>
              <w:rPr>
                <w:rFonts w:ascii="Calibri" w:eastAsia="Times New Roman" w:hAnsi="Calibri" w:cs="Calibri"/>
                <w:color w:val="000000"/>
                <w:sz w:val="20"/>
                <w:szCs w:val="20"/>
                <w:lang w:eastAsia="en-AU"/>
              </w:rPr>
            </w:pPr>
            <w:r w:rsidRPr="00DA4B16">
              <w:rPr>
                <w:rFonts w:ascii="Calibri" w:eastAsia="Times New Roman" w:hAnsi="Calibri" w:cs="Calibri"/>
                <w:color w:val="000000"/>
                <w:sz w:val="20"/>
                <w:szCs w:val="20"/>
                <w:lang w:eastAsia="en-AU"/>
              </w:rPr>
              <w:t xml:space="preserve">Primary Diagnosis </w:t>
            </w: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 xml:space="preserve">Malaria - Plasmodium vivax </w:t>
            </w: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 xml:space="preserve">Malaria - Plasmodium vivax </w:t>
            </w: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 xml:space="preserve">Malaria - Plasmodium vivax </w:t>
            </w: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 xml:space="preserve">Malaria - Plasmodium vivax </w:t>
            </w:r>
          </w:p>
        </w:tc>
        <w:tc>
          <w:tcPr>
            <w:tcW w:w="1174"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 xml:space="preserve">Malaria - Plasmodium vivax </w:t>
            </w: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 xml:space="preserve">Malaria - Plasmodium vivax </w:t>
            </w:r>
          </w:p>
        </w:tc>
        <w:tc>
          <w:tcPr>
            <w:tcW w:w="424"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 xml:space="preserve">Malaria - Plasmodium vivax </w:t>
            </w: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 xml:space="preserve">Malaria - Plasmodium vivax </w:t>
            </w:r>
          </w:p>
        </w:tc>
        <w:tc>
          <w:tcPr>
            <w:tcW w:w="1177"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 xml:space="preserve">Malaria - Plasmodium vivax </w:t>
            </w: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 xml:space="preserve">Malaria - Plasmodium vivax </w:t>
            </w:r>
          </w:p>
        </w:tc>
        <w:tc>
          <w:tcPr>
            <w:tcW w:w="1183" w:type="dxa"/>
            <w:tcBorders>
              <w:top w:val="nil"/>
              <w:left w:val="nil"/>
              <w:bottom w:val="nil"/>
              <w:right w:val="nil"/>
            </w:tcBorders>
            <w:shd w:val="clear" w:color="000000" w:fill="C6EFCE"/>
            <w:vAlign w:val="bottom"/>
            <w:hideMark/>
          </w:tcPr>
          <w:p w:rsidR="00DA4B16" w:rsidRPr="00DA4B16" w:rsidRDefault="00DA4B16" w:rsidP="00DA4B16">
            <w:pPr>
              <w:spacing w:after="0" w:line="240" w:lineRule="auto"/>
              <w:jc w:val="center"/>
              <w:rPr>
                <w:rFonts w:ascii="Calibri" w:eastAsia="Times New Roman" w:hAnsi="Calibri" w:cs="Calibri"/>
                <w:color w:val="006100"/>
                <w:sz w:val="18"/>
                <w:szCs w:val="18"/>
                <w:lang w:eastAsia="en-AU"/>
              </w:rPr>
            </w:pPr>
            <w:r w:rsidRPr="00DA4B16">
              <w:rPr>
                <w:rFonts w:ascii="Calibri" w:eastAsia="Times New Roman" w:hAnsi="Calibri" w:cs="Calibri"/>
                <w:color w:val="006100"/>
                <w:sz w:val="18"/>
                <w:szCs w:val="18"/>
                <w:lang w:eastAsia="en-AU"/>
              </w:rPr>
              <w:t xml:space="preserve">Malaria - Plasmodium vivax </w:t>
            </w:r>
          </w:p>
        </w:tc>
        <w:tc>
          <w:tcPr>
            <w:tcW w:w="1172" w:type="dxa"/>
            <w:tcBorders>
              <w:top w:val="nil"/>
              <w:left w:val="nil"/>
              <w:bottom w:val="nil"/>
              <w:right w:val="nil"/>
            </w:tcBorders>
            <w:shd w:val="clear" w:color="auto" w:fill="auto"/>
            <w:vAlign w:val="bottom"/>
            <w:hideMark/>
          </w:tcPr>
          <w:p w:rsidR="00DA4B16" w:rsidRPr="00DA4B16" w:rsidRDefault="00DA4B16" w:rsidP="00DA4B16">
            <w:pPr>
              <w:spacing w:after="0" w:line="240" w:lineRule="auto"/>
              <w:jc w:val="center"/>
              <w:rPr>
                <w:rFonts w:ascii="Calibri" w:eastAsia="Times New Roman" w:hAnsi="Calibri" w:cs="Calibri"/>
                <w:color w:val="000000"/>
                <w:sz w:val="18"/>
                <w:szCs w:val="18"/>
                <w:lang w:eastAsia="en-AU"/>
              </w:rPr>
            </w:pPr>
            <w:r w:rsidRPr="00DA4B16">
              <w:rPr>
                <w:rFonts w:ascii="Calibri" w:eastAsia="Times New Roman" w:hAnsi="Calibri" w:cs="Calibri"/>
                <w:color w:val="000000"/>
                <w:sz w:val="18"/>
                <w:szCs w:val="18"/>
                <w:lang w:eastAsia="en-AU"/>
              </w:rPr>
              <w:t>Malaria – Plasmodium falciparum</w:t>
            </w:r>
          </w:p>
        </w:tc>
      </w:tr>
    </w:tbl>
    <w:p w:rsidR="0028211C" w:rsidRDefault="0028211C"/>
    <w:tbl>
      <w:tblPr>
        <w:tblW w:w="14991" w:type="dxa"/>
        <w:tblLook w:val="04A0" w:firstRow="1" w:lastRow="0" w:firstColumn="1" w:lastColumn="0" w:noHBand="0" w:noVBand="1"/>
      </w:tblPr>
      <w:tblGrid>
        <w:gridCol w:w="4114"/>
        <w:gridCol w:w="3592"/>
        <w:gridCol w:w="3452"/>
        <w:gridCol w:w="3833"/>
      </w:tblGrid>
      <w:tr w:rsidR="006E149C" w:rsidRPr="002A1F62" w:rsidTr="00F74595">
        <w:trPr>
          <w:trHeight w:val="550"/>
        </w:trPr>
        <w:tc>
          <w:tcPr>
            <w:tcW w:w="2324"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6E149C" w:rsidRPr="002A1F62" w:rsidRDefault="006E149C" w:rsidP="00F74595">
            <w:pPr>
              <w:spacing w:after="0" w:line="240" w:lineRule="auto"/>
              <w:jc w:val="center"/>
              <w:rPr>
                <w:rFonts w:ascii="Calibri" w:eastAsia="Times New Roman" w:hAnsi="Calibri" w:cs="Calibri"/>
                <w:color w:val="006100"/>
                <w:sz w:val="16"/>
                <w:szCs w:val="20"/>
                <w:lang w:eastAsia="en-AU"/>
              </w:rPr>
            </w:pPr>
            <w:r>
              <w:br w:type="page"/>
            </w:r>
            <w:r w:rsidRPr="002A1F62">
              <w:rPr>
                <w:rFonts w:ascii="Calibri" w:eastAsia="Times New Roman" w:hAnsi="Calibri" w:cs="Calibri"/>
                <w:color w:val="006100"/>
                <w:sz w:val="16"/>
                <w:szCs w:val="20"/>
                <w:lang w:eastAsia="en-AU"/>
              </w:rPr>
              <w:t>Highest scoring response</w:t>
            </w:r>
          </w:p>
        </w:tc>
        <w:tc>
          <w:tcPr>
            <w:tcW w:w="2029"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6E149C" w:rsidRPr="002A1F62" w:rsidRDefault="006E149C" w:rsidP="00F74595">
            <w:pPr>
              <w:spacing w:after="0" w:line="240" w:lineRule="auto"/>
              <w:jc w:val="center"/>
              <w:rPr>
                <w:rFonts w:ascii="Calibri" w:eastAsia="Times New Roman" w:hAnsi="Calibri" w:cs="Calibri"/>
                <w:color w:val="9C5700"/>
                <w:sz w:val="16"/>
                <w:szCs w:val="20"/>
                <w:lang w:eastAsia="en-AU"/>
              </w:rPr>
            </w:pPr>
            <w:r w:rsidRPr="002A1F62">
              <w:rPr>
                <w:rFonts w:ascii="Calibri" w:eastAsia="Times New Roman" w:hAnsi="Calibri" w:cs="Calibri"/>
                <w:color w:val="9C5700"/>
                <w:sz w:val="16"/>
                <w:szCs w:val="20"/>
                <w:lang w:eastAsia="en-AU"/>
              </w:rPr>
              <w:t>Moderate scoring response</w:t>
            </w:r>
          </w:p>
        </w:tc>
        <w:tc>
          <w:tcPr>
            <w:tcW w:w="1950" w:type="dxa"/>
            <w:tcBorders>
              <w:top w:val="single" w:sz="8" w:space="0" w:color="auto"/>
              <w:left w:val="single" w:sz="8" w:space="0" w:color="auto"/>
              <w:bottom w:val="single" w:sz="8" w:space="0" w:color="auto"/>
              <w:right w:val="single" w:sz="8" w:space="0" w:color="auto"/>
            </w:tcBorders>
            <w:shd w:val="clear" w:color="000000" w:fill="FFF2CC"/>
            <w:vAlign w:val="center"/>
            <w:hideMark/>
          </w:tcPr>
          <w:p w:rsidR="006E149C" w:rsidRPr="002A1F62" w:rsidRDefault="006E149C" w:rsidP="00F74595">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 xml:space="preserve">Lowest scoring response </w:t>
            </w:r>
          </w:p>
        </w:tc>
        <w:tc>
          <w:tcPr>
            <w:tcW w:w="2165" w:type="dxa"/>
            <w:tcBorders>
              <w:top w:val="single" w:sz="8" w:space="0" w:color="auto"/>
              <w:left w:val="nil"/>
              <w:bottom w:val="single" w:sz="8" w:space="0" w:color="auto"/>
              <w:right w:val="single" w:sz="8" w:space="0" w:color="auto"/>
            </w:tcBorders>
            <w:shd w:val="clear" w:color="auto" w:fill="auto"/>
            <w:vAlign w:val="center"/>
            <w:hideMark/>
          </w:tcPr>
          <w:p w:rsidR="006E149C" w:rsidRPr="002A1F62" w:rsidRDefault="006E149C" w:rsidP="00F74595">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xml:space="preserve">Response given no score </w:t>
            </w:r>
          </w:p>
        </w:tc>
      </w:tr>
    </w:tbl>
    <w:p w:rsidR="006E149C" w:rsidRDefault="006E149C" w:rsidP="006E149C"/>
    <w:p w:rsidR="0028211C" w:rsidRDefault="0028211C"/>
    <w:p w:rsidR="006E149C" w:rsidRDefault="006E149C"/>
    <w:p w:rsidR="006E149C" w:rsidRDefault="006E149C"/>
    <w:p w:rsidR="006E149C" w:rsidRDefault="006E149C"/>
    <w:tbl>
      <w:tblPr>
        <w:tblW w:w="16444" w:type="dxa"/>
        <w:tblInd w:w="-426" w:type="dxa"/>
        <w:tblLayout w:type="fixed"/>
        <w:tblLook w:val="04A0" w:firstRow="1" w:lastRow="0" w:firstColumn="1" w:lastColumn="0" w:noHBand="0" w:noVBand="1"/>
      </w:tblPr>
      <w:tblGrid>
        <w:gridCol w:w="1277"/>
        <w:gridCol w:w="1276"/>
        <w:gridCol w:w="1275"/>
        <w:gridCol w:w="1134"/>
        <w:gridCol w:w="1134"/>
        <w:gridCol w:w="1276"/>
        <w:gridCol w:w="1276"/>
        <w:gridCol w:w="1233"/>
        <w:gridCol w:w="1183"/>
        <w:gridCol w:w="1183"/>
        <w:gridCol w:w="653"/>
        <w:gridCol w:w="1134"/>
        <w:gridCol w:w="1134"/>
        <w:gridCol w:w="1276"/>
      </w:tblGrid>
      <w:tr w:rsidR="006E149C" w:rsidRPr="006E149C" w:rsidTr="006E149C">
        <w:trPr>
          <w:trHeight w:val="426"/>
        </w:trPr>
        <w:tc>
          <w:tcPr>
            <w:tcW w:w="1277" w:type="dxa"/>
            <w:tcBorders>
              <w:top w:val="nil"/>
              <w:left w:val="nil"/>
              <w:bottom w:val="nil"/>
              <w:right w:val="nil"/>
            </w:tcBorders>
            <w:shd w:val="clear" w:color="000000" w:fill="D9E1F2"/>
            <w:vAlign w:val="bottom"/>
            <w:hideMark/>
          </w:tcPr>
          <w:p w:rsidR="006E149C" w:rsidRPr="006E149C" w:rsidRDefault="006E149C" w:rsidP="006E149C">
            <w:pPr>
              <w:spacing w:after="0" w:line="240" w:lineRule="auto"/>
              <w:rPr>
                <w:rFonts w:ascii="Calibri" w:eastAsia="Times New Roman" w:hAnsi="Calibri" w:cs="Calibri"/>
                <w:color w:val="000000"/>
                <w:sz w:val="18"/>
                <w:szCs w:val="18"/>
                <w:lang w:eastAsia="en-AU"/>
              </w:rPr>
            </w:pPr>
            <w:r w:rsidRPr="006E149C">
              <w:rPr>
                <w:rFonts w:ascii="Calibri" w:eastAsia="Times New Roman" w:hAnsi="Calibri" w:cs="Calibri"/>
                <w:color w:val="000000"/>
                <w:sz w:val="18"/>
                <w:szCs w:val="18"/>
                <w:lang w:eastAsia="en-AU"/>
              </w:rPr>
              <w:lastRenderedPageBreak/>
              <w:t> </w:t>
            </w:r>
          </w:p>
        </w:tc>
        <w:tc>
          <w:tcPr>
            <w:tcW w:w="1276" w:type="dxa"/>
            <w:tcBorders>
              <w:top w:val="nil"/>
              <w:left w:val="nil"/>
              <w:bottom w:val="nil"/>
              <w:right w:val="nil"/>
            </w:tcBorders>
            <w:shd w:val="clear" w:color="000000" w:fill="D9E1F2"/>
            <w:vAlign w:val="bottom"/>
            <w:hideMark/>
          </w:tcPr>
          <w:p w:rsidR="006E149C" w:rsidRPr="006E149C" w:rsidRDefault="006E149C" w:rsidP="006E149C">
            <w:pPr>
              <w:spacing w:after="0" w:line="240" w:lineRule="auto"/>
              <w:rPr>
                <w:rFonts w:ascii="Calibri" w:eastAsia="Times New Roman" w:hAnsi="Calibri" w:cs="Calibri"/>
                <w:color w:val="000000"/>
                <w:sz w:val="18"/>
                <w:szCs w:val="18"/>
                <w:lang w:eastAsia="en-AU"/>
              </w:rPr>
            </w:pPr>
            <w:r w:rsidRPr="006E149C">
              <w:rPr>
                <w:rFonts w:ascii="Calibri" w:eastAsia="Times New Roman" w:hAnsi="Calibri" w:cs="Calibri"/>
                <w:color w:val="000000"/>
                <w:sz w:val="18"/>
                <w:szCs w:val="18"/>
                <w:lang w:eastAsia="en-AU"/>
              </w:rPr>
              <w:t> </w:t>
            </w:r>
          </w:p>
        </w:tc>
        <w:tc>
          <w:tcPr>
            <w:tcW w:w="1275" w:type="dxa"/>
            <w:tcBorders>
              <w:top w:val="nil"/>
              <w:left w:val="nil"/>
              <w:bottom w:val="nil"/>
              <w:right w:val="nil"/>
            </w:tcBorders>
            <w:shd w:val="clear" w:color="000000" w:fill="D9E1F2"/>
            <w:vAlign w:val="bottom"/>
            <w:hideMark/>
          </w:tcPr>
          <w:p w:rsidR="006E149C" w:rsidRPr="006E149C" w:rsidRDefault="006E149C" w:rsidP="006E149C">
            <w:pPr>
              <w:spacing w:after="0" w:line="240" w:lineRule="auto"/>
              <w:rPr>
                <w:rFonts w:ascii="Calibri" w:eastAsia="Times New Roman" w:hAnsi="Calibri" w:cs="Calibri"/>
                <w:color w:val="000000"/>
                <w:sz w:val="18"/>
                <w:szCs w:val="18"/>
                <w:lang w:eastAsia="en-AU"/>
              </w:rPr>
            </w:pPr>
            <w:r w:rsidRPr="006E149C">
              <w:rPr>
                <w:rFonts w:ascii="Calibri" w:eastAsia="Times New Roman" w:hAnsi="Calibri" w:cs="Calibri"/>
                <w:color w:val="000000"/>
                <w:sz w:val="18"/>
                <w:szCs w:val="18"/>
                <w:lang w:eastAsia="en-AU"/>
              </w:rPr>
              <w:t> </w:t>
            </w:r>
          </w:p>
        </w:tc>
        <w:tc>
          <w:tcPr>
            <w:tcW w:w="1134" w:type="dxa"/>
            <w:tcBorders>
              <w:top w:val="nil"/>
              <w:left w:val="nil"/>
              <w:bottom w:val="nil"/>
              <w:right w:val="nil"/>
            </w:tcBorders>
            <w:shd w:val="clear" w:color="000000" w:fill="D9E1F2"/>
            <w:vAlign w:val="bottom"/>
            <w:hideMark/>
          </w:tcPr>
          <w:p w:rsidR="006E149C" w:rsidRPr="006E149C" w:rsidRDefault="006E149C" w:rsidP="006E149C">
            <w:pPr>
              <w:spacing w:after="0" w:line="240" w:lineRule="auto"/>
              <w:rPr>
                <w:rFonts w:ascii="Calibri" w:eastAsia="Times New Roman" w:hAnsi="Calibri" w:cs="Calibri"/>
                <w:color w:val="000000"/>
                <w:sz w:val="18"/>
                <w:szCs w:val="18"/>
                <w:lang w:eastAsia="en-AU"/>
              </w:rPr>
            </w:pPr>
            <w:r w:rsidRPr="006E149C">
              <w:rPr>
                <w:rFonts w:ascii="Calibri" w:eastAsia="Times New Roman" w:hAnsi="Calibri" w:cs="Calibri"/>
                <w:color w:val="000000"/>
                <w:sz w:val="18"/>
                <w:szCs w:val="18"/>
                <w:lang w:eastAsia="en-AU"/>
              </w:rPr>
              <w:t> </w:t>
            </w:r>
          </w:p>
        </w:tc>
        <w:tc>
          <w:tcPr>
            <w:tcW w:w="1134" w:type="dxa"/>
            <w:tcBorders>
              <w:top w:val="nil"/>
              <w:left w:val="nil"/>
              <w:bottom w:val="nil"/>
              <w:right w:val="nil"/>
            </w:tcBorders>
            <w:shd w:val="clear" w:color="000000" w:fill="D9E1F2"/>
            <w:vAlign w:val="bottom"/>
            <w:hideMark/>
          </w:tcPr>
          <w:p w:rsidR="006E149C" w:rsidRPr="006E149C" w:rsidRDefault="006E149C" w:rsidP="006E149C">
            <w:pPr>
              <w:spacing w:after="0" w:line="240" w:lineRule="auto"/>
              <w:rPr>
                <w:rFonts w:ascii="Calibri" w:eastAsia="Times New Roman" w:hAnsi="Calibri" w:cs="Calibri"/>
                <w:color w:val="000000"/>
                <w:sz w:val="18"/>
                <w:szCs w:val="18"/>
                <w:lang w:eastAsia="en-AU"/>
              </w:rPr>
            </w:pPr>
            <w:r w:rsidRPr="006E149C">
              <w:rPr>
                <w:rFonts w:ascii="Calibri" w:eastAsia="Times New Roman" w:hAnsi="Calibri" w:cs="Calibri"/>
                <w:color w:val="000000"/>
                <w:sz w:val="18"/>
                <w:szCs w:val="18"/>
                <w:lang w:eastAsia="en-AU"/>
              </w:rPr>
              <w:t> </w:t>
            </w:r>
          </w:p>
        </w:tc>
        <w:tc>
          <w:tcPr>
            <w:tcW w:w="1276" w:type="dxa"/>
            <w:tcBorders>
              <w:top w:val="nil"/>
              <w:left w:val="nil"/>
              <w:bottom w:val="nil"/>
              <w:right w:val="nil"/>
            </w:tcBorders>
            <w:shd w:val="clear" w:color="000000" w:fill="D9E1F2"/>
            <w:vAlign w:val="bottom"/>
            <w:hideMark/>
          </w:tcPr>
          <w:p w:rsidR="006E149C" w:rsidRPr="006E149C" w:rsidRDefault="006E149C" w:rsidP="006E149C">
            <w:pPr>
              <w:spacing w:after="0" w:line="240" w:lineRule="auto"/>
              <w:rPr>
                <w:rFonts w:ascii="Calibri" w:eastAsia="Times New Roman" w:hAnsi="Calibri" w:cs="Calibri"/>
                <w:color w:val="000000"/>
                <w:sz w:val="18"/>
                <w:szCs w:val="18"/>
                <w:lang w:eastAsia="en-AU"/>
              </w:rPr>
            </w:pPr>
            <w:r w:rsidRPr="006E149C">
              <w:rPr>
                <w:rFonts w:ascii="Calibri" w:eastAsia="Times New Roman" w:hAnsi="Calibri" w:cs="Calibri"/>
                <w:color w:val="000000"/>
                <w:sz w:val="18"/>
                <w:szCs w:val="18"/>
                <w:lang w:eastAsia="en-AU"/>
              </w:rPr>
              <w:t> </w:t>
            </w:r>
          </w:p>
        </w:tc>
        <w:tc>
          <w:tcPr>
            <w:tcW w:w="1276" w:type="dxa"/>
            <w:tcBorders>
              <w:top w:val="nil"/>
              <w:left w:val="nil"/>
              <w:bottom w:val="nil"/>
              <w:right w:val="nil"/>
            </w:tcBorders>
            <w:shd w:val="clear" w:color="000000" w:fill="D9E1F2"/>
            <w:vAlign w:val="bottom"/>
            <w:hideMark/>
          </w:tcPr>
          <w:p w:rsidR="006E149C" w:rsidRPr="006E149C" w:rsidRDefault="006E149C" w:rsidP="006E149C">
            <w:pPr>
              <w:spacing w:after="0" w:line="240" w:lineRule="auto"/>
              <w:rPr>
                <w:rFonts w:ascii="Calibri" w:eastAsia="Times New Roman" w:hAnsi="Calibri" w:cs="Calibri"/>
                <w:color w:val="000000"/>
                <w:sz w:val="18"/>
                <w:szCs w:val="18"/>
                <w:lang w:eastAsia="en-AU"/>
              </w:rPr>
            </w:pPr>
            <w:r w:rsidRPr="006E149C">
              <w:rPr>
                <w:rFonts w:ascii="Calibri" w:eastAsia="Times New Roman" w:hAnsi="Calibri" w:cs="Calibri"/>
                <w:color w:val="000000"/>
                <w:sz w:val="18"/>
                <w:szCs w:val="18"/>
                <w:lang w:eastAsia="en-AU"/>
              </w:rPr>
              <w:t> </w:t>
            </w:r>
          </w:p>
        </w:tc>
        <w:tc>
          <w:tcPr>
            <w:tcW w:w="1233" w:type="dxa"/>
            <w:tcBorders>
              <w:top w:val="nil"/>
              <w:left w:val="nil"/>
              <w:bottom w:val="nil"/>
              <w:right w:val="nil"/>
            </w:tcBorders>
            <w:shd w:val="clear" w:color="000000" w:fill="D9E1F2"/>
            <w:vAlign w:val="bottom"/>
            <w:hideMark/>
          </w:tcPr>
          <w:p w:rsidR="006E149C" w:rsidRPr="006E149C" w:rsidRDefault="006E149C" w:rsidP="006E149C">
            <w:pPr>
              <w:spacing w:after="0" w:line="240" w:lineRule="auto"/>
              <w:rPr>
                <w:rFonts w:ascii="Calibri" w:eastAsia="Times New Roman" w:hAnsi="Calibri" w:cs="Calibri"/>
                <w:color w:val="000000"/>
                <w:sz w:val="18"/>
                <w:szCs w:val="18"/>
                <w:lang w:eastAsia="en-AU"/>
              </w:rPr>
            </w:pPr>
            <w:r w:rsidRPr="006E149C">
              <w:rPr>
                <w:rFonts w:ascii="Calibri" w:eastAsia="Times New Roman" w:hAnsi="Calibri" w:cs="Calibri"/>
                <w:color w:val="000000"/>
                <w:sz w:val="18"/>
                <w:szCs w:val="18"/>
                <w:lang w:eastAsia="en-AU"/>
              </w:rPr>
              <w:t> </w:t>
            </w:r>
          </w:p>
        </w:tc>
        <w:tc>
          <w:tcPr>
            <w:tcW w:w="1183" w:type="dxa"/>
            <w:tcBorders>
              <w:top w:val="nil"/>
              <w:left w:val="nil"/>
              <w:bottom w:val="nil"/>
              <w:right w:val="nil"/>
            </w:tcBorders>
            <w:shd w:val="clear" w:color="000000" w:fill="D9E1F2"/>
            <w:vAlign w:val="bottom"/>
            <w:hideMark/>
          </w:tcPr>
          <w:p w:rsidR="006E149C" w:rsidRPr="006E149C" w:rsidRDefault="006E149C" w:rsidP="006E149C">
            <w:pPr>
              <w:spacing w:after="0" w:line="240" w:lineRule="auto"/>
              <w:rPr>
                <w:rFonts w:ascii="Calibri" w:eastAsia="Times New Roman" w:hAnsi="Calibri" w:cs="Calibri"/>
                <w:color w:val="000000"/>
                <w:sz w:val="18"/>
                <w:szCs w:val="18"/>
                <w:lang w:eastAsia="en-AU"/>
              </w:rPr>
            </w:pPr>
            <w:r w:rsidRPr="006E149C">
              <w:rPr>
                <w:rFonts w:ascii="Calibri" w:eastAsia="Times New Roman" w:hAnsi="Calibri" w:cs="Calibri"/>
                <w:color w:val="000000"/>
                <w:sz w:val="18"/>
                <w:szCs w:val="18"/>
                <w:lang w:eastAsia="en-AU"/>
              </w:rPr>
              <w:t> </w:t>
            </w:r>
          </w:p>
        </w:tc>
        <w:tc>
          <w:tcPr>
            <w:tcW w:w="1183" w:type="dxa"/>
            <w:tcBorders>
              <w:top w:val="nil"/>
              <w:left w:val="nil"/>
              <w:bottom w:val="nil"/>
              <w:right w:val="nil"/>
            </w:tcBorders>
            <w:shd w:val="clear" w:color="000000" w:fill="D9E1F2"/>
            <w:vAlign w:val="bottom"/>
            <w:hideMark/>
          </w:tcPr>
          <w:p w:rsidR="006E149C" w:rsidRPr="006E149C" w:rsidRDefault="006E149C" w:rsidP="006E149C">
            <w:pPr>
              <w:spacing w:after="0" w:line="240" w:lineRule="auto"/>
              <w:rPr>
                <w:rFonts w:ascii="Calibri" w:eastAsia="Times New Roman" w:hAnsi="Calibri" w:cs="Calibri"/>
                <w:color w:val="000000"/>
                <w:sz w:val="18"/>
                <w:szCs w:val="18"/>
                <w:lang w:eastAsia="en-AU"/>
              </w:rPr>
            </w:pPr>
            <w:r w:rsidRPr="006E149C">
              <w:rPr>
                <w:rFonts w:ascii="Calibri" w:eastAsia="Times New Roman" w:hAnsi="Calibri" w:cs="Calibri"/>
                <w:color w:val="000000"/>
                <w:sz w:val="18"/>
                <w:szCs w:val="18"/>
                <w:lang w:eastAsia="en-AU"/>
              </w:rPr>
              <w:t> </w:t>
            </w:r>
          </w:p>
        </w:tc>
        <w:tc>
          <w:tcPr>
            <w:tcW w:w="653" w:type="dxa"/>
            <w:tcBorders>
              <w:top w:val="nil"/>
              <w:left w:val="nil"/>
              <w:bottom w:val="nil"/>
              <w:right w:val="nil"/>
            </w:tcBorders>
            <w:shd w:val="clear" w:color="auto" w:fill="auto"/>
            <w:vAlign w:val="bottom"/>
            <w:hideMark/>
          </w:tcPr>
          <w:p w:rsidR="006E149C" w:rsidRPr="006E149C" w:rsidRDefault="006E149C" w:rsidP="006E149C">
            <w:pPr>
              <w:spacing w:after="0" w:line="240" w:lineRule="auto"/>
              <w:rPr>
                <w:rFonts w:ascii="Calibri" w:eastAsia="Times New Roman" w:hAnsi="Calibri" w:cs="Calibri"/>
                <w:color w:val="000000"/>
                <w:sz w:val="18"/>
                <w:szCs w:val="18"/>
                <w:lang w:eastAsia="en-AU"/>
              </w:rPr>
            </w:pPr>
          </w:p>
        </w:tc>
        <w:tc>
          <w:tcPr>
            <w:tcW w:w="3544" w:type="dxa"/>
            <w:gridSpan w:val="3"/>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6E149C" w:rsidRPr="006E149C" w:rsidRDefault="006E149C" w:rsidP="006E149C">
            <w:pPr>
              <w:spacing w:after="0" w:line="240" w:lineRule="auto"/>
              <w:jc w:val="center"/>
              <w:rPr>
                <w:rFonts w:ascii="Calibri" w:eastAsia="Times New Roman" w:hAnsi="Calibri" w:cs="Calibri"/>
                <w:b/>
                <w:bCs/>
                <w:color w:val="000000"/>
                <w:lang w:eastAsia="en-AU"/>
              </w:rPr>
            </w:pPr>
            <w:r w:rsidRPr="006E149C">
              <w:rPr>
                <w:rFonts w:ascii="Calibri" w:eastAsia="Times New Roman" w:hAnsi="Calibri" w:cs="Calibri"/>
                <w:b/>
                <w:bCs/>
                <w:color w:val="000000"/>
                <w:lang w:eastAsia="en-AU"/>
              </w:rPr>
              <w:t>RCPA Report 11/05/2022</w:t>
            </w:r>
          </w:p>
        </w:tc>
      </w:tr>
      <w:tr w:rsidR="006E149C" w:rsidRPr="006E149C" w:rsidTr="006E149C">
        <w:trPr>
          <w:trHeight w:val="1148"/>
        </w:trPr>
        <w:tc>
          <w:tcPr>
            <w:tcW w:w="1277" w:type="dxa"/>
            <w:tcBorders>
              <w:top w:val="nil"/>
              <w:left w:val="nil"/>
              <w:bottom w:val="nil"/>
              <w:right w:val="nil"/>
            </w:tcBorders>
            <w:shd w:val="clear" w:color="000000" w:fill="FFF2CC"/>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r w:rsidRPr="006E149C">
              <w:rPr>
                <w:rFonts w:ascii="Calibri" w:eastAsia="Times New Roman" w:hAnsi="Calibri" w:cs="Calibri"/>
                <w:sz w:val="18"/>
                <w:szCs w:val="18"/>
                <w:lang w:eastAsia="en-AU"/>
              </w:rPr>
              <w:t>Early trophozoites</w:t>
            </w:r>
          </w:p>
        </w:tc>
        <w:tc>
          <w:tcPr>
            <w:tcW w:w="1276"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Trophozoites with amoeboid-like morphology</w:t>
            </w:r>
          </w:p>
        </w:tc>
        <w:tc>
          <w:tcPr>
            <w:tcW w:w="1275" w:type="dxa"/>
            <w:tcBorders>
              <w:top w:val="nil"/>
              <w:left w:val="nil"/>
              <w:bottom w:val="nil"/>
              <w:right w:val="nil"/>
            </w:tcBorders>
            <w:shd w:val="clear" w:color="000000" w:fill="FFF2CC"/>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r w:rsidRPr="006E149C">
              <w:rPr>
                <w:rFonts w:ascii="Calibri" w:eastAsia="Times New Roman" w:hAnsi="Calibri" w:cs="Calibri"/>
                <w:sz w:val="18"/>
                <w:szCs w:val="18"/>
                <w:lang w:eastAsia="en-AU"/>
              </w:rPr>
              <w:t>Early trophozoites</w:t>
            </w:r>
          </w:p>
        </w:tc>
        <w:tc>
          <w:tcPr>
            <w:tcW w:w="1134"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Trophozoites with amoeboid-like morphology</w:t>
            </w:r>
          </w:p>
        </w:tc>
        <w:tc>
          <w:tcPr>
            <w:tcW w:w="1134"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Parasitised red cells larger than uninfected cells</w:t>
            </w:r>
          </w:p>
        </w:tc>
        <w:tc>
          <w:tcPr>
            <w:tcW w:w="1276"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Parasitised red cells larger than uninfected cells</w:t>
            </w:r>
          </w:p>
        </w:tc>
        <w:tc>
          <w:tcPr>
            <w:tcW w:w="1276" w:type="dxa"/>
            <w:tcBorders>
              <w:top w:val="nil"/>
              <w:left w:val="nil"/>
              <w:bottom w:val="nil"/>
              <w:right w:val="nil"/>
            </w:tcBorders>
            <w:shd w:val="clear" w:color="000000" w:fill="FFF2CC"/>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r w:rsidRPr="006E149C">
              <w:rPr>
                <w:rFonts w:ascii="Calibri" w:eastAsia="Times New Roman" w:hAnsi="Calibri" w:cs="Calibri"/>
                <w:sz w:val="18"/>
                <w:szCs w:val="18"/>
                <w:lang w:eastAsia="en-AU"/>
              </w:rPr>
              <w:t>Early trophozoites</w:t>
            </w:r>
          </w:p>
        </w:tc>
        <w:tc>
          <w:tcPr>
            <w:tcW w:w="1233"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Parasitised fimbriated red cells</w:t>
            </w:r>
          </w:p>
        </w:tc>
        <w:tc>
          <w:tcPr>
            <w:tcW w:w="1183"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Parasitised red cells larger than uninfected cells</w:t>
            </w:r>
          </w:p>
        </w:tc>
        <w:tc>
          <w:tcPr>
            <w:tcW w:w="1183" w:type="dxa"/>
            <w:tcBorders>
              <w:top w:val="nil"/>
              <w:left w:val="nil"/>
              <w:bottom w:val="nil"/>
              <w:right w:val="nil"/>
            </w:tcBorders>
            <w:shd w:val="clear" w:color="000000" w:fill="FFF2CC"/>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r w:rsidRPr="006E149C">
              <w:rPr>
                <w:rFonts w:ascii="Calibri" w:eastAsia="Times New Roman" w:hAnsi="Calibri" w:cs="Calibri"/>
                <w:sz w:val="18"/>
                <w:szCs w:val="18"/>
                <w:lang w:eastAsia="en-AU"/>
              </w:rPr>
              <w:t>Gametocytes</w:t>
            </w:r>
          </w:p>
        </w:tc>
        <w:tc>
          <w:tcPr>
            <w:tcW w:w="653" w:type="dxa"/>
            <w:vMerge w:val="restart"/>
            <w:tcBorders>
              <w:top w:val="single" w:sz="4" w:space="0" w:color="auto"/>
              <w:left w:val="single" w:sz="4" w:space="0" w:color="auto"/>
              <w:bottom w:val="single" w:sz="4" w:space="0" w:color="000000"/>
              <w:right w:val="single" w:sz="4" w:space="0" w:color="auto"/>
            </w:tcBorders>
            <w:shd w:val="clear" w:color="000000" w:fill="FFCCFF"/>
            <w:textDirection w:val="tbRl"/>
            <w:vAlign w:val="center"/>
            <w:hideMark/>
          </w:tcPr>
          <w:p w:rsidR="006E149C" w:rsidRPr="006E149C" w:rsidRDefault="006E149C" w:rsidP="006E149C">
            <w:pPr>
              <w:spacing w:after="0" w:line="240" w:lineRule="auto"/>
              <w:jc w:val="center"/>
              <w:rPr>
                <w:rFonts w:ascii="Calibri" w:eastAsia="Times New Roman" w:hAnsi="Calibri" w:cs="Calibri"/>
                <w:color w:val="000000"/>
                <w:sz w:val="20"/>
                <w:szCs w:val="20"/>
                <w:lang w:eastAsia="en-AU"/>
              </w:rPr>
            </w:pPr>
            <w:r w:rsidRPr="006E149C">
              <w:rPr>
                <w:rFonts w:ascii="Calibri" w:eastAsia="Times New Roman" w:hAnsi="Calibri" w:cs="Calibri"/>
                <w:color w:val="000000"/>
                <w:sz w:val="20"/>
                <w:szCs w:val="20"/>
                <w:lang w:eastAsia="en-AU"/>
              </w:rPr>
              <w:t>RBC Features</w:t>
            </w:r>
          </w:p>
        </w:tc>
        <w:tc>
          <w:tcPr>
            <w:tcW w:w="1134"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Trophozoites with amoeboid-like morphology</w:t>
            </w:r>
          </w:p>
        </w:tc>
        <w:tc>
          <w:tcPr>
            <w:tcW w:w="1134" w:type="dxa"/>
            <w:tcBorders>
              <w:top w:val="nil"/>
              <w:left w:val="nil"/>
              <w:bottom w:val="nil"/>
              <w:right w:val="nil"/>
            </w:tcBorders>
            <w:shd w:val="clear" w:color="000000" w:fill="FFEB9C"/>
            <w:vAlign w:val="bottom"/>
            <w:hideMark/>
          </w:tcPr>
          <w:p w:rsidR="006E149C" w:rsidRPr="006E149C" w:rsidRDefault="006E149C" w:rsidP="006E149C">
            <w:pPr>
              <w:spacing w:after="0" w:line="240" w:lineRule="auto"/>
              <w:jc w:val="center"/>
              <w:rPr>
                <w:rFonts w:ascii="Calibri" w:eastAsia="Times New Roman" w:hAnsi="Calibri" w:cs="Calibri"/>
                <w:color w:val="9C5700"/>
                <w:sz w:val="18"/>
                <w:szCs w:val="18"/>
                <w:lang w:eastAsia="en-AU"/>
              </w:rPr>
            </w:pPr>
            <w:proofErr w:type="spellStart"/>
            <w:r w:rsidRPr="006E149C">
              <w:rPr>
                <w:rFonts w:ascii="Calibri" w:eastAsia="Times New Roman" w:hAnsi="Calibri" w:cs="Calibri"/>
                <w:color w:val="9C5700"/>
                <w:sz w:val="18"/>
                <w:szCs w:val="18"/>
                <w:lang w:eastAsia="en-AU"/>
              </w:rPr>
              <w:t>Schüffner's</w:t>
            </w:r>
            <w:proofErr w:type="spellEnd"/>
            <w:r w:rsidRPr="006E149C">
              <w:rPr>
                <w:rFonts w:ascii="Calibri" w:eastAsia="Times New Roman" w:hAnsi="Calibri" w:cs="Calibri"/>
                <w:color w:val="9C5700"/>
                <w:sz w:val="18"/>
                <w:szCs w:val="18"/>
                <w:lang w:eastAsia="en-AU"/>
              </w:rPr>
              <w:t xml:space="preserve"> dots</w:t>
            </w:r>
          </w:p>
        </w:tc>
        <w:tc>
          <w:tcPr>
            <w:tcW w:w="1276" w:type="dxa"/>
            <w:tcBorders>
              <w:top w:val="nil"/>
              <w:left w:val="nil"/>
              <w:bottom w:val="nil"/>
              <w:right w:val="nil"/>
            </w:tcBorders>
            <w:shd w:val="clear" w:color="000000" w:fill="FFF2CC"/>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r w:rsidRPr="006E149C">
              <w:rPr>
                <w:rFonts w:ascii="Calibri" w:eastAsia="Times New Roman" w:hAnsi="Calibri" w:cs="Calibri"/>
                <w:sz w:val="18"/>
                <w:szCs w:val="18"/>
                <w:lang w:eastAsia="en-AU"/>
              </w:rPr>
              <w:t>Gametocytes</w:t>
            </w:r>
          </w:p>
        </w:tc>
      </w:tr>
      <w:tr w:rsidR="006E149C" w:rsidRPr="006E149C" w:rsidTr="006E149C">
        <w:trPr>
          <w:trHeight w:val="1135"/>
        </w:trPr>
        <w:tc>
          <w:tcPr>
            <w:tcW w:w="1277" w:type="dxa"/>
            <w:tcBorders>
              <w:top w:val="nil"/>
              <w:left w:val="nil"/>
              <w:bottom w:val="nil"/>
              <w:right w:val="nil"/>
            </w:tcBorders>
            <w:shd w:val="clear" w:color="000000" w:fill="FFF2CC"/>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r w:rsidRPr="006E149C">
              <w:rPr>
                <w:rFonts w:ascii="Calibri" w:eastAsia="Times New Roman" w:hAnsi="Calibri" w:cs="Calibri"/>
                <w:sz w:val="18"/>
                <w:szCs w:val="18"/>
                <w:lang w:eastAsia="en-AU"/>
              </w:rPr>
              <w:t>Gametocytes</w:t>
            </w:r>
          </w:p>
        </w:tc>
        <w:tc>
          <w:tcPr>
            <w:tcW w:w="1276"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Parasitised red cells larger than uninfected cells</w:t>
            </w:r>
          </w:p>
        </w:tc>
        <w:tc>
          <w:tcPr>
            <w:tcW w:w="1275" w:type="dxa"/>
            <w:tcBorders>
              <w:top w:val="nil"/>
              <w:left w:val="nil"/>
              <w:bottom w:val="nil"/>
              <w:right w:val="nil"/>
            </w:tcBorders>
            <w:shd w:val="clear" w:color="000000" w:fill="FFF2CC"/>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r w:rsidRPr="006E149C">
              <w:rPr>
                <w:rFonts w:ascii="Calibri" w:eastAsia="Times New Roman" w:hAnsi="Calibri" w:cs="Calibri"/>
                <w:sz w:val="18"/>
                <w:szCs w:val="18"/>
                <w:lang w:eastAsia="en-AU"/>
              </w:rPr>
              <w:t>Gametocytes</w:t>
            </w:r>
          </w:p>
        </w:tc>
        <w:tc>
          <w:tcPr>
            <w:tcW w:w="1134" w:type="dxa"/>
            <w:tcBorders>
              <w:top w:val="nil"/>
              <w:left w:val="nil"/>
              <w:bottom w:val="nil"/>
              <w:right w:val="nil"/>
            </w:tcBorders>
            <w:shd w:val="clear" w:color="000000" w:fill="FFF2CC"/>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r w:rsidRPr="006E149C">
              <w:rPr>
                <w:rFonts w:ascii="Calibri" w:eastAsia="Times New Roman" w:hAnsi="Calibri" w:cs="Calibri"/>
                <w:sz w:val="18"/>
                <w:szCs w:val="18"/>
                <w:lang w:eastAsia="en-AU"/>
              </w:rPr>
              <w:t>Gametocytes</w:t>
            </w:r>
          </w:p>
        </w:tc>
        <w:tc>
          <w:tcPr>
            <w:tcW w:w="1134"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Calibri" w:eastAsia="Times New Roman" w:hAnsi="Calibri" w:cs="Calibri"/>
                <w:color w:val="000000"/>
                <w:sz w:val="18"/>
                <w:szCs w:val="18"/>
                <w:lang w:eastAsia="en-AU"/>
              </w:rPr>
            </w:pPr>
            <w:r w:rsidRPr="006E149C">
              <w:rPr>
                <w:rFonts w:ascii="Calibri" w:eastAsia="Times New Roman" w:hAnsi="Calibri" w:cs="Calibri"/>
                <w:color w:val="000000"/>
                <w:sz w:val="18"/>
                <w:szCs w:val="18"/>
                <w:lang w:eastAsia="en-AU"/>
              </w:rPr>
              <w:t>Maurer's dots or clefts</w:t>
            </w:r>
          </w:p>
        </w:tc>
        <w:tc>
          <w:tcPr>
            <w:tcW w:w="1276" w:type="dxa"/>
            <w:tcBorders>
              <w:top w:val="nil"/>
              <w:left w:val="nil"/>
              <w:bottom w:val="nil"/>
              <w:right w:val="nil"/>
            </w:tcBorders>
            <w:shd w:val="clear" w:color="000000" w:fill="FFEB9C"/>
            <w:vAlign w:val="bottom"/>
            <w:hideMark/>
          </w:tcPr>
          <w:p w:rsidR="006E149C" w:rsidRPr="006E149C" w:rsidRDefault="006E149C" w:rsidP="006E149C">
            <w:pPr>
              <w:spacing w:after="0" w:line="240" w:lineRule="auto"/>
              <w:jc w:val="center"/>
              <w:rPr>
                <w:rFonts w:ascii="Calibri" w:eastAsia="Times New Roman" w:hAnsi="Calibri" w:cs="Calibri"/>
                <w:color w:val="9C5700"/>
                <w:sz w:val="18"/>
                <w:szCs w:val="18"/>
                <w:lang w:eastAsia="en-AU"/>
              </w:rPr>
            </w:pPr>
            <w:proofErr w:type="spellStart"/>
            <w:r w:rsidRPr="006E149C">
              <w:rPr>
                <w:rFonts w:ascii="Calibri" w:eastAsia="Times New Roman" w:hAnsi="Calibri" w:cs="Calibri"/>
                <w:color w:val="9C5700"/>
                <w:sz w:val="18"/>
                <w:szCs w:val="18"/>
                <w:lang w:eastAsia="en-AU"/>
              </w:rPr>
              <w:t>Schüffner's</w:t>
            </w:r>
            <w:proofErr w:type="spellEnd"/>
            <w:r w:rsidRPr="006E149C">
              <w:rPr>
                <w:rFonts w:ascii="Calibri" w:eastAsia="Times New Roman" w:hAnsi="Calibri" w:cs="Calibri"/>
                <w:color w:val="9C5700"/>
                <w:sz w:val="18"/>
                <w:szCs w:val="18"/>
                <w:lang w:eastAsia="en-AU"/>
              </w:rPr>
              <w:t xml:space="preserve"> dots</w:t>
            </w:r>
          </w:p>
        </w:tc>
        <w:tc>
          <w:tcPr>
            <w:tcW w:w="1276" w:type="dxa"/>
            <w:tcBorders>
              <w:top w:val="nil"/>
              <w:left w:val="nil"/>
              <w:bottom w:val="nil"/>
              <w:right w:val="nil"/>
            </w:tcBorders>
            <w:shd w:val="clear" w:color="000000" w:fill="FFF2CC"/>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r w:rsidRPr="006E149C">
              <w:rPr>
                <w:rFonts w:ascii="Calibri" w:eastAsia="Times New Roman" w:hAnsi="Calibri" w:cs="Calibri"/>
                <w:sz w:val="18"/>
                <w:szCs w:val="18"/>
                <w:lang w:eastAsia="en-AU"/>
              </w:rPr>
              <w:t>Gametocytes</w:t>
            </w:r>
          </w:p>
        </w:tc>
        <w:tc>
          <w:tcPr>
            <w:tcW w:w="1233" w:type="dxa"/>
            <w:tcBorders>
              <w:top w:val="nil"/>
              <w:left w:val="nil"/>
              <w:bottom w:val="nil"/>
              <w:right w:val="nil"/>
            </w:tcBorders>
            <w:shd w:val="clear" w:color="000000" w:fill="FFF2CC"/>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r w:rsidRPr="006E149C">
              <w:rPr>
                <w:rFonts w:ascii="Calibri" w:eastAsia="Times New Roman" w:hAnsi="Calibri" w:cs="Calibri"/>
                <w:sz w:val="18"/>
                <w:szCs w:val="18"/>
                <w:lang w:eastAsia="en-AU"/>
              </w:rPr>
              <w:t>Gametocytes</w:t>
            </w:r>
          </w:p>
        </w:tc>
        <w:tc>
          <w:tcPr>
            <w:tcW w:w="1183" w:type="dxa"/>
            <w:tcBorders>
              <w:top w:val="nil"/>
              <w:left w:val="nil"/>
              <w:bottom w:val="nil"/>
              <w:right w:val="nil"/>
            </w:tcBorders>
            <w:shd w:val="clear" w:color="000000" w:fill="FFF2CC"/>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r w:rsidRPr="006E149C">
              <w:rPr>
                <w:rFonts w:ascii="Calibri" w:eastAsia="Times New Roman" w:hAnsi="Calibri" w:cs="Calibri"/>
                <w:sz w:val="18"/>
                <w:szCs w:val="18"/>
                <w:lang w:eastAsia="en-AU"/>
              </w:rPr>
              <w:t>Early trophozoites</w:t>
            </w:r>
          </w:p>
        </w:tc>
        <w:tc>
          <w:tcPr>
            <w:tcW w:w="1183"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Parasitised red cells larger than uninfected cells</w:t>
            </w:r>
          </w:p>
        </w:tc>
        <w:tc>
          <w:tcPr>
            <w:tcW w:w="653" w:type="dxa"/>
            <w:vMerge/>
            <w:tcBorders>
              <w:top w:val="single" w:sz="4" w:space="0" w:color="auto"/>
              <w:left w:val="single" w:sz="4" w:space="0" w:color="auto"/>
              <w:bottom w:val="single" w:sz="4" w:space="0" w:color="000000"/>
              <w:right w:val="single" w:sz="4" w:space="0" w:color="auto"/>
            </w:tcBorders>
            <w:vAlign w:val="center"/>
            <w:hideMark/>
          </w:tcPr>
          <w:p w:rsidR="006E149C" w:rsidRPr="006E149C" w:rsidRDefault="006E149C" w:rsidP="006E149C">
            <w:pPr>
              <w:spacing w:after="0" w:line="240" w:lineRule="auto"/>
              <w:rPr>
                <w:rFonts w:ascii="Calibri" w:eastAsia="Times New Roman" w:hAnsi="Calibri" w:cs="Calibri"/>
                <w:color w:val="000000"/>
                <w:sz w:val="20"/>
                <w:szCs w:val="20"/>
                <w:lang w:eastAsia="en-AU"/>
              </w:rPr>
            </w:pPr>
          </w:p>
        </w:tc>
        <w:tc>
          <w:tcPr>
            <w:tcW w:w="1134"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Parasitised fimbriated red cells</w:t>
            </w:r>
          </w:p>
        </w:tc>
        <w:tc>
          <w:tcPr>
            <w:tcW w:w="1134"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p>
        </w:tc>
        <w:tc>
          <w:tcPr>
            <w:tcW w:w="1276" w:type="dxa"/>
            <w:tcBorders>
              <w:top w:val="nil"/>
              <w:left w:val="nil"/>
              <w:bottom w:val="nil"/>
              <w:right w:val="nil"/>
            </w:tcBorders>
            <w:shd w:val="clear" w:color="000000" w:fill="FFF2CC"/>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r w:rsidRPr="006E149C">
              <w:rPr>
                <w:rFonts w:ascii="Calibri" w:eastAsia="Times New Roman" w:hAnsi="Calibri" w:cs="Calibri"/>
                <w:sz w:val="18"/>
                <w:szCs w:val="18"/>
                <w:lang w:eastAsia="en-AU"/>
              </w:rPr>
              <w:t>Early trophozoites</w:t>
            </w:r>
          </w:p>
        </w:tc>
      </w:tr>
      <w:tr w:rsidR="006E149C" w:rsidRPr="006E149C" w:rsidTr="006E149C">
        <w:trPr>
          <w:trHeight w:val="1067"/>
        </w:trPr>
        <w:tc>
          <w:tcPr>
            <w:tcW w:w="1277"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Parasitised red cells larger than uninfected cells</w:t>
            </w:r>
          </w:p>
        </w:tc>
        <w:tc>
          <w:tcPr>
            <w:tcW w:w="1276" w:type="dxa"/>
            <w:tcBorders>
              <w:top w:val="nil"/>
              <w:left w:val="nil"/>
              <w:bottom w:val="nil"/>
              <w:right w:val="nil"/>
            </w:tcBorders>
            <w:shd w:val="clear" w:color="000000" w:fill="FFF2CC"/>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r w:rsidRPr="006E149C">
              <w:rPr>
                <w:rFonts w:ascii="Calibri" w:eastAsia="Times New Roman" w:hAnsi="Calibri" w:cs="Calibri"/>
                <w:sz w:val="18"/>
                <w:szCs w:val="18"/>
                <w:lang w:eastAsia="en-AU"/>
              </w:rPr>
              <w:t>Gametocytes</w:t>
            </w:r>
          </w:p>
        </w:tc>
        <w:tc>
          <w:tcPr>
            <w:tcW w:w="1275"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Parasitised red cells larger than uninfected cells</w:t>
            </w:r>
          </w:p>
        </w:tc>
        <w:tc>
          <w:tcPr>
            <w:tcW w:w="1134"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Parasitised red cells larger than uninfected cells</w:t>
            </w:r>
          </w:p>
        </w:tc>
        <w:tc>
          <w:tcPr>
            <w:tcW w:w="1134"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Trophozoites with amoeboid-like morphology</w:t>
            </w:r>
          </w:p>
        </w:tc>
        <w:tc>
          <w:tcPr>
            <w:tcW w:w="1276" w:type="dxa"/>
            <w:tcBorders>
              <w:top w:val="nil"/>
              <w:left w:val="nil"/>
              <w:bottom w:val="nil"/>
              <w:right w:val="nil"/>
            </w:tcBorders>
            <w:shd w:val="clear" w:color="000000" w:fill="FFF2CC"/>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r w:rsidRPr="006E149C">
              <w:rPr>
                <w:rFonts w:ascii="Calibri" w:eastAsia="Times New Roman" w:hAnsi="Calibri" w:cs="Calibri"/>
                <w:sz w:val="18"/>
                <w:szCs w:val="18"/>
                <w:lang w:eastAsia="en-AU"/>
              </w:rPr>
              <w:t>Early trophozoites</w:t>
            </w:r>
          </w:p>
        </w:tc>
        <w:tc>
          <w:tcPr>
            <w:tcW w:w="1276"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Calibri" w:eastAsia="Times New Roman" w:hAnsi="Calibri" w:cs="Calibri"/>
                <w:color w:val="000000"/>
                <w:sz w:val="18"/>
                <w:szCs w:val="18"/>
                <w:lang w:eastAsia="en-AU"/>
              </w:rPr>
            </w:pPr>
            <w:r w:rsidRPr="006E149C">
              <w:rPr>
                <w:rFonts w:ascii="Calibri" w:eastAsia="Times New Roman" w:hAnsi="Calibri" w:cs="Calibri"/>
                <w:color w:val="000000"/>
                <w:sz w:val="18"/>
                <w:szCs w:val="18"/>
                <w:lang w:eastAsia="en-AU"/>
              </w:rPr>
              <w:t>Fine malaria pigment</w:t>
            </w:r>
          </w:p>
        </w:tc>
        <w:tc>
          <w:tcPr>
            <w:tcW w:w="1233"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Parasitised red cells larger than uninfected cells</w:t>
            </w:r>
          </w:p>
        </w:tc>
        <w:tc>
          <w:tcPr>
            <w:tcW w:w="1183" w:type="dxa"/>
            <w:tcBorders>
              <w:top w:val="nil"/>
              <w:left w:val="nil"/>
              <w:bottom w:val="nil"/>
              <w:right w:val="nil"/>
            </w:tcBorders>
            <w:shd w:val="clear" w:color="000000" w:fill="FFEB9C"/>
            <w:vAlign w:val="bottom"/>
            <w:hideMark/>
          </w:tcPr>
          <w:p w:rsidR="006E149C" w:rsidRPr="006E149C" w:rsidRDefault="006E149C" w:rsidP="006E149C">
            <w:pPr>
              <w:spacing w:after="0" w:line="240" w:lineRule="auto"/>
              <w:jc w:val="center"/>
              <w:rPr>
                <w:rFonts w:ascii="Calibri" w:eastAsia="Times New Roman" w:hAnsi="Calibri" w:cs="Calibri"/>
                <w:color w:val="9C5700"/>
                <w:sz w:val="18"/>
                <w:szCs w:val="18"/>
                <w:lang w:eastAsia="en-AU"/>
              </w:rPr>
            </w:pPr>
            <w:proofErr w:type="spellStart"/>
            <w:r w:rsidRPr="006E149C">
              <w:rPr>
                <w:rFonts w:ascii="Calibri" w:eastAsia="Times New Roman" w:hAnsi="Calibri" w:cs="Calibri"/>
                <w:color w:val="9C5700"/>
                <w:sz w:val="18"/>
                <w:szCs w:val="18"/>
                <w:lang w:eastAsia="en-AU"/>
              </w:rPr>
              <w:t>Schüffner's</w:t>
            </w:r>
            <w:proofErr w:type="spellEnd"/>
            <w:r w:rsidRPr="006E149C">
              <w:rPr>
                <w:rFonts w:ascii="Calibri" w:eastAsia="Times New Roman" w:hAnsi="Calibri" w:cs="Calibri"/>
                <w:color w:val="9C5700"/>
                <w:sz w:val="18"/>
                <w:szCs w:val="18"/>
                <w:lang w:eastAsia="en-AU"/>
              </w:rPr>
              <w:t xml:space="preserve"> dots</w:t>
            </w:r>
          </w:p>
        </w:tc>
        <w:tc>
          <w:tcPr>
            <w:tcW w:w="1183" w:type="dxa"/>
            <w:tcBorders>
              <w:top w:val="nil"/>
              <w:left w:val="nil"/>
              <w:bottom w:val="nil"/>
              <w:right w:val="nil"/>
            </w:tcBorders>
            <w:shd w:val="clear" w:color="000000" w:fill="FFEB9C"/>
            <w:vAlign w:val="bottom"/>
            <w:hideMark/>
          </w:tcPr>
          <w:p w:rsidR="006E149C" w:rsidRPr="006E149C" w:rsidRDefault="006E149C" w:rsidP="006E149C">
            <w:pPr>
              <w:spacing w:after="0" w:line="240" w:lineRule="auto"/>
              <w:jc w:val="center"/>
              <w:rPr>
                <w:rFonts w:ascii="Calibri" w:eastAsia="Times New Roman" w:hAnsi="Calibri" w:cs="Calibri"/>
                <w:color w:val="9C5700"/>
                <w:sz w:val="18"/>
                <w:szCs w:val="18"/>
                <w:lang w:eastAsia="en-AU"/>
              </w:rPr>
            </w:pPr>
            <w:proofErr w:type="spellStart"/>
            <w:r w:rsidRPr="006E149C">
              <w:rPr>
                <w:rFonts w:ascii="Calibri" w:eastAsia="Times New Roman" w:hAnsi="Calibri" w:cs="Calibri"/>
                <w:color w:val="9C5700"/>
                <w:sz w:val="18"/>
                <w:szCs w:val="18"/>
                <w:lang w:eastAsia="en-AU"/>
              </w:rPr>
              <w:t>Schüffner's</w:t>
            </w:r>
            <w:proofErr w:type="spellEnd"/>
            <w:r w:rsidRPr="006E149C">
              <w:rPr>
                <w:rFonts w:ascii="Calibri" w:eastAsia="Times New Roman" w:hAnsi="Calibri" w:cs="Calibri"/>
                <w:color w:val="9C5700"/>
                <w:sz w:val="18"/>
                <w:szCs w:val="18"/>
                <w:lang w:eastAsia="en-AU"/>
              </w:rPr>
              <w:t xml:space="preserve"> dots</w:t>
            </w:r>
          </w:p>
        </w:tc>
        <w:tc>
          <w:tcPr>
            <w:tcW w:w="653" w:type="dxa"/>
            <w:vMerge/>
            <w:tcBorders>
              <w:top w:val="single" w:sz="4" w:space="0" w:color="auto"/>
              <w:left w:val="single" w:sz="4" w:space="0" w:color="auto"/>
              <w:bottom w:val="single" w:sz="4" w:space="0" w:color="000000"/>
              <w:right w:val="single" w:sz="4" w:space="0" w:color="auto"/>
            </w:tcBorders>
            <w:vAlign w:val="center"/>
            <w:hideMark/>
          </w:tcPr>
          <w:p w:rsidR="006E149C" w:rsidRPr="006E149C" w:rsidRDefault="006E149C" w:rsidP="006E149C">
            <w:pPr>
              <w:spacing w:after="0" w:line="240" w:lineRule="auto"/>
              <w:rPr>
                <w:rFonts w:ascii="Calibri" w:eastAsia="Times New Roman" w:hAnsi="Calibri" w:cs="Calibri"/>
                <w:color w:val="000000"/>
                <w:sz w:val="20"/>
                <w:szCs w:val="20"/>
                <w:lang w:eastAsia="en-AU"/>
              </w:rPr>
            </w:pPr>
          </w:p>
        </w:tc>
        <w:tc>
          <w:tcPr>
            <w:tcW w:w="1134"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Parasitised red cells larger than uninfected cells</w:t>
            </w:r>
          </w:p>
        </w:tc>
        <w:tc>
          <w:tcPr>
            <w:tcW w:w="1134"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p>
        </w:tc>
        <w:tc>
          <w:tcPr>
            <w:tcW w:w="1276" w:type="dxa"/>
            <w:tcBorders>
              <w:top w:val="nil"/>
              <w:left w:val="nil"/>
              <w:bottom w:val="nil"/>
              <w:right w:val="nil"/>
            </w:tcBorders>
            <w:shd w:val="clear" w:color="000000" w:fill="FFF2CC"/>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r w:rsidRPr="006E149C">
              <w:rPr>
                <w:rFonts w:ascii="Calibri" w:eastAsia="Times New Roman" w:hAnsi="Calibri" w:cs="Calibri"/>
                <w:sz w:val="18"/>
                <w:szCs w:val="18"/>
                <w:lang w:eastAsia="en-AU"/>
              </w:rPr>
              <w:t>Mature trophozoites</w:t>
            </w:r>
          </w:p>
        </w:tc>
      </w:tr>
      <w:tr w:rsidR="006E149C" w:rsidRPr="006E149C" w:rsidTr="006E149C">
        <w:trPr>
          <w:trHeight w:val="854"/>
        </w:trPr>
        <w:tc>
          <w:tcPr>
            <w:tcW w:w="1277" w:type="dxa"/>
            <w:tcBorders>
              <w:top w:val="nil"/>
              <w:left w:val="nil"/>
              <w:bottom w:val="nil"/>
              <w:right w:val="nil"/>
            </w:tcBorders>
            <w:shd w:val="clear" w:color="000000" w:fill="FFEB9C"/>
            <w:vAlign w:val="bottom"/>
            <w:hideMark/>
          </w:tcPr>
          <w:p w:rsidR="006E149C" w:rsidRPr="006E149C" w:rsidRDefault="006E149C" w:rsidP="006E149C">
            <w:pPr>
              <w:spacing w:after="0" w:line="240" w:lineRule="auto"/>
              <w:jc w:val="center"/>
              <w:rPr>
                <w:rFonts w:ascii="Calibri" w:eastAsia="Times New Roman" w:hAnsi="Calibri" w:cs="Calibri"/>
                <w:color w:val="9C5700"/>
                <w:sz w:val="18"/>
                <w:szCs w:val="18"/>
                <w:lang w:eastAsia="en-AU"/>
              </w:rPr>
            </w:pPr>
            <w:proofErr w:type="spellStart"/>
            <w:r w:rsidRPr="006E149C">
              <w:rPr>
                <w:rFonts w:ascii="Calibri" w:eastAsia="Times New Roman" w:hAnsi="Calibri" w:cs="Calibri"/>
                <w:color w:val="9C5700"/>
                <w:sz w:val="18"/>
                <w:szCs w:val="18"/>
                <w:lang w:eastAsia="en-AU"/>
              </w:rPr>
              <w:t>Schüffner's</w:t>
            </w:r>
            <w:proofErr w:type="spellEnd"/>
            <w:r w:rsidRPr="006E149C">
              <w:rPr>
                <w:rFonts w:ascii="Calibri" w:eastAsia="Times New Roman" w:hAnsi="Calibri" w:cs="Calibri"/>
                <w:color w:val="9C5700"/>
                <w:sz w:val="18"/>
                <w:szCs w:val="18"/>
                <w:lang w:eastAsia="en-AU"/>
              </w:rPr>
              <w:t xml:space="preserve"> dots</w:t>
            </w:r>
          </w:p>
        </w:tc>
        <w:tc>
          <w:tcPr>
            <w:tcW w:w="1276"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Calibri" w:eastAsia="Times New Roman" w:hAnsi="Calibri" w:cs="Calibri"/>
                <w:color w:val="9C5700"/>
                <w:sz w:val="18"/>
                <w:szCs w:val="18"/>
                <w:lang w:eastAsia="en-AU"/>
              </w:rPr>
            </w:pPr>
          </w:p>
        </w:tc>
        <w:tc>
          <w:tcPr>
            <w:tcW w:w="1275"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Parasitised fimbriated red cells</w:t>
            </w:r>
          </w:p>
        </w:tc>
        <w:tc>
          <w:tcPr>
            <w:tcW w:w="1134" w:type="dxa"/>
            <w:tcBorders>
              <w:top w:val="nil"/>
              <w:left w:val="nil"/>
              <w:bottom w:val="nil"/>
              <w:right w:val="nil"/>
            </w:tcBorders>
            <w:shd w:val="clear" w:color="000000" w:fill="FFF2CC"/>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r w:rsidRPr="006E149C">
              <w:rPr>
                <w:rFonts w:ascii="Calibri" w:eastAsia="Times New Roman" w:hAnsi="Calibri" w:cs="Calibri"/>
                <w:sz w:val="18"/>
                <w:szCs w:val="18"/>
                <w:lang w:eastAsia="en-AU"/>
              </w:rPr>
              <w:t>Early trophozoites</w:t>
            </w:r>
          </w:p>
        </w:tc>
        <w:tc>
          <w:tcPr>
            <w:tcW w:w="1134"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p>
        </w:tc>
        <w:tc>
          <w:tcPr>
            <w:tcW w:w="1276" w:type="dxa"/>
            <w:tcBorders>
              <w:top w:val="nil"/>
              <w:left w:val="nil"/>
              <w:bottom w:val="nil"/>
              <w:right w:val="nil"/>
            </w:tcBorders>
            <w:shd w:val="clear" w:color="000000" w:fill="FFF2CC"/>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r w:rsidRPr="006E149C">
              <w:rPr>
                <w:rFonts w:ascii="Calibri" w:eastAsia="Times New Roman" w:hAnsi="Calibri" w:cs="Calibri"/>
                <w:sz w:val="18"/>
                <w:szCs w:val="18"/>
                <w:lang w:eastAsia="en-AU"/>
              </w:rPr>
              <w:t>Gametocytes</w:t>
            </w:r>
          </w:p>
        </w:tc>
        <w:tc>
          <w:tcPr>
            <w:tcW w:w="1276" w:type="dxa"/>
            <w:tcBorders>
              <w:top w:val="nil"/>
              <w:left w:val="nil"/>
              <w:bottom w:val="nil"/>
              <w:right w:val="nil"/>
            </w:tcBorders>
            <w:shd w:val="clear" w:color="000000" w:fill="FFF2CC"/>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r w:rsidRPr="006E149C">
              <w:rPr>
                <w:rFonts w:ascii="Calibri" w:eastAsia="Times New Roman" w:hAnsi="Calibri" w:cs="Calibri"/>
                <w:sz w:val="18"/>
                <w:szCs w:val="18"/>
                <w:lang w:eastAsia="en-AU"/>
              </w:rPr>
              <w:t>Schizonts</w:t>
            </w:r>
          </w:p>
        </w:tc>
        <w:tc>
          <w:tcPr>
            <w:tcW w:w="1233"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p>
        </w:tc>
        <w:tc>
          <w:tcPr>
            <w:tcW w:w="1183" w:type="dxa"/>
            <w:tcBorders>
              <w:top w:val="nil"/>
              <w:left w:val="nil"/>
              <w:bottom w:val="nil"/>
              <w:right w:val="nil"/>
            </w:tcBorders>
            <w:shd w:val="clear" w:color="000000" w:fill="FFF2CC"/>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r w:rsidRPr="006E149C">
              <w:rPr>
                <w:rFonts w:ascii="Calibri" w:eastAsia="Times New Roman" w:hAnsi="Calibri" w:cs="Calibri"/>
                <w:sz w:val="18"/>
                <w:szCs w:val="18"/>
                <w:lang w:eastAsia="en-AU"/>
              </w:rPr>
              <w:t>Gametocytes</w:t>
            </w:r>
          </w:p>
        </w:tc>
        <w:tc>
          <w:tcPr>
            <w:tcW w:w="1183"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Trophozoites with amoeboid-like morphology</w:t>
            </w:r>
          </w:p>
        </w:tc>
        <w:tc>
          <w:tcPr>
            <w:tcW w:w="653" w:type="dxa"/>
            <w:vMerge/>
            <w:tcBorders>
              <w:top w:val="single" w:sz="4" w:space="0" w:color="auto"/>
              <w:left w:val="single" w:sz="4" w:space="0" w:color="auto"/>
              <w:bottom w:val="single" w:sz="4" w:space="0" w:color="000000"/>
              <w:right w:val="single" w:sz="4" w:space="0" w:color="auto"/>
            </w:tcBorders>
            <w:vAlign w:val="center"/>
            <w:hideMark/>
          </w:tcPr>
          <w:p w:rsidR="006E149C" w:rsidRPr="006E149C" w:rsidRDefault="006E149C" w:rsidP="006E149C">
            <w:pPr>
              <w:spacing w:after="0" w:line="240" w:lineRule="auto"/>
              <w:rPr>
                <w:rFonts w:ascii="Calibri" w:eastAsia="Times New Roman" w:hAnsi="Calibri" w:cs="Calibri"/>
                <w:color w:val="000000"/>
                <w:sz w:val="20"/>
                <w:szCs w:val="20"/>
                <w:lang w:eastAsia="en-AU"/>
              </w:rPr>
            </w:pPr>
          </w:p>
        </w:tc>
        <w:tc>
          <w:tcPr>
            <w:tcW w:w="1134"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p>
        </w:tc>
        <w:tc>
          <w:tcPr>
            <w:tcW w:w="1134" w:type="dxa"/>
            <w:tcBorders>
              <w:top w:val="nil"/>
              <w:left w:val="nil"/>
              <w:bottom w:val="nil"/>
              <w:right w:val="nil"/>
            </w:tcBorders>
            <w:shd w:val="clear" w:color="auto" w:fill="auto"/>
            <w:vAlign w:val="bottom"/>
            <w:hideMark/>
          </w:tcPr>
          <w:p w:rsidR="006E149C" w:rsidRPr="006E149C" w:rsidRDefault="006E149C" w:rsidP="006E149C">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000000" w:fill="FFF2CC"/>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r w:rsidRPr="006E149C">
              <w:rPr>
                <w:rFonts w:ascii="Calibri" w:eastAsia="Times New Roman" w:hAnsi="Calibri" w:cs="Calibri"/>
                <w:sz w:val="18"/>
                <w:szCs w:val="18"/>
                <w:lang w:eastAsia="en-AU"/>
              </w:rPr>
              <w:t>Schizonts</w:t>
            </w:r>
          </w:p>
        </w:tc>
      </w:tr>
      <w:tr w:rsidR="006E149C" w:rsidRPr="006E149C" w:rsidTr="006E149C">
        <w:trPr>
          <w:trHeight w:val="413"/>
        </w:trPr>
        <w:tc>
          <w:tcPr>
            <w:tcW w:w="1277"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Calibri" w:eastAsia="Times New Roman" w:hAnsi="Calibri" w:cs="Calibri"/>
                <w:sz w:val="18"/>
                <w:szCs w:val="18"/>
                <w:lang w:eastAsia="en-AU"/>
              </w:rPr>
            </w:pPr>
          </w:p>
        </w:tc>
        <w:tc>
          <w:tcPr>
            <w:tcW w:w="1276"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Times New Roman" w:eastAsia="Times New Roman" w:hAnsi="Times New Roman" w:cs="Times New Roman"/>
                <w:sz w:val="20"/>
                <w:szCs w:val="20"/>
                <w:lang w:eastAsia="en-AU"/>
              </w:rPr>
            </w:pPr>
          </w:p>
        </w:tc>
        <w:tc>
          <w:tcPr>
            <w:tcW w:w="1275"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000000" w:fill="FFEB9C"/>
            <w:vAlign w:val="bottom"/>
            <w:hideMark/>
          </w:tcPr>
          <w:p w:rsidR="006E149C" w:rsidRPr="006E149C" w:rsidRDefault="006E149C" w:rsidP="006E149C">
            <w:pPr>
              <w:spacing w:after="0" w:line="240" w:lineRule="auto"/>
              <w:jc w:val="center"/>
              <w:rPr>
                <w:rFonts w:ascii="Calibri" w:eastAsia="Times New Roman" w:hAnsi="Calibri" w:cs="Calibri"/>
                <w:color w:val="9C5700"/>
                <w:sz w:val="18"/>
                <w:szCs w:val="18"/>
                <w:lang w:eastAsia="en-AU"/>
              </w:rPr>
            </w:pPr>
            <w:proofErr w:type="spellStart"/>
            <w:r w:rsidRPr="006E149C">
              <w:rPr>
                <w:rFonts w:ascii="Calibri" w:eastAsia="Times New Roman" w:hAnsi="Calibri" w:cs="Calibri"/>
                <w:color w:val="9C5700"/>
                <w:sz w:val="18"/>
                <w:szCs w:val="18"/>
                <w:lang w:eastAsia="en-AU"/>
              </w:rPr>
              <w:t>Schüffner's</w:t>
            </w:r>
            <w:proofErr w:type="spellEnd"/>
            <w:r w:rsidRPr="006E149C">
              <w:rPr>
                <w:rFonts w:ascii="Calibri" w:eastAsia="Times New Roman" w:hAnsi="Calibri" w:cs="Calibri"/>
                <w:color w:val="9C5700"/>
                <w:sz w:val="18"/>
                <w:szCs w:val="18"/>
                <w:lang w:eastAsia="en-AU"/>
              </w:rPr>
              <w:t xml:space="preserve"> dots</w:t>
            </w:r>
          </w:p>
        </w:tc>
        <w:tc>
          <w:tcPr>
            <w:tcW w:w="1134"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Calibri" w:eastAsia="Times New Roman" w:hAnsi="Calibri" w:cs="Calibri"/>
                <w:color w:val="9C5700"/>
                <w:sz w:val="18"/>
                <w:szCs w:val="18"/>
                <w:lang w:eastAsia="en-AU"/>
              </w:rPr>
            </w:pPr>
          </w:p>
        </w:tc>
        <w:tc>
          <w:tcPr>
            <w:tcW w:w="1276"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Parasitised red cells larger than uninfected cells</w:t>
            </w:r>
          </w:p>
        </w:tc>
        <w:tc>
          <w:tcPr>
            <w:tcW w:w="1233"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p>
        </w:tc>
        <w:tc>
          <w:tcPr>
            <w:tcW w:w="1183"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Times New Roman" w:eastAsia="Times New Roman" w:hAnsi="Times New Roman" w:cs="Times New Roman"/>
                <w:sz w:val="20"/>
                <w:szCs w:val="20"/>
                <w:lang w:eastAsia="en-AU"/>
              </w:rPr>
            </w:pPr>
          </w:p>
        </w:tc>
        <w:tc>
          <w:tcPr>
            <w:tcW w:w="1183"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Times New Roman" w:eastAsia="Times New Roman" w:hAnsi="Times New Roman" w:cs="Times New Roman"/>
                <w:sz w:val="20"/>
                <w:szCs w:val="20"/>
                <w:lang w:eastAsia="en-AU"/>
              </w:rPr>
            </w:pPr>
          </w:p>
        </w:tc>
        <w:tc>
          <w:tcPr>
            <w:tcW w:w="653" w:type="dxa"/>
            <w:vMerge/>
            <w:tcBorders>
              <w:top w:val="single" w:sz="4" w:space="0" w:color="auto"/>
              <w:left w:val="single" w:sz="4" w:space="0" w:color="auto"/>
              <w:bottom w:val="single" w:sz="4" w:space="0" w:color="000000"/>
              <w:right w:val="single" w:sz="4" w:space="0" w:color="auto"/>
            </w:tcBorders>
            <w:vAlign w:val="center"/>
            <w:hideMark/>
          </w:tcPr>
          <w:p w:rsidR="006E149C" w:rsidRPr="006E149C" w:rsidRDefault="006E149C" w:rsidP="006E149C">
            <w:pPr>
              <w:spacing w:after="0" w:line="240" w:lineRule="auto"/>
              <w:rPr>
                <w:rFonts w:ascii="Calibri" w:eastAsia="Times New Roman" w:hAnsi="Calibri" w:cs="Calibri"/>
                <w:color w:val="000000"/>
                <w:sz w:val="20"/>
                <w:szCs w:val="20"/>
                <w:lang w:eastAsia="en-AU"/>
              </w:rPr>
            </w:pPr>
          </w:p>
        </w:tc>
        <w:tc>
          <w:tcPr>
            <w:tcW w:w="1134"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bottom"/>
            <w:hideMark/>
          </w:tcPr>
          <w:p w:rsidR="006E149C" w:rsidRPr="006E149C" w:rsidRDefault="006E149C" w:rsidP="006E149C">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vAlign w:val="bottom"/>
            <w:hideMark/>
          </w:tcPr>
          <w:p w:rsidR="006E149C" w:rsidRPr="006E149C" w:rsidRDefault="006E149C" w:rsidP="006E149C">
            <w:pPr>
              <w:spacing w:after="0" w:line="240" w:lineRule="auto"/>
              <w:rPr>
                <w:rFonts w:ascii="Times New Roman" w:eastAsia="Times New Roman" w:hAnsi="Times New Roman" w:cs="Times New Roman"/>
                <w:sz w:val="20"/>
                <w:szCs w:val="20"/>
                <w:lang w:eastAsia="en-AU"/>
              </w:rPr>
            </w:pPr>
          </w:p>
        </w:tc>
      </w:tr>
      <w:tr w:rsidR="006E149C" w:rsidRPr="006E149C" w:rsidTr="006E149C">
        <w:trPr>
          <w:trHeight w:val="640"/>
        </w:trPr>
        <w:tc>
          <w:tcPr>
            <w:tcW w:w="1277" w:type="dxa"/>
            <w:tcBorders>
              <w:top w:val="nil"/>
              <w:left w:val="nil"/>
              <w:bottom w:val="nil"/>
              <w:right w:val="nil"/>
            </w:tcBorders>
            <w:shd w:val="clear" w:color="auto" w:fill="auto"/>
            <w:vAlign w:val="bottom"/>
            <w:hideMark/>
          </w:tcPr>
          <w:p w:rsidR="006E149C" w:rsidRPr="006E149C" w:rsidRDefault="006E149C" w:rsidP="006E149C">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Times New Roman" w:eastAsia="Times New Roman" w:hAnsi="Times New Roman" w:cs="Times New Roman"/>
                <w:sz w:val="20"/>
                <w:szCs w:val="20"/>
                <w:lang w:eastAsia="en-AU"/>
              </w:rPr>
            </w:pPr>
          </w:p>
        </w:tc>
        <w:tc>
          <w:tcPr>
            <w:tcW w:w="1275"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Parasitised fimbriated red cells</w:t>
            </w:r>
          </w:p>
        </w:tc>
        <w:tc>
          <w:tcPr>
            <w:tcW w:w="1233"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p>
        </w:tc>
        <w:tc>
          <w:tcPr>
            <w:tcW w:w="1183"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Times New Roman" w:eastAsia="Times New Roman" w:hAnsi="Times New Roman" w:cs="Times New Roman"/>
                <w:sz w:val="20"/>
                <w:szCs w:val="20"/>
                <w:lang w:eastAsia="en-AU"/>
              </w:rPr>
            </w:pPr>
          </w:p>
        </w:tc>
        <w:tc>
          <w:tcPr>
            <w:tcW w:w="1183"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Times New Roman" w:eastAsia="Times New Roman" w:hAnsi="Times New Roman" w:cs="Times New Roman"/>
                <w:sz w:val="20"/>
                <w:szCs w:val="20"/>
                <w:lang w:eastAsia="en-AU"/>
              </w:rPr>
            </w:pPr>
          </w:p>
        </w:tc>
        <w:tc>
          <w:tcPr>
            <w:tcW w:w="653" w:type="dxa"/>
            <w:vMerge/>
            <w:tcBorders>
              <w:top w:val="single" w:sz="4" w:space="0" w:color="auto"/>
              <w:left w:val="single" w:sz="4" w:space="0" w:color="auto"/>
              <w:bottom w:val="single" w:sz="4" w:space="0" w:color="000000"/>
              <w:right w:val="single" w:sz="4" w:space="0" w:color="auto"/>
            </w:tcBorders>
            <w:vAlign w:val="center"/>
            <w:hideMark/>
          </w:tcPr>
          <w:p w:rsidR="006E149C" w:rsidRPr="006E149C" w:rsidRDefault="006E149C" w:rsidP="006E149C">
            <w:pPr>
              <w:spacing w:after="0" w:line="240" w:lineRule="auto"/>
              <w:rPr>
                <w:rFonts w:ascii="Calibri" w:eastAsia="Times New Roman" w:hAnsi="Calibri" w:cs="Calibri"/>
                <w:color w:val="000000"/>
                <w:sz w:val="20"/>
                <w:szCs w:val="20"/>
                <w:lang w:eastAsia="en-AU"/>
              </w:rPr>
            </w:pPr>
          </w:p>
        </w:tc>
        <w:tc>
          <w:tcPr>
            <w:tcW w:w="1134" w:type="dxa"/>
            <w:tcBorders>
              <w:top w:val="nil"/>
              <w:left w:val="nil"/>
              <w:bottom w:val="nil"/>
              <w:right w:val="nil"/>
            </w:tcBorders>
            <w:shd w:val="clear" w:color="auto" w:fill="auto"/>
            <w:vAlign w:val="bottom"/>
            <w:hideMark/>
          </w:tcPr>
          <w:p w:rsidR="006E149C" w:rsidRPr="006E149C" w:rsidRDefault="006E149C" w:rsidP="006E149C">
            <w:pPr>
              <w:spacing w:after="0" w:line="240" w:lineRule="auto"/>
              <w:jc w:val="cente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bottom"/>
            <w:hideMark/>
          </w:tcPr>
          <w:p w:rsidR="006E149C" w:rsidRPr="006E149C" w:rsidRDefault="006E149C" w:rsidP="006E149C">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vAlign w:val="bottom"/>
            <w:hideMark/>
          </w:tcPr>
          <w:p w:rsidR="006E149C" w:rsidRPr="006E149C" w:rsidRDefault="006E149C" w:rsidP="006E149C">
            <w:pPr>
              <w:spacing w:after="0" w:line="240" w:lineRule="auto"/>
              <w:rPr>
                <w:rFonts w:ascii="Times New Roman" w:eastAsia="Times New Roman" w:hAnsi="Times New Roman" w:cs="Times New Roman"/>
                <w:sz w:val="20"/>
                <w:szCs w:val="20"/>
                <w:lang w:eastAsia="en-AU"/>
              </w:rPr>
            </w:pPr>
          </w:p>
        </w:tc>
      </w:tr>
      <w:tr w:rsidR="006E149C" w:rsidRPr="006E149C" w:rsidTr="006E149C">
        <w:trPr>
          <w:trHeight w:val="827"/>
        </w:trPr>
        <w:tc>
          <w:tcPr>
            <w:tcW w:w="1277"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 xml:space="preserve">Malaria - Plasmodium vivax </w:t>
            </w:r>
          </w:p>
        </w:tc>
        <w:tc>
          <w:tcPr>
            <w:tcW w:w="1276"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 xml:space="preserve">Malaria - Plasmodium vivax </w:t>
            </w:r>
          </w:p>
        </w:tc>
        <w:tc>
          <w:tcPr>
            <w:tcW w:w="1275"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 xml:space="preserve">Malaria - Plasmodium vivax </w:t>
            </w:r>
          </w:p>
        </w:tc>
        <w:tc>
          <w:tcPr>
            <w:tcW w:w="1134"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 xml:space="preserve">Malaria - Plasmodium vivax </w:t>
            </w:r>
          </w:p>
        </w:tc>
        <w:tc>
          <w:tcPr>
            <w:tcW w:w="1134"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 xml:space="preserve">Malaria - Plasmodium vivax </w:t>
            </w:r>
          </w:p>
        </w:tc>
        <w:tc>
          <w:tcPr>
            <w:tcW w:w="1276"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 xml:space="preserve">Malaria - Plasmodium vivax </w:t>
            </w:r>
          </w:p>
        </w:tc>
        <w:tc>
          <w:tcPr>
            <w:tcW w:w="1276"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 xml:space="preserve">Malaria - Plasmodium </w:t>
            </w:r>
            <w:proofErr w:type="spellStart"/>
            <w:r w:rsidRPr="006E149C">
              <w:rPr>
                <w:rFonts w:ascii="Calibri" w:eastAsia="Times New Roman" w:hAnsi="Calibri" w:cs="Calibri"/>
                <w:color w:val="006100"/>
                <w:sz w:val="18"/>
                <w:szCs w:val="18"/>
                <w:lang w:eastAsia="en-AU"/>
              </w:rPr>
              <w:t>ovale</w:t>
            </w:r>
            <w:proofErr w:type="spellEnd"/>
            <w:r w:rsidRPr="006E149C">
              <w:rPr>
                <w:rFonts w:ascii="Calibri" w:eastAsia="Times New Roman" w:hAnsi="Calibri" w:cs="Calibri"/>
                <w:color w:val="006100"/>
                <w:sz w:val="18"/>
                <w:szCs w:val="18"/>
                <w:lang w:eastAsia="en-AU"/>
              </w:rPr>
              <w:t xml:space="preserve"> </w:t>
            </w:r>
          </w:p>
        </w:tc>
        <w:tc>
          <w:tcPr>
            <w:tcW w:w="1233"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 xml:space="preserve">Malaria - Plasmodium vivax </w:t>
            </w:r>
          </w:p>
        </w:tc>
        <w:tc>
          <w:tcPr>
            <w:tcW w:w="1183"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 xml:space="preserve">Malaria - Plasmodium vivax </w:t>
            </w:r>
          </w:p>
        </w:tc>
        <w:tc>
          <w:tcPr>
            <w:tcW w:w="1183"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 xml:space="preserve">Malaria - Plasmodium vivax </w:t>
            </w:r>
          </w:p>
        </w:tc>
        <w:tc>
          <w:tcPr>
            <w:tcW w:w="653" w:type="dxa"/>
            <w:tcBorders>
              <w:top w:val="nil"/>
              <w:left w:val="single" w:sz="4" w:space="0" w:color="auto"/>
              <w:bottom w:val="single" w:sz="4" w:space="0" w:color="auto"/>
              <w:right w:val="single" w:sz="4" w:space="0" w:color="auto"/>
            </w:tcBorders>
            <w:shd w:val="clear" w:color="000000" w:fill="F8CBAD"/>
            <w:textDirection w:val="tbRl"/>
            <w:vAlign w:val="center"/>
            <w:hideMark/>
          </w:tcPr>
          <w:p w:rsidR="006E149C" w:rsidRPr="006E149C" w:rsidRDefault="006E149C" w:rsidP="006E149C">
            <w:pPr>
              <w:spacing w:after="0" w:line="240" w:lineRule="auto"/>
              <w:jc w:val="center"/>
              <w:rPr>
                <w:rFonts w:ascii="Calibri" w:eastAsia="Times New Roman" w:hAnsi="Calibri" w:cs="Calibri"/>
                <w:color w:val="000000"/>
                <w:sz w:val="20"/>
                <w:szCs w:val="20"/>
                <w:lang w:eastAsia="en-AU"/>
              </w:rPr>
            </w:pPr>
            <w:r w:rsidRPr="006E149C">
              <w:rPr>
                <w:rFonts w:ascii="Calibri" w:eastAsia="Times New Roman" w:hAnsi="Calibri" w:cs="Calibri"/>
                <w:color w:val="000000"/>
                <w:sz w:val="20"/>
                <w:szCs w:val="20"/>
                <w:lang w:eastAsia="en-AU"/>
              </w:rPr>
              <w:t xml:space="preserve">Primary Diagnosis </w:t>
            </w:r>
          </w:p>
        </w:tc>
        <w:tc>
          <w:tcPr>
            <w:tcW w:w="1134" w:type="dxa"/>
            <w:tcBorders>
              <w:top w:val="nil"/>
              <w:left w:val="nil"/>
              <w:bottom w:val="nil"/>
              <w:right w:val="nil"/>
            </w:tcBorders>
            <w:shd w:val="clear" w:color="auto" w:fill="auto"/>
            <w:vAlign w:val="center"/>
            <w:hideMark/>
          </w:tcPr>
          <w:p w:rsidR="006E149C" w:rsidRPr="006E149C" w:rsidRDefault="006E149C" w:rsidP="006E149C">
            <w:pPr>
              <w:spacing w:after="0" w:line="240" w:lineRule="auto"/>
              <w:jc w:val="center"/>
              <w:rPr>
                <w:rFonts w:ascii="Calibri" w:eastAsia="Times New Roman" w:hAnsi="Calibri" w:cs="Calibri"/>
                <w:b/>
                <w:bCs/>
                <w:color w:val="000000"/>
                <w:sz w:val="18"/>
                <w:szCs w:val="18"/>
                <w:lang w:eastAsia="en-AU"/>
              </w:rPr>
            </w:pPr>
            <w:r w:rsidRPr="006E149C">
              <w:rPr>
                <w:rFonts w:ascii="Calibri" w:eastAsia="Times New Roman" w:hAnsi="Calibri" w:cs="Calibri"/>
                <w:b/>
                <w:bCs/>
                <w:color w:val="000000"/>
                <w:sz w:val="18"/>
                <w:szCs w:val="18"/>
                <w:lang w:eastAsia="en-AU"/>
              </w:rPr>
              <w:t xml:space="preserve">Not assessed </w:t>
            </w:r>
          </w:p>
        </w:tc>
        <w:tc>
          <w:tcPr>
            <w:tcW w:w="1134"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 xml:space="preserve">Malaria - Plasmodium </w:t>
            </w:r>
            <w:proofErr w:type="spellStart"/>
            <w:r w:rsidRPr="006E149C">
              <w:rPr>
                <w:rFonts w:ascii="Calibri" w:eastAsia="Times New Roman" w:hAnsi="Calibri" w:cs="Calibri"/>
                <w:color w:val="006100"/>
                <w:sz w:val="18"/>
                <w:szCs w:val="18"/>
                <w:lang w:eastAsia="en-AU"/>
              </w:rPr>
              <w:t>ovale</w:t>
            </w:r>
            <w:proofErr w:type="spellEnd"/>
            <w:r w:rsidRPr="006E149C">
              <w:rPr>
                <w:rFonts w:ascii="Calibri" w:eastAsia="Times New Roman" w:hAnsi="Calibri" w:cs="Calibri"/>
                <w:color w:val="006100"/>
                <w:sz w:val="18"/>
                <w:szCs w:val="18"/>
                <w:lang w:eastAsia="en-AU"/>
              </w:rPr>
              <w:t xml:space="preserve"> </w:t>
            </w:r>
          </w:p>
        </w:tc>
        <w:tc>
          <w:tcPr>
            <w:tcW w:w="1276" w:type="dxa"/>
            <w:tcBorders>
              <w:top w:val="nil"/>
              <w:left w:val="nil"/>
              <w:bottom w:val="nil"/>
              <w:right w:val="nil"/>
            </w:tcBorders>
            <w:shd w:val="clear" w:color="000000" w:fill="C6EFCE"/>
            <w:vAlign w:val="bottom"/>
            <w:hideMark/>
          </w:tcPr>
          <w:p w:rsidR="006E149C" w:rsidRPr="006E149C" w:rsidRDefault="006E149C" w:rsidP="006E149C">
            <w:pPr>
              <w:spacing w:after="0" w:line="240" w:lineRule="auto"/>
              <w:jc w:val="center"/>
              <w:rPr>
                <w:rFonts w:ascii="Calibri" w:eastAsia="Times New Roman" w:hAnsi="Calibri" w:cs="Calibri"/>
                <w:color w:val="006100"/>
                <w:sz w:val="18"/>
                <w:szCs w:val="18"/>
                <w:lang w:eastAsia="en-AU"/>
              </w:rPr>
            </w:pPr>
            <w:r w:rsidRPr="006E149C">
              <w:rPr>
                <w:rFonts w:ascii="Calibri" w:eastAsia="Times New Roman" w:hAnsi="Calibri" w:cs="Calibri"/>
                <w:color w:val="006100"/>
                <w:sz w:val="18"/>
                <w:szCs w:val="18"/>
                <w:lang w:eastAsia="en-AU"/>
              </w:rPr>
              <w:t xml:space="preserve">Malaria - Plasmodium vivax </w:t>
            </w:r>
          </w:p>
        </w:tc>
      </w:tr>
    </w:tbl>
    <w:p w:rsidR="006E149C" w:rsidRDefault="006E149C"/>
    <w:p w:rsidR="0028211C" w:rsidRDefault="0028211C"/>
    <w:p w:rsidR="0028211C" w:rsidRDefault="0028211C"/>
    <w:p w:rsidR="0028211C" w:rsidRDefault="0028211C"/>
    <w:p w:rsidR="0028211C" w:rsidRDefault="0028211C"/>
    <w:p w:rsidR="006E149C" w:rsidRDefault="006E149C">
      <w:pPr>
        <w:rPr>
          <w:noProof/>
        </w:rPr>
        <w:sectPr w:rsidR="006E149C" w:rsidSect="0028211C">
          <w:pgSz w:w="16838" w:h="11906" w:orient="landscape"/>
          <w:pgMar w:top="720" w:right="720" w:bottom="720" w:left="720" w:header="708" w:footer="708" w:gutter="0"/>
          <w:cols w:space="708"/>
          <w:docGrid w:linePitch="360"/>
        </w:sectPr>
      </w:pPr>
    </w:p>
    <w:p w:rsidR="006E149C" w:rsidRDefault="006E149C">
      <w:pPr>
        <w:rPr>
          <w:noProof/>
        </w:rPr>
      </w:pPr>
    </w:p>
    <w:p w:rsidR="006E149C" w:rsidRDefault="006E149C" w:rsidP="006E149C">
      <w:pPr>
        <w:rPr>
          <w:rFonts w:ascii="Arial" w:hAnsi="Arial" w:cs="Arial"/>
          <w:sz w:val="34"/>
          <w:szCs w:val="34"/>
          <w:shd w:val="clear" w:color="auto" w:fill="FFFFFF"/>
        </w:rPr>
      </w:pPr>
      <w:r>
        <w:rPr>
          <w:rFonts w:ascii="Arial" w:hAnsi="Arial" w:cs="Arial"/>
          <w:sz w:val="34"/>
          <w:szCs w:val="34"/>
          <w:shd w:val="clear" w:color="auto" w:fill="FFFFFF"/>
        </w:rPr>
        <w:t>HA-MA-22-01</w:t>
      </w:r>
    </w:p>
    <w:p w:rsidR="006E149C" w:rsidRDefault="006E149C">
      <w:pPr>
        <w:rPr>
          <w:noProof/>
        </w:rPr>
      </w:pPr>
    </w:p>
    <w:p w:rsidR="00972F0F" w:rsidRDefault="002D3DF0">
      <w:r>
        <w:rPr>
          <w:noProof/>
        </w:rPr>
        <w:drawing>
          <wp:inline distT="0" distB="0" distL="0" distR="0">
            <wp:extent cx="5486400" cy="2266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266950"/>
                    </a:xfrm>
                    <a:prstGeom prst="rect">
                      <a:avLst/>
                    </a:prstGeom>
                    <a:noFill/>
                    <a:ln>
                      <a:noFill/>
                    </a:ln>
                  </pic:spPr>
                </pic:pic>
              </a:graphicData>
            </a:graphic>
          </wp:inline>
        </w:drawing>
      </w:r>
    </w:p>
    <w:p w:rsidR="00972F0F" w:rsidRDefault="00972F0F">
      <w:r>
        <w:rPr>
          <w:noProof/>
        </w:rPr>
        <w:drawing>
          <wp:inline distT="0" distB="0" distL="0" distR="0">
            <wp:extent cx="5724525" cy="2990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2990850"/>
                    </a:xfrm>
                    <a:prstGeom prst="rect">
                      <a:avLst/>
                    </a:prstGeom>
                    <a:noFill/>
                    <a:ln>
                      <a:noFill/>
                    </a:ln>
                  </pic:spPr>
                </pic:pic>
              </a:graphicData>
            </a:graphic>
          </wp:inline>
        </w:drawing>
      </w:r>
    </w:p>
    <w:p w:rsidR="00972F0F" w:rsidRDefault="00972F0F">
      <w:r>
        <w:rPr>
          <w:noProof/>
        </w:rPr>
        <w:drawing>
          <wp:inline distT="0" distB="0" distL="0" distR="0" wp14:anchorId="2216E912" wp14:editId="6B001DB3">
            <wp:extent cx="4953000" cy="2352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3000" cy="2352675"/>
                    </a:xfrm>
                    <a:prstGeom prst="rect">
                      <a:avLst/>
                    </a:prstGeom>
                  </pic:spPr>
                </pic:pic>
              </a:graphicData>
            </a:graphic>
          </wp:inline>
        </w:drawing>
      </w:r>
    </w:p>
    <w:p w:rsidR="00972F0F" w:rsidRDefault="00972F0F">
      <w:r>
        <w:rPr>
          <w:noProof/>
        </w:rPr>
        <w:lastRenderedPageBreak/>
        <w:drawing>
          <wp:inline distT="0" distB="0" distL="0" distR="0" wp14:anchorId="260F3D5D" wp14:editId="766D567B">
            <wp:extent cx="3189153" cy="2038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5423" cy="2042358"/>
                    </a:xfrm>
                    <a:prstGeom prst="rect">
                      <a:avLst/>
                    </a:prstGeom>
                  </pic:spPr>
                </pic:pic>
              </a:graphicData>
            </a:graphic>
          </wp:inline>
        </w:drawing>
      </w:r>
    </w:p>
    <w:p w:rsidR="00972F0F" w:rsidRDefault="00972F0F">
      <w:r>
        <w:rPr>
          <w:noProof/>
        </w:rPr>
        <w:drawing>
          <wp:inline distT="0" distB="0" distL="0" distR="0" wp14:anchorId="09557EB6" wp14:editId="5E825C55">
            <wp:extent cx="4572000" cy="2209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000" cy="2209800"/>
                    </a:xfrm>
                    <a:prstGeom prst="rect">
                      <a:avLst/>
                    </a:prstGeom>
                  </pic:spPr>
                </pic:pic>
              </a:graphicData>
            </a:graphic>
          </wp:inline>
        </w:drawing>
      </w:r>
    </w:p>
    <w:p w:rsidR="00972F0F" w:rsidRDefault="00972F0F">
      <w:r>
        <w:rPr>
          <w:noProof/>
        </w:rPr>
        <w:drawing>
          <wp:inline distT="0" distB="0" distL="0" distR="0" wp14:anchorId="712AB9E4" wp14:editId="26F80255">
            <wp:extent cx="5731510" cy="525589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5255895"/>
                    </a:xfrm>
                    <a:prstGeom prst="rect">
                      <a:avLst/>
                    </a:prstGeom>
                  </pic:spPr>
                </pic:pic>
              </a:graphicData>
            </a:graphic>
          </wp:inline>
        </w:drawing>
      </w:r>
    </w:p>
    <w:p w:rsidR="00972F0F" w:rsidRDefault="00972F0F">
      <w:r>
        <w:rPr>
          <w:noProof/>
        </w:rPr>
        <w:lastRenderedPageBreak/>
        <w:drawing>
          <wp:inline distT="0" distB="0" distL="0" distR="0" wp14:anchorId="3AFEBBA3" wp14:editId="4B24EB41">
            <wp:extent cx="7723505" cy="184075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777668" cy="1853667"/>
                    </a:xfrm>
                    <a:prstGeom prst="rect">
                      <a:avLst/>
                    </a:prstGeom>
                  </pic:spPr>
                </pic:pic>
              </a:graphicData>
            </a:graphic>
          </wp:inline>
        </w:drawing>
      </w:r>
    </w:p>
    <w:p w:rsidR="00972F0F" w:rsidRDefault="00972F0F">
      <w:r>
        <w:rPr>
          <w:noProof/>
        </w:rPr>
        <w:drawing>
          <wp:inline distT="0" distB="0" distL="0" distR="0" wp14:anchorId="1EA8EF2B" wp14:editId="23851678">
            <wp:extent cx="7086600" cy="9500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154112" cy="959060"/>
                    </a:xfrm>
                    <a:prstGeom prst="rect">
                      <a:avLst/>
                    </a:prstGeom>
                  </pic:spPr>
                </pic:pic>
              </a:graphicData>
            </a:graphic>
          </wp:inline>
        </w:drawing>
      </w:r>
    </w:p>
    <w:p w:rsidR="006E149C" w:rsidRDefault="00972F0F" w:rsidP="00972F0F">
      <w:pPr>
        <w:shd w:val="clear" w:color="auto" w:fill="FFFFFF"/>
        <w:spacing w:after="0" w:line="240" w:lineRule="auto"/>
        <w:rPr>
          <w:rFonts w:ascii="Arial" w:eastAsia="Times New Roman" w:hAnsi="Arial" w:cs="Arial"/>
          <w:b/>
          <w:sz w:val="24"/>
          <w:lang w:eastAsia="en-AU"/>
        </w:rPr>
      </w:pPr>
      <w:r w:rsidRPr="00972F0F">
        <w:rPr>
          <w:rFonts w:ascii="Arial" w:eastAsia="Times New Roman" w:hAnsi="Arial" w:cs="Arial"/>
          <w:b/>
          <w:sz w:val="24"/>
          <w:lang w:eastAsia="en-AU"/>
        </w:rPr>
        <w:t xml:space="preserve">Case Study HA-MA-22-02: Plasmodium falciparum+ Plasmodium </w:t>
      </w:r>
      <w:proofErr w:type="spellStart"/>
      <w:r w:rsidRPr="00972F0F">
        <w:rPr>
          <w:rFonts w:ascii="Arial" w:eastAsia="Times New Roman" w:hAnsi="Arial" w:cs="Arial"/>
          <w:b/>
          <w:sz w:val="24"/>
          <w:lang w:eastAsia="en-AU"/>
        </w:rPr>
        <w:t>malariae</w:t>
      </w:r>
      <w:proofErr w:type="spellEnd"/>
    </w:p>
    <w:p w:rsidR="006E149C" w:rsidRDefault="00972F0F" w:rsidP="00972F0F">
      <w:pPr>
        <w:shd w:val="clear" w:color="auto" w:fill="FFFFFF"/>
        <w:spacing w:after="0" w:line="240" w:lineRule="auto"/>
        <w:rPr>
          <w:rFonts w:ascii="Arial" w:eastAsia="Times New Roman" w:hAnsi="Arial" w:cs="Arial"/>
          <w:sz w:val="20"/>
          <w:szCs w:val="20"/>
          <w:lang w:eastAsia="en-AU"/>
        </w:rPr>
      </w:pPr>
      <w:r w:rsidRPr="00972F0F">
        <w:rPr>
          <w:rFonts w:ascii="Arial" w:eastAsia="Times New Roman" w:hAnsi="Arial" w:cs="Arial"/>
          <w:sz w:val="20"/>
          <w:szCs w:val="20"/>
          <w:lang w:eastAsia="en-AU"/>
        </w:rPr>
        <w:t>Features on the thin and thick films identifying Plasmodium falciparum:</w:t>
      </w:r>
    </w:p>
    <w:p w:rsidR="006E149C" w:rsidRDefault="00972F0F" w:rsidP="00972F0F">
      <w:pPr>
        <w:shd w:val="clear" w:color="auto" w:fill="FFFFFF"/>
        <w:spacing w:after="0" w:line="240" w:lineRule="auto"/>
        <w:rPr>
          <w:rFonts w:ascii="Arial" w:eastAsia="Times New Roman" w:hAnsi="Arial" w:cs="Arial"/>
          <w:sz w:val="20"/>
          <w:szCs w:val="20"/>
          <w:lang w:eastAsia="en-AU"/>
        </w:rPr>
      </w:pPr>
      <w:r w:rsidRPr="00972F0F">
        <w:rPr>
          <w:rFonts w:ascii="Arial" w:eastAsia="Times New Roman" w:hAnsi="Arial" w:cs="Arial"/>
          <w:sz w:val="20"/>
          <w:szCs w:val="20"/>
          <w:lang w:eastAsia="en-AU"/>
        </w:rPr>
        <w:t>1.The characteristic crescent or banana shaped gametocytes were easily seen in both the thick and thin films. An occasional gametocyte exhibiting Laveran’s bib is also present on the thin film.</w:t>
      </w:r>
    </w:p>
    <w:p w:rsidR="006E149C" w:rsidRDefault="00972F0F" w:rsidP="00972F0F">
      <w:pPr>
        <w:shd w:val="clear" w:color="auto" w:fill="FFFFFF"/>
        <w:spacing w:after="0" w:line="240" w:lineRule="auto"/>
        <w:rPr>
          <w:rFonts w:ascii="Arial" w:eastAsia="Times New Roman" w:hAnsi="Arial" w:cs="Arial"/>
          <w:sz w:val="20"/>
          <w:szCs w:val="20"/>
          <w:lang w:eastAsia="en-AU"/>
        </w:rPr>
      </w:pPr>
      <w:r w:rsidRPr="00972F0F">
        <w:rPr>
          <w:rFonts w:ascii="Arial" w:eastAsia="Times New Roman" w:hAnsi="Arial" w:cs="Arial"/>
          <w:sz w:val="20"/>
          <w:szCs w:val="20"/>
          <w:lang w:eastAsia="en-AU"/>
        </w:rPr>
        <w:t>2.The infected red cells are not enlarged compared to the uninfected red cells.</w:t>
      </w:r>
    </w:p>
    <w:p w:rsidR="006E149C" w:rsidRDefault="00972F0F" w:rsidP="00972F0F">
      <w:pPr>
        <w:shd w:val="clear" w:color="auto" w:fill="FFFFFF"/>
        <w:spacing w:after="0" w:line="240" w:lineRule="auto"/>
        <w:rPr>
          <w:rFonts w:ascii="Arial" w:eastAsia="Times New Roman" w:hAnsi="Arial" w:cs="Arial"/>
          <w:sz w:val="20"/>
          <w:szCs w:val="20"/>
          <w:lang w:eastAsia="en-AU"/>
        </w:rPr>
      </w:pPr>
      <w:r w:rsidRPr="00972F0F">
        <w:rPr>
          <w:rFonts w:ascii="Arial" w:eastAsia="Times New Roman" w:hAnsi="Arial" w:cs="Arial"/>
          <w:sz w:val="20"/>
          <w:szCs w:val="20"/>
          <w:lang w:eastAsia="en-AU"/>
        </w:rPr>
        <w:t>3.Rare ring forms</w:t>
      </w:r>
      <w:r w:rsidR="006E149C">
        <w:rPr>
          <w:rFonts w:ascii="Arial" w:eastAsia="Times New Roman" w:hAnsi="Arial" w:cs="Arial"/>
          <w:sz w:val="20"/>
          <w:szCs w:val="20"/>
          <w:lang w:eastAsia="en-AU"/>
        </w:rPr>
        <w:t xml:space="preserve"> </w:t>
      </w:r>
      <w:r w:rsidRPr="00972F0F">
        <w:rPr>
          <w:rFonts w:ascii="Arial" w:eastAsia="Times New Roman" w:hAnsi="Arial" w:cs="Arial"/>
          <w:sz w:val="20"/>
          <w:szCs w:val="20"/>
          <w:lang w:eastAsia="en-AU"/>
        </w:rPr>
        <w:t>can be easily identified particularly on the thin film.</w:t>
      </w:r>
    </w:p>
    <w:p w:rsidR="006E149C" w:rsidRDefault="00972F0F" w:rsidP="00972F0F">
      <w:pPr>
        <w:shd w:val="clear" w:color="auto" w:fill="FFFFFF"/>
        <w:spacing w:after="0" w:line="240" w:lineRule="auto"/>
        <w:rPr>
          <w:rFonts w:ascii="Arial" w:eastAsia="Times New Roman" w:hAnsi="Arial" w:cs="Arial"/>
          <w:sz w:val="20"/>
          <w:szCs w:val="20"/>
          <w:lang w:eastAsia="en-AU"/>
        </w:rPr>
      </w:pPr>
      <w:r w:rsidRPr="00972F0F">
        <w:rPr>
          <w:rFonts w:ascii="Arial" w:eastAsia="Times New Roman" w:hAnsi="Arial" w:cs="Arial"/>
          <w:sz w:val="20"/>
          <w:szCs w:val="20"/>
          <w:lang w:eastAsia="en-AU"/>
        </w:rPr>
        <w:t>4.Maurer's clefts were visible in the few trophozoites seen. As it was not a prominent feature it was not given a score.</w:t>
      </w:r>
    </w:p>
    <w:p w:rsidR="006E149C" w:rsidRDefault="00972F0F" w:rsidP="00972F0F">
      <w:pPr>
        <w:shd w:val="clear" w:color="auto" w:fill="FFFFFF"/>
        <w:spacing w:after="0" w:line="240" w:lineRule="auto"/>
        <w:rPr>
          <w:rFonts w:ascii="Arial" w:eastAsia="Times New Roman" w:hAnsi="Arial" w:cs="Arial"/>
          <w:sz w:val="20"/>
          <w:szCs w:val="20"/>
          <w:lang w:eastAsia="en-AU"/>
        </w:rPr>
      </w:pPr>
      <w:r w:rsidRPr="00972F0F">
        <w:rPr>
          <w:rFonts w:ascii="Arial" w:eastAsia="Times New Roman" w:hAnsi="Arial" w:cs="Arial"/>
          <w:sz w:val="20"/>
          <w:szCs w:val="20"/>
          <w:lang w:eastAsia="en-AU"/>
        </w:rPr>
        <w:t xml:space="preserve">Features on the thin and thick films that identify Plasmodium </w:t>
      </w:r>
      <w:proofErr w:type="spellStart"/>
      <w:r w:rsidRPr="00972F0F">
        <w:rPr>
          <w:rFonts w:ascii="Arial" w:eastAsia="Times New Roman" w:hAnsi="Arial" w:cs="Arial"/>
          <w:sz w:val="20"/>
          <w:szCs w:val="20"/>
          <w:lang w:eastAsia="en-AU"/>
        </w:rPr>
        <w:t>malariae</w:t>
      </w:r>
      <w:proofErr w:type="spellEnd"/>
      <w:r w:rsidRPr="00972F0F">
        <w:rPr>
          <w:rFonts w:ascii="Arial" w:eastAsia="Times New Roman" w:hAnsi="Arial" w:cs="Arial"/>
          <w:sz w:val="20"/>
          <w:szCs w:val="20"/>
          <w:lang w:eastAsia="en-AU"/>
        </w:rPr>
        <w:t>:</w:t>
      </w:r>
    </w:p>
    <w:p w:rsidR="00972F0F" w:rsidRDefault="00972F0F" w:rsidP="00972F0F">
      <w:pPr>
        <w:shd w:val="clear" w:color="auto" w:fill="FFFFFF"/>
        <w:spacing w:after="0" w:line="240" w:lineRule="auto"/>
        <w:rPr>
          <w:rFonts w:ascii="Arial" w:eastAsia="Times New Roman" w:hAnsi="Arial" w:cs="Arial"/>
          <w:sz w:val="20"/>
          <w:szCs w:val="20"/>
          <w:lang w:eastAsia="en-AU"/>
        </w:rPr>
      </w:pPr>
      <w:r w:rsidRPr="00972F0F">
        <w:rPr>
          <w:rFonts w:ascii="Arial" w:eastAsia="Times New Roman" w:hAnsi="Arial" w:cs="Arial"/>
          <w:sz w:val="20"/>
          <w:szCs w:val="20"/>
          <w:lang w:eastAsia="en-AU"/>
        </w:rPr>
        <w:t>1.The infected red cells are smaller than the uninfected red cells. The host red cells look darker with the early trophozoites but become paler as the trophozoites grow.</w:t>
      </w:r>
    </w:p>
    <w:p w:rsidR="00972F0F" w:rsidRDefault="00972F0F" w:rsidP="00972F0F">
      <w:pPr>
        <w:shd w:val="clear" w:color="auto" w:fill="FFFFFF"/>
        <w:spacing w:after="0" w:line="240" w:lineRule="auto"/>
        <w:rPr>
          <w:rFonts w:ascii="Arial" w:eastAsia="Times New Roman" w:hAnsi="Arial" w:cs="Arial"/>
          <w:sz w:val="20"/>
          <w:szCs w:val="20"/>
          <w:lang w:eastAsia="en-AU"/>
        </w:rPr>
      </w:pPr>
      <w:r w:rsidRPr="00972F0F">
        <w:rPr>
          <w:rFonts w:ascii="Arial" w:eastAsia="Times New Roman" w:hAnsi="Arial" w:cs="Arial"/>
          <w:sz w:val="20"/>
          <w:szCs w:val="20"/>
          <w:lang w:eastAsia="en-AU"/>
        </w:rPr>
        <w:t xml:space="preserve">2.There are band or equatorial forms present -especially towards the tail of the film. These are not exclusive to </w:t>
      </w:r>
      <w:proofErr w:type="spellStart"/>
      <w:proofErr w:type="gramStart"/>
      <w:r w:rsidRPr="00972F0F">
        <w:rPr>
          <w:rFonts w:ascii="Arial" w:eastAsia="Times New Roman" w:hAnsi="Arial" w:cs="Arial"/>
          <w:sz w:val="20"/>
          <w:szCs w:val="20"/>
          <w:lang w:eastAsia="en-AU"/>
        </w:rPr>
        <w:t>P.malariae</w:t>
      </w:r>
      <w:proofErr w:type="spellEnd"/>
      <w:proofErr w:type="gramEnd"/>
      <w:r w:rsidRPr="00972F0F">
        <w:rPr>
          <w:rFonts w:ascii="Arial" w:eastAsia="Times New Roman" w:hAnsi="Arial" w:cs="Arial"/>
          <w:sz w:val="20"/>
          <w:szCs w:val="20"/>
          <w:lang w:eastAsia="en-AU"/>
        </w:rPr>
        <w:t xml:space="preserve"> but are often a feature. </w:t>
      </w:r>
    </w:p>
    <w:p w:rsidR="00972F0F" w:rsidRDefault="00972F0F" w:rsidP="00972F0F">
      <w:pPr>
        <w:shd w:val="clear" w:color="auto" w:fill="FFFFFF"/>
        <w:spacing w:after="0" w:line="240" w:lineRule="auto"/>
        <w:rPr>
          <w:rFonts w:ascii="Arial" w:eastAsia="Times New Roman" w:hAnsi="Arial" w:cs="Arial"/>
          <w:sz w:val="20"/>
          <w:szCs w:val="20"/>
          <w:lang w:eastAsia="en-AU"/>
        </w:rPr>
      </w:pPr>
      <w:r w:rsidRPr="00972F0F">
        <w:rPr>
          <w:rFonts w:ascii="Arial" w:eastAsia="Times New Roman" w:hAnsi="Arial" w:cs="Arial"/>
          <w:sz w:val="20"/>
          <w:szCs w:val="20"/>
          <w:lang w:eastAsia="en-AU"/>
        </w:rPr>
        <w:t xml:space="preserve">3.There is heavy malaria pigment in all the stages. In the early trophozoites it is finer but increases as the parasite grows. In the early schizonts it is present in clumps throughout the host red cell cytoplasm, but as the merozoites form the pigment coalesces into the centre of the cell to form the characteristic "daisy" arrangement. </w:t>
      </w:r>
    </w:p>
    <w:p w:rsidR="00972F0F" w:rsidRDefault="00972F0F" w:rsidP="00972F0F">
      <w:pPr>
        <w:shd w:val="clear" w:color="auto" w:fill="FFFFFF"/>
        <w:spacing w:after="0" w:line="240" w:lineRule="auto"/>
        <w:rPr>
          <w:rFonts w:ascii="Arial" w:eastAsia="Times New Roman" w:hAnsi="Arial" w:cs="Arial"/>
          <w:sz w:val="20"/>
          <w:szCs w:val="20"/>
          <w:lang w:eastAsia="en-AU"/>
        </w:rPr>
      </w:pPr>
      <w:r w:rsidRPr="00972F0F">
        <w:rPr>
          <w:rFonts w:ascii="Arial" w:eastAsia="Times New Roman" w:hAnsi="Arial" w:cs="Arial"/>
          <w:sz w:val="20"/>
          <w:szCs w:val="20"/>
          <w:lang w:eastAsia="en-AU"/>
        </w:rPr>
        <w:t>4.There are all stages present in the thick and thin films. Most prominently there were schizonts on thick and thin film as well as the developing trophozoites. The</w:t>
      </w:r>
      <w:r>
        <w:rPr>
          <w:rFonts w:ascii="Arial" w:eastAsia="Times New Roman" w:hAnsi="Arial" w:cs="Arial"/>
          <w:sz w:val="20"/>
          <w:szCs w:val="20"/>
          <w:lang w:eastAsia="en-AU"/>
        </w:rPr>
        <w:t xml:space="preserve"> </w:t>
      </w:r>
      <w:r w:rsidRPr="00972F0F">
        <w:rPr>
          <w:rFonts w:ascii="Arial" w:eastAsia="Times New Roman" w:hAnsi="Arial" w:cs="Arial"/>
          <w:sz w:val="20"/>
          <w:szCs w:val="20"/>
          <w:lang w:eastAsia="en-AU"/>
        </w:rPr>
        <w:t>gametocytes were generally round with scattered brown pigment and almost filled the infected red cell.</w:t>
      </w:r>
    </w:p>
    <w:p w:rsidR="00972F0F" w:rsidRPr="00972F0F" w:rsidRDefault="00972F0F" w:rsidP="00972F0F">
      <w:pPr>
        <w:shd w:val="clear" w:color="auto" w:fill="FFFFFF"/>
        <w:spacing w:after="0" w:line="240" w:lineRule="auto"/>
        <w:rPr>
          <w:rFonts w:ascii="Arial" w:eastAsia="Times New Roman" w:hAnsi="Arial" w:cs="Arial"/>
          <w:sz w:val="20"/>
          <w:szCs w:val="20"/>
          <w:lang w:eastAsia="en-AU"/>
        </w:rPr>
      </w:pPr>
      <w:r w:rsidRPr="00972F0F">
        <w:rPr>
          <w:rFonts w:ascii="Arial" w:eastAsia="Times New Roman" w:hAnsi="Arial" w:cs="Arial"/>
          <w:sz w:val="20"/>
          <w:szCs w:val="20"/>
          <w:lang w:eastAsia="en-AU"/>
        </w:rPr>
        <w:t>5.The cytoplasm of the early trophozoites is quite thick and in most cases very irregular with only a few trophozoites exhibiting a "ring" shape.</w:t>
      </w:r>
    </w:p>
    <w:p w:rsidR="00972F0F" w:rsidRDefault="00972F0F"/>
    <w:p w:rsidR="006E149C" w:rsidRDefault="006E149C">
      <w:pPr>
        <w:rPr>
          <w:rFonts w:ascii="Arial" w:hAnsi="Arial" w:cs="Arial"/>
          <w:sz w:val="34"/>
          <w:szCs w:val="34"/>
          <w:shd w:val="clear" w:color="auto" w:fill="FFFFFF"/>
        </w:rPr>
        <w:sectPr w:rsidR="006E149C" w:rsidSect="006E149C">
          <w:pgSz w:w="11906" w:h="16838"/>
          <w:pgMar w:top="720" w:right="720" w:bottom="720" w:left="720" w:header="708" w:footer="708" w:gutter="0"/>
          <w:cols w:space="708"/>
          <w:docGrid w:linePitch="360"/>
        </w:sectPr>
      </w:pPr>
    </w:p>
    <w:tbl>
      <w:tblPr>
        <w:tblW w:w="15720" w:type="dxa"/>
        <w:tblLook w:val="04A0" w:firstRow="1" w:lastRow="0" w:firstColumn="1" w:lastColumn="0" w:noHBand="0" w:noVBand="1"/>
      </w:tblPr>
      <w:tblGrid>
        <w:gridCol w:w="860"/>
        <w:gridCol w:w="1201"/>
        <w:gridCol w:w="1201"/>
        <w:gridCol w:w="1201"/>
        <w:gridCol w:w="1201"/>
        <w:gridCol w:w="1201"/>
        <w:gridCol w:w="1201"/>
        <w:gridCol w:w="448"/>
        <w:gridCol w:w="1201"/>
        <w:gridCol w:w="1201"/>
        <w:gridCol w:w="1201"/>
        <w:gridCol w:w="1201"/>
        <w:gridCol w:w="1201"/>
        <w:gridCol w:w="1201"/>
      </w:tblGrid>
      <w:tr w:rsidR="00F74595" w:rsidRPr="00F74595" w:rsidTr="00F74595">
        <w:trPr>
          <w:trHeight w:val="422"/>
        </w:trPr>
        <w:tc>
          <w:tcPr>
            <w:tcW w:w="860" w:type="dxa"/>
            <w:tcBorders>
              <w:top w:val="nil"/>
              <w:left w:val="nil"/>
              <w:bottom w:val="nil"/>
              <w:right w:val="nil"/>
            </w:tcBorders>
            <w:shd w:val="clear" w:color="auto" w:fill="auto"/>
            <w:vAlign w:val="bottom"/>
            <w:hideMark/>
          </w:tcPr>
          <w:p w:rsidR="00F74595" w:rsidRPr="00F74595" w:rsidRDefault="00F74595" w:rsidP="00F74595">
            <w:pPr>
              <w:spacing w:after="0" w:line="240" w:lineRule="auto"/>
              <w:rPr>
                <w:rFonts w:ascii="Times New Roman" w:eastAsia="Times New Roman" w:hAnsi="Times New Roman" w:cs="Times New Roman"/>
                <w:sz w:val="24"/>
                <w:szCs w:val="24"/>
                <w:lang w:eastAsia="en-AU"/>
              </w:rPr>
            </w:pPr>
          </w:p>
        </w:tc>
        <w:tc>
          <w:tcPr>
            <w:tcW w:w="2402" w:type="dxa"/>
            <w:gridSpan w:val="2"/>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b/>
                <w:color w:val="000000"/>
                <w:sz w:val="18"/>
                <w:szCs w:val="18"/>
                <w:lang w:eastAsia="en-AU"/>
              </w:rPr>
            </w:pPr>
            <w:r w:rsidRPr="00F74595">
              <w:rPr>
                <w:rFonts w:ascii="Calibri" w:eastAsia="Times New Roman" w:hAnsi="Calibri" w:cs="Calibri"/>
                <w:b/>
                <w:color w:val="000000"/>
                <w:sz w:val="18"/>
                <w:szCs w:val="18"/>
                <w:lang w:eastAsia="en-AU"/>
              </w:rPr>
              <w:t>HA-MA-22-02</w:t>
            </w:r>
          </w:p>
          <w:p w:rsidR="00F74595" w:rsidRPr="00F74595" w:rsidRDefault="00F74595" w:rsidP="00F74595">
            <w:pPr>
              <w:spacing w:after="0" w:line="240" w:lineRule="auto"/>
              <w:rPr>
                <w:rFonts w:ascii="Calibri" w:eastAsia="Times New Roman" w:hAnsi="Calibri" w:cs="Calibri"/>
                <w:b/>
                <w:color w:val="000000"/>
                <w:sz w:val="18"/>
                <w:szCs w:val="18"/>
                <w:lang w:eastAsia="en-AU"/>
              </w:rPr>
            </w:pPr>
            <w:r w:rsidRPr="00F74595">
              <w:rPr>
                <w:rFonts w:ascii="Calibri" w:eastAsia="Times New Roman" w:hAnsi="Calibri" w:cs="Calibri"/>
                <w:b/>
                <w:color w:val="000000"/>
                <w:sz w:val="18"/>
                <w:szCs w:val="18"/>
                <w:lang w:eastAsia="en-AU"/>
              </w:rPr>
              <w:t> </w:t>
            </w:r>
          </w:p>
        </w:tc>
        <w:tc>
          <w:tcPr>
            <w:tcW w:w="1201" w:type="dxa"/>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1201" w:type="dxa"/>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1201" w:type="dxa"/>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1201" w:type="dxa"/>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448" w:type="dxa"/>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1201" w:type="dxa"/>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1201" w:type="dxa"/>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1201" w:type="dxa"/>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1201" w:type="dxa"/>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1201" w:type="dxa"/>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1201" w:type="dxa"/>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r>
      <w:tr w:rsidR="00F74595" w:rsidRPr="00F74595" w:rsidTr="00F74595">
        <w:trPr>
          <w:trHeight w:val="1056"/>
        </w:trPr>
        <w:tc>
          <w:tcPr>
            <w:tcW w:w="860" w:type="dxa"/>
            <w:vMerge w:val="restart"/>
            <w:tcBorders>
              <w:top w:val="single" w:sz="4" w:space="0" w:color="auto"/>
              <w:left w:val="single" w:sz="4" w:space="0" w:color="auto"/>
              <w:bottom w:val="single" w:sz="4" w:space="0" w:color="000000"/>
              <w:right w:val="single" w:sz="4" w:space="0" w:color="auto"/>
            </w:tcBorders>
            <w:shd w:val="clear" w:color="000000" w:fill="FFCCFF"/>
            <w:textDirection w:val="tbRl"/>
            <w:vAlign w:val="center"/>
            <w:hideMark/>
          </w:tcPr>
          <w:p w:rsidR="00F74595" w:rsidRPr="00F74595" w:rsidRDefault="00F74595" w:rsidP="00F74595">
            <w:pPr>
              <w:spacing w:after="0" w:line="240" w:lineRule="auto"/>
              <w:jc w:val="center"/>
              <w:rPr>
                <w:rFonts w:ascii="Calibri" w:eastAsia="Times New Roman" w:hAnsi="Calibri" w:cs="Calibri"/>
                <w:color w:val="000000"/>
                <w:sz w:val="20"/>
                <w:szCs w:val="20"/>
                <w:lang w:eastAsia="en-AU"/>
              </w:rPr>
            </w:pPr>
            <w:r w:rsidRPr="00F74595">
              <w:rPr>
                <w:rFonts w:ascii="Calibri" w:eastAsia="Times New Roman" w:hAnsi="Calibri" w:cs="Calibri"/>
                <w:color w:val="000000"/>
                <w:sz w:val="20"/>
                <w:szCs w:val="20"/>
                <w:lang w:eastAsia="en-AU"/>
              </w:rPr>
              <w:t>RBC Features</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Parasitised red cells not enlarged</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Frequent band (equatorial) forms</w:t>
            </w: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Parasitised red cells larger than uninfected cells</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c>
          <w:tcPr>
            <w:tcW w:w="448"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Parasitised red cells not enlarged</w:t>
            </w:r>
          </w:p>
        </w:tc>
        <w:tc>
          <w:tcPr>
            <w:tcW w:w="1201"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Gametocytes</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Frequent band (equatorial) forms</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Parasitised fimbriated red cells</w:t>
            </w:r>
          </w:p>
        </w:tc>
      </w:tr>
      <w:tr w:rsidR="00F74595" w:rsidRPr="00F74595" w:rsidTr="00F74595">
        <w:trPr>
          <w:trHeight w:val="1056"/>
        </w:trPr>
        <w:tc>
          <w:tcPr>
            <w:tcW w:w="860" w:type="dxa"/>
            <w:vMerge/>
            <w:tcBorders>
              <w:top w:val="single" w:sz="4" w:space="0" w:color="auto"/>
              <w:left w:val="single" w:sz="4" w:space="0" w:color="auto"/>
              <w:bottom w:val="single" w:sz="4" w:space="0" w:color="000000"/>
              <w:right w:val="single" w:sz="4" w:space="0" w:color="auto"/>
            </w:tcBorders>
            <w:vAlign w:val="center"/>
            <w:hideMark/>
          </w:tcPr>
          <w:p w:rsidR="00F74595" w:rsidRPr="00F74595" w:rsidRDefault="00F74595" w:rsidP="00F74595">
            <w:pPr>
              <w:spacing w:after="0" w:line="240" w:lineRule="auto"/>
              <w:rPr>
                <w:rFonts w:ascii="Calibri" w:eastAsia="Times New Roman" w:hAnsi="Calibri" w:cs="Calibri"/>
                <w:color w:val="000000"/>
                <w:sz w:val="20"/>
                <w:szCs w:val="20"/>
                <w:lang w:eastAsia="en-AU"/>
              </w:rPr>
            </w:pP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Frequent band (equatorial) forms</w:t>
            </w: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Frequent double chromatin dots</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Parasitised red cells not enlarged</w:t>
            </w:r>
          </w:p>
        </w:tc>
        <w:tc>
          <w:tcPr>
            <w:tcW w:w="1201"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Schizonts</w:t>
            </w:r>
          </w:p>
        </w:tc>
        <w:tc>
          <w:tcPr>
            <w:tcW w:w="1201"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Gametocytes</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Frequent band (equatorial) forms</w:t>
            </w:r>
          </w:p>
        </w:tc>
        <w:tc>
          <w:tcPr>
            <w:tcW w:w="448"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Frequent band (equatorial) forms</w:t>
            </w:r>
          </w:p>
        </w:tc>
        <w:tc>
          <w:tcPr>
            <w:tcW w:w="1201"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Schizonts</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Parasitised red cells not enlarged</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c>
          <w:tcPr>
            <w:tcW w:w="1201"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Schizonts</w:t>
            </w:r>
          </w:p>
        </w:tc>
        <w:tc>
          <w:tcPr>
            <w:tcW w:w="1201"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Gametocytes</w:t>
            </w:r>
          </w:p>
        </w:tc>
      </w:tr>
      <w:tr w:rsidR="00F74595" w:rsidRPr="00F74595" w:rsidTr="00F74595">
        <w:trPr>
          <w:trHeight w:val="844"/>
        </w:trPr>
        <w:tc>
          <w:tcPr>
            <w:tcW w:w="860" w:type="dxa"/>
            <w:vMerge/>
            <w:tcBorders>
              <w:top w:val="single" w:sz="4" w:space="0" w:color="auto"/>
              <w:left w:val="single" w:sz="4" w:space="0" w:color="auto"/>
              <w:bottom w:val="single" w:sz="4" w:space="0" w:color="000000"/>
              <w:right w:val="single" w:sz="4" w:space="0" w:color="auto"/>
            </w:tcBorders>
            <w:vAlign w:val="center"/>
            <w:hideMark/>
          </w:tcPr>
          <w:p w:rsidR="00F74595" w:rsidRPr="00F74595" w:rsidRDefault="00F74595" w:rsidP="00F74595">
            <w:pPr>
              <w:spacing w:after="0" w:line="240" w:lineRule="auto"/>
              <w:rPr>
                <w:rFonts w:ascii="Calibri" w:eastAsia="Times New Roman" w:hAnsi="Calibri" w:cs="Calibri"/>
                <w:color w:val="000000"/>
                <w:sz w:val="20"/>
                <w:szCs w:val="20"/>
                <w:lang w:eastAsia="en-AU"/>
              </w:rPr>
            </w:pPr>
          </w:p>
        </w:tc>
        <w:tc>
          <w:tcPr>
            <w:tcW w:w="1201"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Mature trophozoites</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Parasitised red cells not enlarged</w:t>
            </w:r>
          </w:p>
        </w:tc>
        <w:tc>
          <w:tcPr>
            <w:tcW w:w="1201"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Gametocytes</w:t>
            </w:r>
          </w:p>
        </w:tc>
        <w:tc>
          <w:tcPr>
            <w:tcW w:w="1201"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Early trophozoites</w:t>
            </w: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Trophozoites with amoeboid-like morphology</w:t>
            </w:r>
          </w:p>
        </w:tc>
        <w:tc>
          <w:tcPr>
            <w:tcW w:w="1201"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Gametocytes</w:t>
            </w:r>
          </w:p>
        </w:tc>
        <w:tc>
          <w:tcPr>
            <w:tcW w:w="448"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p>
        </w:tc>
        <w:tc>
          <w:tcPr>
            <w:tcW w:w="1201"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Schizonts</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Frequent band (equatorial) forms</w:t>
            </w:r>
          </w:p>
        </w:tc>
        <w:tc>
          <w:tcPr>
            <w:tcW w:w="1201"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Schizonts</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Frequent band (equatorial) forms</w:t>
            </w: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0000"/>
                <w:sz w:val="18"/>
                <w:szCs w:val="18"/>
                <w:lang w:eastAsia="en-AU"/>
              </w:rPr>
            </w:pPr>
            <w:proofErr w:type="spellStart"/>
            <w:r w:rsidRPr="00F74595">
              <w:rPr>
                <w:rFonts w:ascii="Calibri" w:eastAsia="Times New Roman" w:hAnsi="Calibri" w:cs="Calibri"/>
                <w:color w:val="000000"/>
                <w:sz w:val="18"/>
                <w:szCs w:val="18"/>
                <w:lang w:eastAsia="en-AU"/>
              </w:rPr>
              <w:t>Schüffner's</w:t>
            </w:r>
            <w:proofErr w:type="spellEnd"/>
            <w:r w:rsidRPr="00F74595">
              <w:rPr>
                <w:rFonts w:ascii="Calibri" w:eastAsia="Times New Roman" w:hAnsi="Calibri" w:cs="Calibri"/>
                <w:color w:val="000000"/>
                <w:sz w:val="18"/>
                <w:szCs w:val="18"/>
                <w:lang w:eastAsia="en-AU"/>
              </w:rPr>
              <w:t xml:space="preserve"> dots</w:t>
            </w:r>
          </w:p>
        </w:tc>
      </w:tr>
      <w:tr w:rsidR="00F74595" w:rsidRPr="00F74595" w:rsidTr="00F74595">
        <w:trPr>
          <w:trHeight w:val="633"/>
        </w:trPr>
        <w:tc>
          <w:tcPr>
            <w:tcW w:w="860" w:type="dxa"/>
            <w:vMerge/>
            <w:tcBorders>
              <w:top w:val="single" w:sz="4" w:space="0" w:color="auto"/>
              <w:left w:val="single" w:sz="4" w:space="0" w:color="auto"/>
              <w:bottom w:val="single" w:sz="4" w:space="0" w:color="000000"/>
              <w:right w:val="single" w:sz="4" w:space="0" w:color="auto"/>
            </w:tcBorders>
            <w:vAlign w:val="center"/>
            <w:hideMark/>
          </w:tcPr>
          <w:p w:rsidR="00F74595" w:rsidRPr="00F74595" w:rsidRDefault="00F74595" w:rsidP="00F74595">
            <w:pPr>
              <w:spacing w:after="0" w:line="240" w:lineRule="auto"/>
              <w:rPr>
                <w:rFonts w:ascii="Calibri" w:eastAsia="Times New Roman" w:hAnsi="Calibri" w:cs="Calibri"/>
                <w:color w:val="000000"/>
                <w:sz w:val="20"/>
                <w:szCs w:val="20"/>
                <w:lang w:eastAsia="en-AU"/>
              </w:rPr>
            </w:pPr>
          </w:p>
        </w:tc>
        <w:tc>
          <w:tcPr>
            <w:tcW w:w="1201"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Gametocytes</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Frequent band (equatorial) forms</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Frequent band (equatorial) forms</w:t>
            </w:r>
          </w:p>
        </w:tc>
        <w:tc>
          <w:tcPr>
            <w:tcW w:w="1201"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Gametocytes</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Frequent band (equatorial) forms</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Parasitised red cells not enlarged</w:t>
            </w:r>
          </w:p>
        </w:tc>
        <w:tc>
          <w:tcPr>
            <w:tcW w:w="448"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p>
        </w:tc>
        <w:tc>
          <w:tcPr>
            <w:tcW w:w="1201"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Early trophozoites</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Parasitised red cells not enlarged</w:t>
            </w: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Parasitised red cells not enlarged</w:t>
            </w:r>
          </w:p>
        </w:tc>
        <w:tc>
          <w:tcPr>
            <w:tcW w:w="1201"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Gametocytes</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r>
      <w:tr w:rsidR="00F74595" w:rsidRPr="00F74595" w:rsidTr="00F74595">
        <w:trPr>
          <w:trHeight w:val="633"/>
        </w:trPr>
        <w:tc>
          <w:tcPr>
            <w:tcW w:w="860" w:type="dxa"/>
            <w:vMerge/>
            <w:tcBorders>
              <w:top w:val="single" w:sz="4" w:space="0" w:color="auto"/>
              <w:left w:val="single" w:sz="4" w:space="0" w:color="auto"/>
              <w:bottom w:val="single" w:sz="4" w:space="0" w:color="000000"/>
              <w:right w:val="single" w:sz="4" w:space="0" w:color="auto"/>
            </w:tcBorders>
            <w:vAlign w:val="center"/>
            <w:hideMark/>
          </w:tcPr>
          <w:p w:rsidR="00F74595" w:rsidRPr="00F74595" w:rsidRDefault="00F74595" w:rsidP="00F74595">
            <w:pPr>
              <w:spacing w:after="0" w:line="240" w:lineRule="auto"/>
              <w:rPr>
                <w:rFonts w:ascii="Calibri" w:eastAsia="Times New Roman" w:hAnsi="Calibri" w:cs="Calibri"/>
                <w:color w:val="000000"/>
                <w:sz w:val="20"/>
                <w:szCs w:val="20"/>
                <w:lang w:eastAsia="en-AU"/>
              </w:rPr>
            </w:pP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Frequent marginal (</w:t>
            </w:r>
            <w:proofErr w:type="spellStart"/>
            <w:r w:rsidRPr="00F74595">
              <w:rPr>
                <w:rFonts w:ascii="Calibri" w:eastAsia="Times New Roman" w:hAnsi="Calibri" w:cs="Calibri"/>
                <w:color w:val="000000"/>
                <w:sz w:val="18"/>
                <w:szCs w:val="18"/>
                <w:lang w:eastAsia="en-AU"/>
              </w:rPr>
              <w:t>accolé</w:t>
            </w:r>
            <w:proofErr w:type="spellEnd"/>
            <w:r w:rsidRPr="00F74595">
              <w:rPr>
                <w:rFonts w:ascii="Calibri" w:eastAsia="Times New Roman" w:hAnsi="Calibri" w:cs="Calibri"/>
                <w:color w:val="000000"/>
                <w:sz w:val="18"/>
                <w:szCs w:val="18"/>
                <w:lang w:eastAsia="en-AU"/>
              </w:rPr>
              <w:t>) forms</w:t>
            </w: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0000"/>
                <w:sz w:val="18"/>
                <w:szCs w:val="18"/>
                <w:lang w:eastAsia="en-AU"/>
              </w:rPr>
            </w:pP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Parasitised red cells not enlarged</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c>
          <w:tcPr>
            <w:tcW w:w="1201"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Early trophozoites</w:t>
            </w:r>
          </w:p>
        </w:tc>
        <w:tc>
          <w:tcPr>
            <w:tcW w:w="448"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Parasitised red cells not enlarged</w:t>
            </w: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p>
        </w:tc>
      </w:tr>
      <w:tr w:rsidR="00F74595" w:rsidRPr="00F74595" w:rsidTr="00F74595">
        <w:trPr>
          <w:trHeight w:val="633"/>
        </w:trPr>
        <w:tc>
          <w:tcPr>
            <w:tcW w:w="860" w:type="dxa"/>
            <w:vMerge/>
            <w:tcBorders>
              <w:top w:val="single" w:sz="4" w:space="0" w:color="auto"/>
              <w:left w:val="single" w:sz="4" w:space="0" w:color="auto"/>
              <w:bottom w:val="single" w:sz="4" w:space="0" w:color="000000"/>
              <w:right w:val="single" w:sz="4" w:space="0" w:color="auto"/>
            </w:tcBorders>
            <w:vAlign w:val="center"/>
            <w:hideMark/>
          </w:tcPr>
          <w:p w:rsidR="00F74595" w:rsidRPr="00F74595" w:rsidRDefault="00F74595" w:rsidP="00F74595">
            <w:pPr>
              <w:spacing w:after="0" w:line="240" w:lineRule="auto"/>
              <w:rPr>
                <w:rFonts w:ascii="Calibri" w:eastAsia="Times New Roman" w:hAnsi="Calibri" w:cs="Calibri"/>
                <w:color w:val="000000"/>
                <w:sz w:val="20"/>
                <w:szCs w:val="20"/>
                <w:lang w:eastAsia="en-AU"/>
              </w:rPr>
            </w:pP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448"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r>
      <w:tr w:rsidR="00F74595" w:rsidRPr="00F74595" w:rsidTr="00F74595">
        <w:trPr>
          <w:trHeight w:val="1056"/>
        </w:trPr>
        <w:tc>
          <w:tcPr>
            <w:tcW w:w="860" w:type="dxa"/>
            <w:tcBorders>
              <w:top w:val="nil"/>
              <w:left w:val="single" w:sz="4" w:space="0" w:color="auto"/>
              <w:bottom w:val="single" w:sz="4" w:space="0" w:color="auto"/>
              <w:right w:val="single" w:sz="4" w:space="0" w:color="auto"/>
            </w:tcBorders>
            <w:shd w:val="clear" w:color="000000" w:fill="F8CBAD"/>
            <w:textDirection w:val="tbRl"/>
            <w:vAlign w:val="center"/>
            <w:hideMark/>
          </w:tcPr>
          <w:p w:rsidR="00F74595" w:rsidRPr="00F74595" w:rsidRDefault="00F74595" w:rsidP="00F74595">
            <w:pPr>
              <w:spacing w:after="0" w:line="240" w:lineRule="auto"/>
              <w:jc w:val="center"/>
              <w:rPr>
                <w:rFonts w:ascii="Calibri" w:eastAsia="Times New Roman" w:hAnsi="Calibri" w:cs="Calibri"/>
                <w:color w:val="000000"/>
                <w:sz w:val="20"/>
                <w:szCs w:val="20"/>
                <w:lang w:eastAsia="en-AU"/>
              </w:rPr>
            </w:pPr>
            <w:r w:rsidRPr="00F74595">
              <w:rPr>
                <w:rFonts w:ascii="Calibri" w:eastAsia="Times New Roman" w:hAnsi="Calibri" w:cs="Calibri"/>
                <w:color w:val="000000"/>
                <w:sz w:val="20"/>
                <w:szCs w:val="20"/>
                <w:lang w:eastAsia="en-AU"/>
              </w:rPr>
              <w:t xml:space="preserve">Primary Diagnosis </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 xml:space="preserve">Malaria – mixed infection </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 xml:space="preserve">Malaria – mixed infection </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 xml:space="preserve">Malaria – mixed infection </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 xml:space="preserve">Malaria – mixed infection </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 xml:space="preserve">Malaria – mixed infection </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 xml:space="preserve">Malaria – mixed infection </w:t>
            </w:r>
          </w:p>
        </w:tc>
        <w:tc>
          <w:tcPr>
            <w:tcW w:w="448"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 xml:space="preserve">Malaria – mixed infection </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 xml:space="preserve">Malaria – mixed infection </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 xml:space="preserve">Malaria – mixed infection </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 xml:space="preserve">Malaria – mixed infection </w:t>
            </w:r>
          </w:p>
        </w:tc>
        <w:tc>
          <w:tcPr>
            <w:tcW w:w="1201"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 xml:space="preserve">Malaria – mixed infection </w:t>
            </w:r>
          </w:p>
        </w:tc>
        <w:tc>
          <w:tcPr>
            <w:tcW w:w="120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xml:space="preserve">Malaria - Plasmodium </w:t>
            </w:r>
            <w:proofErr w:type="spellStart"/>
            <w:r w:rsidRPr="00F74595">
              <w:rPr>
                <w:rFonts w:ascii="Calibri" w:eastAsia="Times New Roman" w:hAnsi="Calibri" w:cs="Calibri"/>
                <w:color w:val="000000"/>
                <w:sz w:val="18"/>
                <w:szCs w:val="18"/>
                <w:lang w:eastAsia="en-AU"/>
              </w:rPr>
              <w:t>ovale</w:t>
            </w:r>
            <w:proofErr w:type="spellEnd"/>
            <w:r w:rsidRPr="00F74595">
              <w:rPr>
                <w:rFonts w:ascii="Calibri" w:eastAsia="Times New Roman" w:hAnsi="Calibri" w:cs="Calibri"/>
                <w:color w:val="000000"/>
                <w:sz w:val="18"/>
                <w:szCs w:val="18"/>
                <w:lang w:eastAsia="en-AU"/>
              </w:rPr>
              <w:t xml:space="preserve"> </w:t>
            </w:r>
          </w:p>
        </w:tc>
      </w:tr>
    </w:tbl>
    <w:p w:rsidR="006E149C" w:rsidRDefault="006E149C">
      <w:pPr>
        <w:rPr>
          <w:rFonts w:ascii="Arial" w:hAnsi="Arial" w:cs="Arial"/>
          <w:sz w:val="34"/>
          <w:szCs w:val="34"/>
          <w:shd w:val="clear" w:color="auto" w:fill="FFFFFF"/>
        </w:rPr>
      </w:pPr>
    </w:p>
    <w:p w:rsidR="006E149C" w:rsidRDefault="006E149C">
      <w:pPr>
        <w:rPr>
          <w:rFonts w:ascii="Arial" w:hAnsi="Arial" w:cs="Arial"/>
          <w:sz w:val="34"/>
          <w:szCs w:val="34"/>
          <w:shd w:val="clear" w:color="auto" w:fill="FFFFFF"/>
        </w:rPr>
      </w:pPr>
    </w:p>
    <w:p w:rsidR="006E149C" w:rsidRDefault="006E149C">
      <w:pPr>
        <w:rPr>
          <w:rFonts w:ascii="Arial" w:hAnsi="Arial" w:cs="Arial"/>
          <w:sz w:val="34"/>
          <w:szCs w:val="34"/>
          <w:shd w:val="clear" w:color="auto" w:fill="FFFFFF"/>
        </w:rPr>
      </w:pPr>
    </w:p>
    <w:p w:rsidR="00F74595" w:rsidRDefault="00F74595">
      <w:pPr>
        <w:rPr>
          <w:rFonts w:ascii="Arial" w:hAnsi="Arial" w:cs="Arial"/>
          <w:sz w:val="34"/>
          <w:szCs w:val="34"/>
          <w:shd w:val="clear" w:color="auto" w:fill="FFFFFF"/>
        </w:rPr>
      </w:pPr>
    </w:p>
    <w:p w:rsidR="00F74595" w:rsidRDefault="00F74595">
      <w:pPr>
        <w:rPr>
          <w:rFonts w:ascii="Arial" w:hAnsi="Arial" w:cs="Arial"/>
          <w:sz w:val="34"/>
          <w:szCs w:val="34"/>
          <w:shd w:val="clear" w:color="auto" w:fill="FFFFFF"/>
        </w:rPr>
      </w:pPr>
    </w:p>
    <w:tbl>
      <w:tblPr>
        <w:tblW w:w="15495" w:type="dxa"/>
        <w:tblLook w:val="04A0" w:firstRow="1" w:lastRow="0" w:firstColumn="1" w:lastColumn="0" w:noHBand="0" w:noVBand="1"/>
      </w:tblPr>
      <w:tblGrid>
        <w:gridCol w:w="1183"/>
        <w:gridCol w:w="1183"/>
        <w:gridCol w:w="1183"/>
        <w:gridCol w:w="1183"/>
        <w:gridCol w:w="1183"/>
        <w:gridCol w:w="1183"/>
        <w:gridCol w:w="1183"/>
        <w:gridCol w:w="1183"/>
        <w:gridCol w:w="1183"/>
        <w:gridCol w:w="1183"/>
        <w:gridCol w:w="473"/>
        <w:gridCol w:w="1183"/>
        <w:gridCol w:w="1120"/>
        <w:gridCol w:w="1183"/>
      </w:tblGrid>
      <w:tr w:rsidR="00F74595" w:rsidRPr="00F74595" w:rsidTr="00F74595">
        <w:trPr>
          <w:trHeight w:val="420"/>
        </w:trPr>
        <w:tc>
          <w:tcPr>
            <w:tcW w:w="1155" w:type="dxa"/>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lastRenderedPageBreak/>
              <w:t> </w:t>
            </w:r>
          </w:p>
        </w:tc>
        <w:tc>
          <w:tcPr>
            <w:tcW w:w="1155" w:type="dxa"/>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1156" w:type="dxa"/>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1156" w:type="dxa"/>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1156" w:type="dxa"/>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1156" w:type="dxa"/>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1156" w:type="dxa"/>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1156" w:type="dxa"/>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1156" w:type="dxa"/>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1156" w:type="dxa"/>
            <w:tcBorders>
              <w:top w:val="nil"/>
              <w:left w:val="nil"/>
              <w:bottom w:val="nil"/>
              <w:right w:val="nil"/>
            </w:tcBorders>
            <w:shd w:val="clear" w:color="000000" w:fill="D9E1F2"/>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821" w:type="dxa"/>
            <w:tcBorders>
              <w:top w:val="nil"/>
              <w:left w:val="nil"/>
              <w:bottom w:val="nil"/>
              <w:right w:val="nil"/>
            </w:tcBorders>
            <w:shd w:val="clear" w:color="auto" w:fill="auto"/>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p>
        </w:tc>
        <w:tc>
          <w:tcPr>
            <w:tcW w:w="3116" w:type="dxa"/>
            <w:gridSpan w:val="3"/>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F74595" w:rsidRPr="00F74595" w:rsidRDefault="00F74595" w:rsidP="00F74595">
            <w:pPr>
              <w:spacing w:after="0" w:line="240" w:lineRule="auto"/>
              <w:jc w:val="center"/>
              <w:rPr>
                <w:rFonts w:ascii="Calibri" w:eastAsia="Times New Roman" w:hAnsi="Calibri" w:cs="Calibri"/>
                <w:b/>
                <w:bCs/>
                <w:color w:val="000000"/>
                <w:lang w:eastAsia="en-AU"/>
              </w:rPr>
            </w:pPr>
            <w:r w:rsidRPr="00F74595">
              <w:rPr>
                <w:rFonts w:ascii="Calibri" w:eastAsia="Times New Roman" w:hAnsi="Calibri" w:cs="Calibri"/>
                <w:b/>
                <w:bCs/>
                <w:color w:val="000000"/>
                <w:lang w:eastAsia="en-AU"/>
              </w:rPr>
              <w:t>RCPA Report 11/05/2022</w:t>
            </w:r>
          </w:p>
        </w:tc>
      </w:tr>
      <w:tr w:rsidR="00F74595" w:rsidRPr="00F74595" w:rsidTr="00F74595">
        <w:trPr>
          <w:trHeight w:val="1051"/>
        </w:trPr>
        <w:tc>
          <w:tcPr>
            <w:tcW w:w="1155"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Early trophozoites</w:t>
            </w:r>
          </w:p>
        </w:tc>
        <w:tc>
          <w:tcPr>
            <w:tcW w:w="1155"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Frequent band (equatorial) forms</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c>
          <w:tcPr>
            <w:tcW w:w="1156"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Gametocytes</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Parasitised red cells not enlarged</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c>
          <w:tcPr>
            <w:tcW w:w="821" w:type="dxa"/>
            <w:vMerge w:val="restart"/>
            <w:tcBorders>
              <w:top w:val="single" w:sz="4" w:space="0" w:color="auto"/>
              <w:left w:val="nil"/>
              <w:bottom w:val="single" w:sz="4" w:space="0" w:color="000000"/>
              <w:right w:val="nil"/>
            </w:tcBorders>
            <w:shd w:val="clear" w:color="000000" w:fill="FFCCFF"/>
            <w:textDirection w:val="tbRl"/>
            <w:vAlign w:val="center"/>
            <w:hideMark/>
          </w:tcPr>
          <w:p w:rsidR="00F74595" w:rsidRPr="00F74595" w:rsidRDefault="00F74595" w:rsidP="00F74595">
            <w:pPr>
              <w:spacing w:after="0" w:line="240" w:lineRule="auto"/>
              <w:jc w:val="center"/>
              <w:rPr>
                <w:rFonts w:ascii="Calibri" w:eastAsia="Times New Roman" w:hAnsi="Calibri" w:cs="Calibri"/>
                <w:color w:val="000000"/>
                <w:sz w:val="20"/>
                <w:szCs w:val="20"/>
                <w:lang w:eastAsia="en-AU"/>
              </w:rPr>
            </w:pPr>
            <w:r w:rsidRPr="00F74595">
              <w:rPr>
                <w:rFonts w:ascii="Calibri" w:eastAsia="Times New Roman" w:hAnsi="Calibri" w:cs="Calibri"/>
                <w:color w:val="000000"/>
                <w:sz w:val="20"/>
                <w:szCs w:val="20"/>
                <w:lang w:eastAsia="en-AU"/>
              </w:rPr>
              <w:t>RBC Features</w:t>
            </w:r>
          </w:p>
        </w:tc>
        <w:tc>
          <w:tcPr>
            <w:tcW w:w="1072"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Frequent band (equatorial) forms</w:t>
            </w:r>
          </w:p>
        </w:tc>
        <w:tc>
          <w:tcPr>
            <w:tcW w:w="1020" w:type="dxa"/>
            <w:tcBorders>
              <w:top w:val="nil"/>
              <w:left w:val="nil"/>
              <w:bottom w:val="nil"/>
              <w:right w:val="nil"/>
            </w:tcBorders>
            <w:shd w:val="clear" w:color="000000" w:fill="FFEB9C"/>
            <w:vAlign w:val="bottom"/>
            <w:hideMark/>
          </w:tcPr>
          <w:p w:rsidR="00F74595" w:rsidRPr="00F74595" w:rsidRDefault="00F74595" w:rsidP="00F74595">
            <w:pPr>
              <w:spacing w:after="0" w:line="240" w:lineRule="auto"/>
              <w:jc w:val="center"/>
              <w:rPr>
                <w:rFonts w:ascii="Calibri" w:eastAsia="Times New Roman" w:hAnsi="Calibri" w:cs="Calibri"/>
                <w:color w:val="9C5700"/>
                <w:sz w:val="18"/>
                <w:szCs w:val="18"/>
                <w:lang w:eastAsia="en-AU"/>
              </w:rPr>
            </w:pPr>
            <w:r w:rsidRPr="00F74595">
              <w:rPr>
                <w:rFonts w:ascii="Calibri" w:eastAsia="Times New Roman" w:hAnsi="Calibri" w:cs="Calibri"/>
                <w:color w:val="9C5700"/>
                <w:sz w:val="18"/>
                <w:szCs w:val="18"/>
                <w:lang w:eastAsia="en-AU"/>
              </w:rPr>
              <w:t>Heavy malaria pigment</w:t>
            </w:r>
          </w:p>
        </w:tc>
        <w:tc>
          <w:tcPr>
            <w:tcW w:w="1023"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Schizonts</w:t>
            </w:r>
          </w:p>
        </w:tc>
      </w:tr>
      <w:tr w:rsidR="00F74595" w:rsidRPr="00F74595" w:rsidTr="00F74595">
        <w:trPr>
          <w:trHeight w:val="1051"/>
        </w:trPr>
        <w:tc>
          <w:tcPr>
            <w:tcW w:w="1155"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Gametocytes</w:t>
            </w:r>
          </w:p>
        </w:tc>
        <w:tc>
          <w:tcPr>
            <w:tcW w:w="1155"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Frequent band (equatorial) forms</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c>
          <w:tcPr>
            <w:tcW w:w="1156"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Gametocytes</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Frequent band (equatorial) forms</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Parasitised red cells not enlarged</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Parasitised red cells not enlarged</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Parasitised red cells not enlarged</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c>
          <w:tcPr>
            <w:tcW w:w="1156"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Frequent multiple trophozoites infecting red cells</w:t>
            </w:r>
          </w:p>
        </w:tc>
        <w:tc>
          <w:tcPr>
            <w:tcW w:w="821" w:type="dxa"/>
            <w:vMerge/>
            <w:tcBorders>
              <w:top w:val="single" w:sz="4" w:space="0" w:color="auto"/>
              <w:left w:val="nil"/>
              <w:bottom w:val="single" w:sz="4" w:space="0" w:color="000000"/>
              <w:right w:val="nil"/>
            </w:tcBorders>
            <w:vAlign w:val="center"/>
            <w:hideMark/>
          </w:tcPr>
          <w:p w:rsidR="00F74595" w:rsidRPr="00F74595" w:rsidRDefault="00F74595" w:rsidP="00F74595">
            <w:pPr>
              <w:spacing w:after="0" w:line="240" w:lineRule="auto"/>
              <w:rPr>
                <w:rFonts w:ascii="Calibri" w:eastAsia="Times New Roman" w:hAnsi="Calibri" w:cs="Calibri"/>
                <w:color w:val="000000"/>
                <w:sz w:val="20"/>
                <w:szCs w:val="20"/>
                <w:lang w:eastAsia="en-AU"/>
              </w:rPr>
            </w:pPr>
          </w:p>
        </w:tc>
        <w:tc>
          <w:tcPr>
            <w:tcW w:w="1072"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c>
          <w:tcPr>
            <w:tcW w:w="1020"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p>
        </w:tc>
        <w:tc>
          <w:tcPr>
            <w:tcW w:w="1023"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Early trophozoites</w:t>
            </w:r>
          </w:p>
        </w:tc>
      </w:tr>
      <w:tr w:rsidR="00F74595" w:rsidRPr="00F74595" w:rsidTr="00F74595">
        <w:trPr>
          <w:trHeight w:val="841"/>
        </w:trPr>
        <w:tc>
          <w:tcPr>
            <w:tcW w:w="1155"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Frequent band (equatorial) forms</w:t>
            </w:r>
          </w:p>
        </w:tc>
        <w:tc>
          <w:tcPr>
            <w:tcW w:w="1155"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p>
        </w:tc>
        <w:tc>
          <w:tcPr>
            <w:tcW w:w="1156"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Frequent double chromatin dots</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Parasitised red cells not enlarged</w:t>
            </w:r>
          </w:p>
        </w:tc>
        <w:tc>
          <w:tcPr>
            <w:tcW w:w="1156"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Gametocytes</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Frequent band (equatorial) forms</w:t>
            </w:r>
          </w:p>
        </w:tc>
        <w:tc>
          <w:tcPr>
            <w:tcW w:w="1156"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Gametocytes</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Crescent shaped Gametocytes</w:t>
            </w:r>
          </w:p>
        </w:tc>
        <w:tc>
          <w:tcPr>
            <w:tcW w:w="1156"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Mature trophozoites</w:t>
            </w:r>
          </w:p>
        </w:tc>
        <w:tc>
          <w:tcPr>
            <w:tcW w:w="1156"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Schizonts</w:t>
            </w:r>
          </w:p>
        </w:tc>
        <w:tc>
          <w:tcPr>
            <w:tcW w:w="821" w:type="dxa"/>
            <w:vMerge/>
            <w:tcBorders>
              <w:top w:val="single" w:sz="4" w:space="0" w:color="auto"/>
              <w:left w:val="nil"/>
              <w:bottom w:val="single" w:sz="4" w:space="0" w:color="000000"/>
              <w:right w:val="nil"/>
            </w:tcBorders>
            <w:vAlign w:val="center"/>
            <w:hideMark/>
          </w:tcPr>
          <w:p w:rsidR="00F74595" w:rsidRPr="00F74595" w:rsidRDefault="00F74595" w:rsidP="00F74595">
            <w:pPr>
              <w:spacing w:after="0" w:line="240" w:lineRule="auto"/>
              <w:rPr>
                <w:rFonts w:ascii="Calibri" w:eastAsia="Times New Roman" w:hAnsi="Calibri" w:cs="Calibri"/>
                <w:color w:val="000000"/>
                <w:sz w:val="20"/>
                <w:szCs w:val="20"/>
                <w:lang w:eastAsia="en-AU"/>
              </w:rPr>
            </w:pPr>
          </w:p>
        </w:tc>
        <w:tc>
          <w:tcPr>
            <w:tcW w:w="1072"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Parasitised red cells not enlarged</w:t>
            </w:r>
          </w:p>
        </w:tc>
        <w:tc>
          <w:tcPr>
            <w:tcW w:w="1020"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p>
        </w:tc>
        <w:tc>
          <w:tcPr>
            <w:tcW w:w="1023"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Gametocytes</w:t>
            </w:r>
          </w:p>
        </w:tc>
      </w:tr>
      <w:tr w:rsidR="00F74595" w:rsidRPr="00F74595" w:rsidTr="00F74595">
        <w:trPr>
          <w:trHeight w:val="630"/>
        </w:trPr>
        <w:tc>
          <w:tcPr>
            <w:tcW w:w="1155"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Parasitised red cells not enlarged</w:t>
            </w:r>
          </w:p>
        </w:tc>
        <w:tc>
          <w:tcPr>
            <w:tcW w:w="1155"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p>
        </w:tc>
        <w:tc>
          <w:tcPr>
            <w:tcW w:w="1156" w:type="dxa"/>
            <w:tcBorders>
              <w:top w:val="nil"/>
              <w:left w:val="nil"/>
              <w:bottom w:val="nil"/>
              <w:right w:val="nil"/>
            </w:tcBorders>
            <w:shd w:val="clear" w:color="000000" w:fill="FFEB9C"/>
            <w:vAlign w:val="bottom"/>
            <w:hideMark/>
          </w:tcPr>
          <w:p w:rsidR="00F74595" w:rsidRPr="00F74595" w:rsidRDefault="00F74595" w:rsidP="00F74595">
            <w:pPr>
              <w:spacing w:after="0" w:line="240" w:lineRule="auto"/>
              <w:jc w:val="center"/>
              <w:rPr>
                <w:rFonts w:ascii="Calibri" w:eastAsia="Times New Roman" w:hAnsi="Calibri" w:cs="Calibri"/>
                <w:color w:val="9C5700"/>
                <w:sz w:val="18"/>
                <w:szCs w:val="18"/>
                <w:lang w:eastAsia="en-AU"/>
              </w:rPr>
            </w:pPr>
            <w:r w:rsidRPr="00F74595">
              <w:rPr>
                <w:rFonts w:ascii="Calibri" w:eastAsia="Times New Roman" w:hAnsi="Calibri" w:cs="Calibri"/>
                <w:color w:val="9C5700"/>
                <w:sz w:val="18"/>
                <w:szCs w:val="18"/>
                <w:lang w:eastAsia="en-AU"/>
              </w:rPr>
              <w:t>Heavy malaria pigment</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Frequent band (equatorial) forms</w:t>
            </w:r>
          </w:p>
        </w:tc>
        <w:tc>
          <w:tcPr>
            <w:tcW w:w="1156"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Schizonts</w:t>
            </w:r>
          </w:p>
        </w:tc>
        <w:tc>
          <w:tcPr>
            <w:tcW w:w="1156"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Gametocytes</w:t>
            </w:r>
          </w:p>
        </w:tc>
        <w:tc>
          <w:tcPr>
            <w:tcW w:w="1156"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Early trophozoites</w:t>
            </w:r>
          </w:p>
        </w:tc>
        <w:tc>
          <w:tcPr>
            <w:tcW w:w="1156"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Frequent double chromatin dots</w:t>
            </w:r>
          </w:p>
        </w:tc>
        <w:tc>
          <w:tcPr>
            <w:tcW w:w="1156"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Gametocytes</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Frequent band (equatorial) forms</w:t>
            </w:r>
          </w:p>
        </w:tc>
        <w:tc>
          <w:tcPr>
            <w:tcW w:w="821" w:type="dxa"/>
            <w:vMerge/>
            <w:tcBorders>
              <w:top w:val="single" w:sz="4" w:space="0" w:color="auto"/>
              <w:left w:val="nil"/>
              <w:bottom w:val="single" w:sz="4" w:space="0" w:color="000000"/>
              <w:right w:val="nil"/>
            </w:tcBorders>
            <w:vAlign w:val="center"/>
            <w:hideMark/>
          </w:tcPr>
          <w:p w:rsidR="00F74595" w:rsidRPr="00F74595" w:rsidRDefault="00F74595" w:rsidP="00F74595">
            <w:pPr>
              <w:spacing w:after="0" w:line="240" w:lineRule="auto"/>
              <w:rPr>
                <w:rFonts w:ascii="Calibri" w:eastAsia="Times New Roman" w:hAnsi="Calibri" w:cs="Calibri"/>
                <w:color w:val="000000"/>
                <w:sz w:val="20"/>
                <w:szCs w:val="20"/>
                <w:lang w:eastAsia="en-AU"/>
              </w:rPr>
            </w:pPr>
          </w:p>
        </w:tc>
        <w:tc>
          <w:tcPr>
            <w:tcW w:w="1072"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p>
        </w:tc>
        <w:tc>
          <w:tcPr>
            <w:tcW w:w="1020" w:type="dxa"/>
            <w:tcBorders>
              <w:top w:val="nil"/>
              <w:left w:val="nil"/>
              <w:bottom w:val="nil"/>
              <w:right w:val="nil"/>
            </w:tcBorders>
            <w:shd w:val="clear" w:color="auto" w:fill="auto"/>
            <w:vAlign w:val="bottom"/>
            <w:hideMark/>
          </w:tcPr>
          <w:p w:rsidR="00F74595" w:rsidRPr="00F74595" w:rsidRDefault="00F74595" w:rsidP="00F74595">
            <w:pPr>
              <w:spacing w:after="0" w:line="240" w:lineRule="auto"/>
              <w:rPr>
                <w:rFonts w:ascii="Times New Roman" w:eastAsia="Times New Roman" w:hAnsi="Times New Roman" w:cs="Times New Roman"/>
                <w:sz w:val="20"/>
                <w:szCs w:val="20"/>
                <w:lang w:eastAsia="en-AU"/>
              </w:rPr>
            </w:pPr>
          </w:p>
        </w:tc>
        <w:tc>
          <w:tcPr>
            <w:tcW w:w="1023"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Mature trophozoites</w:t>
            </w:r>
          </w:p>
        </w:tc>
      </w:tr>
      <w:tr w:rsidR="00F74595" w:rsidRPr="00F74595" w:rsidTr="00F74595">
        <w:trPr>
          <w:trHeight w:val="630"/>
        </w:trPr>
        <w:tc>
          <w:tcPr>
            <w:tcW w:w="1155" w:type="dxa"/>
            <w:tcBorders>
              <w:top w:val="nil"/>
              <w:left w:val="nil"/>
              <w:bottom w:val="nil"/>
              <w:right w:val="nil"/>
            </w:tcBorders>
            <w:shd w:val="clear" w:color="000000" w:fill="FFEB9C"/>
            <w:vAlign w:val="bottom"/>
            <w:hideMark/>
          </w:tcPr>
          <w:p w:rsidR="00F74595" w:rsidRPr="00F74595" w:rsidRDefault="00F74595" w:rsidP="00F74595">
            <w:pPr>
              <w:spacing w:after="0" w:line="240" w:lineRule="auto"/>
              <w:jc w:val="center"/>
              <w:rPr>
                <w:rFonts w:ascii="Calibri" w:eastAsia="Times New Roman" w:hAnsi="Calibri" w:cs="Calibri"/>
                <w:color w:val="9C5700"/>
                <w:sz w:val="18"/>
                <w:szCs w:val="18"/>
                <w:lang w:eastAsia="en-AU"/>
              </w:rPr>
            </w:pPr>
            <w:r w:rsidRPr="00F74595">
              <w:rPr>
                <w:rFonts w:ascii="Calibri" w:eastAsia="Times New Roman" w:hAnsi="Calibri" w:cs="Calibri"/>
                <w:color w:val="9C5700"/>
                <w:sz w:val="18"/>
                <w:szCs w:val="18"/>
                <w:lang w:eastAsia="en-AU"/>
              </w:rPr>
              <w:t>Heavy malaria pigment</w:t>
            </w:r>
          </w:p>
        </w:tc>
        <w:tc>
          <w:tcPr>
            <w:tcW w:w="1155"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9C5700"/>
                <w:sz w:val="18"/>
                <w:szCs w:val="18"/>
                <w:lang w:eastAsia="en-AU"/>
              </w:rPr>
            </w:pPr>
          </w:p>
        </w:tc>
        <w:tc>
          <w:tcPr>
            <w:tcW w:w="1156"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Early trophozoites</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Parasitised red cells not enlarged</w:t>
            </w:r>
          </w:p>
        </w:tc>
        <w:tc>
          <w:tcPr>
            <w:tcW w:w="1156"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Schizonts</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Frequent band (equatorial) forms</w:t>
            </w:r>
          </w:p>
        </w:tc>
        <w:tc>
          <w:tcPr>
            <w:tcW w:w="1156"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p>
        </w:tc>
        <w:tc>
          <w:tcPr>
            <w:tcW w:w="1156"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821" w:type="dxa"/>
            <w:vMerge/>
            <w:tcBorders>
              <w:top w:val="single" w:sz="4" w:space="0" w:color="auto"/>
              <w:left w:val="nil"/>
              <w:bottom w:val="single" w:sz="4" w:space="0" w:color="000000"/>
              <w:right w:val="nil"/>
            </w:tcBorders>
            <w:vAlign w:val="center"/>
            <w:hideMark/>
          </w:tcPr>
          <w:p w:rsidR="00F74595" w:rsidRPr="00F74595" w:rsidRDefault="00F74595" w:rsidP="00F74595">
            <w:pPr>
              <w:spacing w:after="0" w:line="240" w:lineRule="auto"/>
              <w:rPr>
                <w:rFonts w:ascii="Calibri" w:eastAsia="Times New Roman" w:hAnsi="Calibri" w:cs="Calibri"/>
                <w:color w:val="000000"/>
                <w:sz w:val="20"/>
                <w:szCs w:val="20"/>
                <w:lang w:eastAsia="en-AU"/>
              </w:rPr>
            </w:pPr>
          </w:p>
        </w:tc>
        <w:tc>
          <w:tcPr>
            <w:tcW w:w="1072"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1020" w:type="dxa"/>
            <w:tcBorders>
              <w:top w:val="nil"/>
              <w:left w:val="nil"/>
              <w:bottom w:val="nil"/>
              <w:right w:val="nil"/>
            </w:tcBorders>
            <w:shd w:val="clear" w:color="auto" w:fill="auto"/>
            <w:vAlign w:val="bottom"/>
            <w:hideMark/>
          </w:tcPr>
          <w:p w:rsidR="00F74595" w:rsidRPr="00F74595" w:rsidRDefault="00F74595" w:rsidP="00F74595">
            <w:pPr>
              <w:spacing w:after="0" w:line="240" w:lineRule="auto"/>
              <w:rPr>
                <w:rFonts w:ascii="Times New Roman" w:eastAsia="Times New Roman" w:hAnsi="Times New Roman" w:cs="Times New Roman"/>
                <w:sz w:val="20"/>
                <w:szCs w:val="20"/>
                <w:lang w:eastAsia="en-AU"/>
              </w:rPr>
            </w:pPr>
          </w:p>
        </w:tc>
        <w:tc>
          <w:tcPr>
            <w:tcW w:w="1023" w:type="dxa"/>
            <w:tcBorders>
              <w:top w:val="nil"/>
              <w:left w:val="nil"/>
              <w:bottom w:val="nil"/>
              <w:right w:val="nil"/>
            </w:tcBorders>
            <w:shd w:val="clear" w:color="auto" w:fill="auto"/>
            <w:vAlign w:val="bottom"/>
            <w:hideMark/>
          </w:tcPr>
          <w:p w:rsidR="00F74595" w:rsidRPr="00F74595" w:rsidRDefault="00F74595" w:rsidP="00F74595">
            <w:pPr>
              <w:spacing w:after="0" w:line="240" w:lineRule="auto"/>
              <w:rPr>
                <w:rFonts w:ascii="Times New Roman" w:eastAsia="Times New Roman" w:hAnsi="Times New Roman" w:cs="Times New Roman"/>
                <w:sz w:val="20"/>
                <w:szCs w:val="20"/>
                <w:lang w:eastAsia="en-AU"/>
              </w:rPr>
            </w:pPr>
          </w:p>
        </w:tc>
      </w:tr>
      <w:tr w:rsidR="00F74595" w:rsidRPr="00F74595" w:rsidTr="00F74595">
        <w:trPr>
          <w:trHeight w:val="630"/>
        </w:trPr>
        <w:tc>
          <w:tcPr>
            <w:tcW w:w="1155"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Mature trophozoites</w:t>
            </w:r>
          </w:p>
        </w:tc>
        <w:tc>
          <w:tcPr>
            <w:tcW w:w="1155"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p>
        </w:tc>
        <w:tc>
          <w:tcPr>
            <w:tcW w:w="1156"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000000" w:fill="FFF2CC"/>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r w:rsidRPr="00F74595">
              <w:rPr>
                <w:rFonts w:ascii="Calibri" w:eastAsia="Times New Roman" w:hAnsi="Calibri" w:cs="Calibri"/>
                <w:sz w:val="18"/>
                <w:szCs w:val="18"/>
                <w:lang w:eastAsia="en-AU"/>
              </w:rPr>
              <w:t>Schizonts</w:t>
            </w:r>
          </w:p>
        </w:tc>
        <w:tc>
          <w:tcPr>
            <w:tcW w:w="1156"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sz w:val="18"/>
                <w:szCs w:val="18"/>
                <w:lang w:eastAsia="en-AU"/>
              </w:rPr>
            </w:pPr>
          </w:p>
        </w:tc>
        <w:tc>
          <w:tcPr>
            <w:tcW w:w="1156"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821" w:type="dxa"/>
            <w:vMerge/>
            <w:tcBorders>
              <w:top w:val="single" w:sz="4" w:space="0" w:color="auto"/>
              <w:left w:val="nil"/>
              <w:bottom w:val="single" w:sz="4" w:space="0" w:color="000000"/>
              <w:right w:val="nil"/>
            </w:tcBorders>
            <w:vAlign w:val="center"/>
            <w:hideMark/>
          </w:tcPr>
          <w:p w:rsidR="00F74595" w:rsidRPr="00F74595" w:rsidRDefault="00F74595" w:rsidP="00F74595">
            <w:pPr>
              <w:spacing w:after="0" w:line="240" w:lineRule="auto"/>
              <w:rPr>
                <w:rFonts w:ascii="Calibri" w:eastAsia="Times New Roman" w:hAnsi="Calibri" w:cs="Calibri"/>
                <w:color w:val="000000"/>
                <w:sz w:val="20"/>
                <w:szCs w:val="20"/>
                <w:lang w:eastAsia="en-AU"/>
              </w:rPr>
            </w:pPr>
          </w:p>
        </w:tc>
        <w:tc>
          <w:tcPr>
            <w:tcW w:w="1072"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Times New Roman" w:eastAsia="Times New Roman" w:hAnsi="Times New Roman" w:cs="Times New Roman"/>
                <w:sz w:val="20"/>
                <w:szCs w:val="20"/>
                <w:lang w:eastAsia="en-AU"/>
              </w:rPr>
            </w:pPr>
          </w:p>
        </w:tc>
        <w:tc>
          <w:tcPr>
            <w:tcW w:w="1020" w:type="dxa"/>
            <w:tcBorders>
              <w:top w:val="nil"/>
              <w:left w:val="nil"/>
              <w:bottom w:val="nil"/>
              <w:right w:val="nil"/>
            </w:tcBorders>
            <w:shd w:val="clear" w:color="auto" w:fill="auto"/>
            <w:vAlign w:val="bottom"/>
            <w:hideMark/>
          </w:tcPr>
          <w:p w:rsidR="00F74595" w:rsidRPr="00F74595" w:rsidRDefault="00F74595" w:rsidP="00F74595">
            <w:pPr>
              <w:spacing w:after="0" w:line="240" w:lineRule="auto"/>
              <w:rPr>
                <w:rFonts w:ascii="Times New Roman" w:eastAsia="Times New Roman" w:hAnsi="Times New Roman" w:cs="Times New Roman"/>
                <w:sz w:val="20"/>
                <w:szCs w:val="20"/>
                <w:lang w:eastAsia="en-AU"/>
              </w:rPr>
            </w:pPr>
          </w:p>
        </w:tc>
        <w:tc>
          <w:tcPr>
            <w:tcW w:w="1023" w:type="dxa"/>
            <w:tcBorders>
              <w:top w:val="nil"/>
              <w:left w:val="nil"/>
              <w:bottom w:val="nil"/>
              <w:right w:val="nil"/>
            </w:tcBorders>
            <w:shd w:val="clear" w:color="auto" w:fill="auto"/>
            <w:vAlign w:val="bottom"/>
            <w:hideMark/>
          </w:tcPr>
          <w:p w:rsidR="00F74595" w:rsidRPr="00F74595" w:rsidRDefault="00F74595" w:rsidP="00F74595">
            <w:pPr>
              <w:spacing w:after="0" w:line="240" w:lineRule="auto"/>
              <w:rPr>
                <w:rFonts w:ascii="Times New Roman" w:eastAsia="Times New Roman" w:hAnsi="Times New Roman" w:cs="Times New Roman"/>
                <w:sz w:val="20"/>
                <w:szCs w:val="20"/>
                <w:lang w:eastAsia="en-AU"/>
              </w:rPr>
            </w:pPr>
          </w:p>
        </w:tc>
      </w:tr>
      <w:tr w:rsidR="00F74595" w:rsidRPr="00F74595" w:rsidTr="00F74595">
        <w:trPr>
          <w:trHeight w:val="1051"/>
        </w:trPr>
        <w:tc>
          <w:tcPr>
            <w:tcW w:w="1155"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xml:space="preserve">Malaria - Plasmodium </w:t>
            </w:r>
            <w:proofErr w:type="spellStart"/>
            <w:r w:rsidRPr="00F74595">
              <w:rPr>
                <w:rFonts w:ascii="Calibri" w:eastAsia="Times New Roman" w:hAnsi="Calibri" w:cs="Calibri"/>
                <w:color w:val="000000"/>
                <w:sz w:val="18"/>
                <w:szCs w:val="18"/>
                <w:lang w:eastAsia="en-AU"/>
              </w:rPr>
              <w:t>malariae</w:t>
            </w:r>
            <w:proofErr w:type="spellEnd"/>
            <w:r w:rsidRPr="00F74595">
              <w:rPr>
                <w:rFonts w:ascii="Calibri" w:eastAsia="Times New Roman" w:hAnsi="Calibri" w:cs="Calibri"/>
                <w:color w:val="000000"/>
                <w:sz w:val="18"/>
                <w:szCs w:val="18"/>
                <w:lang w:eastAsia="en-AU"/>
              </w:rPr>
              <w:t xml:space="preserve"> </w:t>
            </w:r>
          </w:p>
        </w:tc>
        <w:tc>
          <w:tcPr>
            <w:tcW w:w="1155"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 xml:space="preserve">Malaria – mixed infection </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 xml:space="preserve">Malaria – mixed infection </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 xml:space="preserve">Malaria – mixed infection </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 xml:space="preserve">Malaria – mixed infection </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 xml:space="preserve">Malaria – mixed infection </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 xml:space="preserve">Malaria – mixed infection </w:t>
            </w: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 xml:space="preserve">Malaria – mixed infection </w:t>
            </w:r>
          </w:p>
        </w:tc>
        <w:tc>
          <w:tcPr>
            <w:tcW w:w="1156"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p>
        </w:tc>
        <w:tc>
          <w:tcPr>
            <w:tcW w:w="1156"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 xml:space="preserve">Malaria – mixed infection </w:t>
            </w:r>
          </w:p>
        </w:tc>
        <w:tc>
          <w:tcPr>
            <w:tcW w:w="821" w:type="dxa"/>
            <w:tcBorders>
              <w:top w:val="nil"/>
              <w:left w:val="single" w:sz="4" w:space="0" w:color="auto"/>
              <w:bottom w:val="single" w:sz="4" w:space="0" w:color="auto"/>
              <w:right w:val="single" w:sz="4" w:space="0" w:color="auto"/>
            </w:tcBorders>
            <w:shd w:val="clear" w:color="000000" w:fill="F8CBAD"/>
            <w:textDirection w:val="tbRl"/>
            <w:vAlign w:val="center"/>
            <w:hideMark/>
          </w:tcPr>
          <w:p w:rsidR="00F74595" w:rsidRPr="00F74595" w:rsidRDefault="00F74595" w:rsidP="00F74595">
            <w:pPr>
              <w:spacing w:after="0" w:line="240" w:lineRule="auto"/>
              <w:jc w:val="center"/>
              <w:rPr>
                <w:rFonts w:ascii="Calibri" w:eastAsia="Times New Roman" w:hAnsi="Calibri" w:cs="Calibri"/>
                <w:color w:val="000000"/>
                <w:sz w:val="20"/>
                <w:szCs w:val="20"/>
                <w:lang w:eastAsia="en-AU"/>
              </w:rPr>
            </w:pPr>
            <w:r w:rsidRPr="00F74595">
              <w:rPr>
                <w:rFonts w:ascii="Calibri" w:eastAsia="Times New Roman" w:hAnsi="Calibri" w:cs="Calibri"/>
                <w:color w:val="000000"/>
                <w:sz w:val="20"/>
                <w:szCs w:val="20"/>
                <w:lang w:eastAsia="en-AU"/>
              </w:rPr>
              <w:t xml:space="preserve">Primary Diagnosis </w:t>
            </w:r>
          </w:p>
        </w:tc>
        <w:tc>
          <w:tcPr>
            <w:tcW w:w="1072"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center"/>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 xml:space="preserve">Malaria – mixed infection </w:t>
            </w:r>
          </w:p>
        </w:tc>
        <w:tc>
          <w:tcPr>
            <w:tcW w:w="1020"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xml:space="preserve"> Plasmodium falciparum and Plasmodium </w:t>
            </w:r>
            <w:proofErr w:type="spellStart"/>
            <w:r w:rsidRPr="00F74595">
              <w:rPr>
                <w:rFonts w:ascii="Calibri" w:eastAsia="Times New Roman" w:hAnsi="Calibri" w:cs="Calibri"/>
                <w:color w:val="000000"/>
                <w:sz w:val="18"/>
                <w:szCs w:val="18"/>
                <w:lang w:eastAsia="en-AU"/>
              </w:rPr>
              <w:t>malariae</w:t>
            </w:r>
            <w:proofErr w:type="spellEnd"/>
            <w:r w:rsidRPr="00F74595">
              <w:rPr>
                <w:rFonts w:ascii="Calibri" w:eastAsia="Times New Roman" w:hAnsi="Calibri" w:cs="Calibri"/>
                <w:color w:val="000000"/>
                <w:sz w:val="18"/>
                <w:szCs w:val="18"/>
                <w:lang w:eastAsia="en-AU"/>
              </w:rPr>
              <w:t xml:space="preserve"> </w:t>
            </w:r>
          </w:p>
        </w:tc>
        <w:tc>
          <w:tcPr>
            <w:tcW w:w="1023"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center"/>
              <w:rPr>
                <w:rFonts w:ascii="Calibri" w:eastAsia="Times New Roman" w:hAnsi="Calibri" w:cs="Calibri"/>
                <w:color w:val="000000"/>
                <w:sz w:val="18"/>
                <w:szCs w:val="18"/>
                <w:lang w:eastAsia="en-AU"/>
              </w:rPr>
            </w:pPr>
          </w:p>
        </w:tc>
      </w:tr>
    </w:tbl>
    <w:p w:rsidR="00F74595" w:rsidRDefault="00F74595">
      <w:pPr>
        <w:rPr>
          <w:rFonts w:ascii="Arial" w:hAnsi="Arial" w:cs="Arial"/>
          <w:sz w:val="34"/>
          <w:szCs w:val="34"/>
          <w:shd w:val="clear" w:color="auto" w:fill="FFFFFF"/>
        </w:rPr>
      </w:pPr>
    </w:p>
    <w:p w:rsidR="00F74595" w:rsidRDefault="00F74595">
      <w:pPr>
        <w:rPr>
          <w:rFonts w:ascii="Arial" w:hAnsi="Arial" w:cs="Arial"/>
          <w:sz w:val="34"/>
          <w:szCs w:val="34"/>
          <w:shd w:val="clear" w:color="auto" w:fill="FFFFFF"/>
        </w:rPr>
      </w:pPr>
    </w:p>
    <w:p w:rsidR="006E149C" w:rsidRDefault="006E149C">
      <w:pPr>
        <w:rPr>
          <w:rFonts w:ascii="Arial" w:hAnsi="Arial" w:cs="Arial"/>
          <w:sz w:val="34"/>
          <w:szCs w:val="34"/>
          <w:shd w:val="clear" w:color="auto" w:fill="FFFFFF"/>
        </w:rPr>
      </w:pPr>
    </w:p>
    <w:p w:rsidR="006E149C" w:rsidRDefault="006E149C">
      <w:pPr>
        <w:rPr>
          <w:rFonts w:ascii="Arial" w:hAnsi="Arial" w:cs="Arial"/>
          <w:sz w:val="34"/>
          <w:szCs w:val="34"/>
          <w:shd w:val="clear" w:color="auto" w:fill="FFFFFF"/>
        </w:rPr>
      </w:pPr>
    </w:p>
    <w:p w:rsidR="006E149C" w:rsidRDefault="006E149C">
      <w:pPr>
        <w:rPr>
          <w:rFonts w:ascii="Arial" w:hAnsi="Arial" w:cs="Arial"/>
          <w:sz w:val="34"/>
          <w:szCs w:val="34"/>
          <w:shd w:val="clear" w:color="auto" w:fill="FFFFFF"/>
        </w:rPr>
      </w:pPr>
    </w:p>
    <w:p w:rsidR="00972F0F" w:rsidRDefault="00972F0F">
      <w:r>
        <w:rPr>
          <w:rFonts w:ascii="Arial" w:hAnsi="Arial" w:cs="Arial"/>
          <w:sz w:val="34"/>
          <w:szCs w:val="34"/>
          <w:shd w:val="clear" w:color="auto" w:fill="FFFFFF"/>
        </w:rPr>
        <w:lastRenderedPageBreak/>
        <w:t>HA-MA-22-03 Result review</w:t>
      </w:r>
    </w:p>
    <w:p w:rsidR="00972F0F" w:rsidRDefault="00972F0F">
      <w:r>
        <w:rPr>
          <w:noProof/>
        </w:rPr>
        <w:drawing>
          <wp:inline distT="0" distB="0" distL="0" distR="0" wp14:anchorId="54C22504" wp14:editId="6286698C">
            <wp:extent cx="5353050" cy="3228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53050" cy="3228975"/>
                    </a:xfrm>
                    <a:prstGeom prst="rect">
                      <a:avLst/>
                    </a:prstGeom>
                  </pic:spPr>
                </pic:pic>
              </a:graphicData>
            </a:graphic>
          </wp:inline>
        </w:drawing>
      </w:r>
    </w:p>
    <w:p w:rsidR="00F74595" w:rsidRDefault="00F74595"/>
    <w:tbl>
      <w:tblPr>
        <w:tblW w:w="15685" w:type="dxa"/>
        <w:jc w:val="center"/>
        <w:tblLook w:val="04A0" w:firstRow="1" w:lastRow="0" w:firstColumn="1" w:lastColumn="0" w:noHBand="0" w:noVBand="1"/>
      </w:tblPr>
      <w:tblGrid>
        <w:gridCol w:w="997"/>
        <w:gridCol w:w="882"/>
        <w:gridCol w:w="882"/>
        <w:gridCol w:w="882"/>
        <w:gridCol w:w="882"/>
        <w:gridCol w:w="468"/>
        <w:gridCol w:w="1287"/>
        <w:gridCol w:w="898"/>
        <w:gridCol w:w="882"/>
        <w:gridCol w:w="882"/>
        <w:gridCol w:w="643"/>
        <w:gridCol w:w="820"/>
        <w:gridCol w:w="784"/>
        <w:gridCol w:w="760"/>
        <w:gridCol w:w="648"/>
        <w:gridCol w:w="997"/>
        <w:gridCol w:w="777"/>
        <w:gridCol w:w="659"/>
        <w:gridCol w:w="655"/>
      </w:tblGrid>
      <w:tr w:rsidR="00562C2D" w:rsidRPr="00F74595" w:rsidTr="00562C2D">
        <w:trPr>
          <w:trHeight w:val="174"/>
          <w:jc w:val="center"/>
        </w:trPr>
        <w:tc>
          <w:tcPr>
            <w:tcW w:w="997" w:type="dxa"/>
            <w:tcBorders>
              <w:top w:val="nil"/>
              <w:left w:val="nil"/>
              <w:bottom w:val="nil"/>
              <w:right w:val="nil"/>
            </w:tcBorders>
            <w:shd w:val="clear" w:color="auto" w:fill="auto"/>
            <w:vAlign w:val="bottom"/>
            <w:hideMark/>
          </w:tcPr>
          <w:p w:rsidR="00562C2D" w:rsidRPr="00F74595" w:rsidRDefault="00562C2D" w:rsidP="00F74595">
            <w:pPr>
              <w:spacing w:after="0" w:line="240" w:lineRule="auto"/>
              <w:rPr>
                <w:rFonts w:ascii="Times New Roman" w:eastAsia="Times New Roman" w:hAnsi="Times New Roman" w:cs="Times New Roman"/>
                <w:sz w:val="24"/>
                <w:szCs w:val="24"/>
                <w:lang w:eastAsia="en-AU"/>
              </w:rPr>
            </w:pPr>
          </w:p>
        </w:tc>
        <w:tc>
          <w:tcPr>
            <w:tcW w:w="1764" w:type="dxa"/>
            <w:gridSpan w:val="2"/>
            <w:tcBorders>
              <w:top w:val="nil"/>
              <w:left w:val="nil"/>
              <w:bottom w:val="nil"/>
              <w:right w:val="nil"/>
            </w:tcBorders>
            <w:shd w:val="clear" w:color="000000" w:fill="D9E1F2"/>
            <w:vAlign w:val="bottom"/>
            <w:hideMark/>
          </w:tcPr>
          <w:p w:rsidR="00562C2D" w:rsidRPr="00562C2D" w:rsidRDefault="00562C2D" w:rsidP="00F74595">
            <w:pPr>
              <w:spacing w:after="0" w:line="240" w:lineRule="auto"/>
              <w:rPr>
                <w:rFonts w:ascii="Calibri" w:eastAsia="Times New Roman" w:hAnsi="Calibri" w:cs="Calibri"/>
                <w:b/>
                <w:color w:val="000000"/>
                <w:sz w:val="18"/>
                <w:szCs w:val="18"/>
                <w:lang w:eastAsia="en-AU"/>
              </w:rPr>
            </w:pPr>
            <w:r w:rsidRPr="00562C2D">
              <w:rPr>
                <w:rFonts w:ascii="Calibri" w:eastAsia="Times New Roman" w:hAnsi="Calibri" w:cs="Calibri"/>
                <w:b/>
                <w:color w:val="000000"/>
                <w:sz w:val="18"/>
                <w:szCs w:val="18"/>
                <w:lang w:eastAsia="en-AU"/>
              </w:rPr>
              <w:t>HA-MA-22-03</w:t>
            </w:r>
          </w:p>
          <w:p w:rsidR="00562C2D" w:rsidRPr="00562C2D" w:rsidRDefault="00562C2D" w:rsidP="00F74595">
            <w:pPr>
              <w:spacing w:after="0" w:line="240" w:lineRule="auto"/>
              <w:rPr>
                <w:rFonts w:ascii="Calibri" w:eastAsia="Times New Roman" w:hAnsi="Calibri" w:cs="Calibri"/>
                <w:b/>
                <w:color w:val="000000"/>
                <w:sz w:val="18"/>
                <w:szCs w:val="18"/>
                <w:lang w:eastAsia="en-AU"/>
              </w:rPr>
            </w:pPr>
            <w:r w:rsidRPr="00562C2D">
              <w:rPr>
                <w:rFonts w:ascii="Calibri" w:eastAsia="Times New Roman" w:hAnsi="Calibri" w:cs="Calibri"/>
                <w:b/>
                <w:color w:val="000000"/>
                <w:sz w:val="18"/>
                <w:szCs w:val="18"/>
                <w:lang w:eastAsia="en-AU"/>
              </w:rPr>
              <w:t> </w:t>
            </w:r>
          </w:p>
        </w:tc>
        <w:tc>
          <w:tcPr>
            <w:tcW w:w="882" w:type="dxa"/>
            <w:tcBorders>
              <w:top w:val="nil"/>
              <w:left w:val="nil"/>
              <w:bottom w:val="nil"/>
              <w:right w:val="nil"/>
            </w:tcBorders>
            <w:shd w:val="clear" w:color="000000" w:fill="D9E1F2"/>
            <w:vAlign w:val="bottom"/>
            <w:hideMark/>
          </w:tcPr>
          <w:p w:rsidR="00562C2D" w:rsidRPr="00F74595" w:rsidRDefault="00562C2D"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882" w:type="dxa"/>
            <w:tcBorders>
              <w:top w:val="nil"/>
              <w:left w:val="nil"/>
              <w:bottom w:val="nil"/>
              <w:right w:val="nil"/>
            </w:tcBorders>
            <w:shd w:val="clear" w:color="000000" w:fill="D9E1F2"/>
            <w:vAlign w:val="bottom"/>
            <w:hideMark/>
          </w:tcPr>
          <w:p w:rsidR="00562C2D" w:rsidRPr="00F74595" w:rsidRDefault="00562C2D"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468" w:type="dxa"/>
            <w:tcBorders>
              <w:top w:val="nil"/>
              <w:left w:val="nil"/>
              <w:bottom w:val="nil"/>
              <w:right w:val="nil"/>
            </w:tcBorders>
            <w:shd w:val="clear" w:color="000000" w:fill="D9E1F2"/>
            <w:vAlign w:val="bottom"/>
            <w:hideMark/>
          </w:tcPr>
          <w:p w:rsidR="00562C2D" w:rsidRPr="00F74595" w:rsidRDefault="00562C2D"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1287" w:type="dxa"/>
            <w:tcBorders>
              <w:top w:val="nil"/>
              <w:left w:val="nil"/>
              <w:bottom w:val="nil"/>
              <w:right w:val="nil"/>
            </w:tcBorders>
            <w:shd w:val="clear" w:color="000000" w:fill="D9E1F2"/>
            <w:vAlign w:val="bottom"/>
            <w:hideMark/>
          </w:tcPr>
          <w:p w:rsidR="00562C2D" w:rsidRPr="00F74595" w:rsidRDefault="00562C2D"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898" w:type="dxa"/>
            <w:tcBorders>
              <w:top w:val="nil"/>
              <w:left w:val="nil"/>
              <w:bottom w:val="nil"/>
              <w:right w:val="nil"/>
            </w:tcBorders>
            <w:shd w:val="clear" w:color="000000" w:fill="D9E1F2"/>
            <w:vAlign w:val="bottom"/>
            <w:hideMark/>
          </w:tcPr>
          <w:p w:rsidR="00562C2D" w:rsidRPr="00F74595" w:rsidRDefault="00562C2D"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882" w:type="dxa"/>
            <w:tcBorders>
              <w:top w:val="nil"/>
              <w:left w:val="nil"/>
              <w:bottom w:val="nil"/>
              <w:right w:val="nil"/>
            </w:tcBorders>
            <w:shd w:val="clear" w:color="000000" w:fill="D9E1F2"/>
            <w:vAlign w:val="bottom"/>
            <w:hideMark/>
          </w:tcPr>
          <w:p w:rsidR="00562C2D" w:rsidRPr="00F74595" w:rsidRDefault="00562C2D"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882" w:type="dxa"/>
            <w:tcBorders>
              <w:top w:val="nil"/>
              <w:left w:val="nil"/>
              <w:bottom w:val="nil"/>
              <w:right w:val="nil"/>
            </w:tcBorders>
            <w:shd w:val="clear" w:color="000000" w:fill="D9E1F2"/>
            <w:vAlign w:val="bottom"/>
            <w:hideMark/>
          </w:tcPr>
          <w:p w:rsidR="00562C2D" w:rsidRPr="00F74595" w:rsidRDefault="00562C2D"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643" w:type="dxa"/>
            <w:tcBorders>
              <w:top w:val="nil"/>
              <w:left w:val="nil"/>
              <w:bottom w:val="nil"/>
              <w:right w:val="nil"/>
            </w:tcBorders>
            <w:shd w:val="clear" w:color="000000" w:fill="D9E1F2"/>
            <w:vAlign w:val="bottom"/>
            <w:hideMark/>
          </w:tcPr>
          <w:p w:rsidR="00562C2D" w:rsidRPr="00F74595" w:rsidRDefault="00562C2D"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820" w:type="dxa"/>
            <w:tcBorders>
              <w:top w:val="nil"/>
              <w:left w:val="nil"/>
              <w:bottom w:val="nil"/>
              <w:right w:val="nil"/>
            </w:tcBorders>
            <w:shd w:val="clear" w:color="000000" w:fill="D9E1F2"/>
            <w:vAlign w:val="bottom"/>
            <w:hideMark/>
          </w:tcPr>
          <w:p w:rsidR="00562C2D" w:rsidRPr="00F74595" w:rsidRDefault="00562C2D"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784" w:type="dxa"/>
            <w:tcBorders>
              <w:top w:val="nil"/>
              <w:left w:val="nil"/>
              <w:bottom w:val="nil"/>
              <w:right w:val="nil"/>
            </w:tcBorders>
            <w:shd w:val="clear" w:color="000000" w:fill="D9E1F2"/>
            <w:vAlign w:val="bottom"/>
            <w:hideMark/>
          </w:tcPr>
          <w:p w:rsidR="00562C2D" w:rsidRPr="00F74595" w:rsidRDefault="00562C2D"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760" w:type="dxa"/>
            <w:tcBorders>
              <w:top w:val="nil"/>
              <w:left w:val="nil"/>
              <w:bottom w:val="nil"/>
              <w:right w:val="nil"/>
            </w:tcBorders>
            <w:shd w:val="clear" w:color="000000" w:fill="D9E1F2"/>
            <w:vAlign w:val="bottom"/>
            <w:hideMark/>
          </w:tcPr>
          <w:p w:rsidR="00562C2D" w:rsidRPr="00F74595" w:rsidRDefault="00562C2D"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648" w:type="dxa"/>
            <w:tcBorders>
              <w:top w:val="nil"/>
              <w:left w:val="nil"/>
              <w:bottom w:val="nil"/>
              <w:right w:val="nil"/>
            </w:tcBorders>
            <w:shd w:val="clear" w:color="000000" w:fill="D9E1F2"/>
            <w:vAlign w:val="bottom"/>
            <w:hideMark/>
          </w:tcPr>
          <w:p w:rsidR="00562C2D" w:rsidRPr="00F74595" w:rsidRDefault="00562C2D"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 </w:t>
            </w:r>
          </w:p>
        </w:tc>
        <w:tc>
          <w:tcPr>
            <w:tcW w:w="997" w:type="dxa"/>
            <w:tcBorders>
              <w:top w:val="nil"/>
              <w:left w:val="nil"/>
              <w:bottom w:val="nil"/>
              <w:right w:val="nil"/>
            </w:tcBorders>
            <w:shd w:val="clear" w:color="auto" w:fill="auto"/>
            <w:vAlign w:val="bottom"/>
            <w:hideMark/>
          </w:tcPr>
          <w:p w:rsidR="00562C2D" w:rsidRPr="00F74595" w:rsidRDefault="00562C2D" w:rsidP="00F74595">
            <w:pPr>
              <w:spacing w:after="0" w:line="240" w:lineRule="auto"/>
              <w:rPr>
                <w:rFonts w:ascii="Calibri" w:eastAsia="Times New Roman" w:hAnsi="Calibri" w:cs="Calibri"/>
                <w:color w:val="000000"/>
                <w:sz w:val="18"/>
                <w:szCs w:val="18"/>
                <w:lang w:eastAsia="en-AU"/>
              </w:rPr>
            </w:pPr>
          </w:p>
        </w:tc>
        <w:tc>
          <w:tcPr>
            <w:tcW w:w="2091" w:type="dxa"/>
            <w:gridSpan w:val="3"/>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562C2D" w:rsidRPr="00F74595" w:rsidRDefault="00562C2D" w:rsidP="00F74595">
            <w:pPr>
              <w:spacing w:after="0" w:line="240" w:lineRule="auto"/>
              <w:jc w:val="center"/>
              <w:rPr>
                <w:rFonts w:ascii="Calibri" w:eastAsia="Times New Roman" w:hAnsi="Calibri" w:cs="Calibri"/>
                <w:b/>
                <w:bCs/>
                <w:color w:val="000000"/>
                <w:lang w:eastAsia="en-AU"/>
              </w:rPr>
            </w:pPr>
            <w:r w:rsidRPr="00F74595">
              <w:rPr>
                <w:rFonts w:ascii="Calibri" w:eastAsia="Times New Roman" w:hAnsi="Calibri" w:cs="Calibri"/>
                <w:b/>
                <w:bCs/>
                <w:color w:val="000000"/>
                <w:lang w:eastAsia="en-AU"/>
              </w:rPr>
              <w:t>RCPA Report 11/05/2022</w:t>
            </w:r>
          </w:p>
        </w:tc>
      </w:tr>
      <w:tr w:rsidR="00562C2D" w:rsidRPr="00F74595" w:rsidTr="00562C2D">
        <w:trPr>
          <w:trHeight w:val="296"/>
          <w:jc w:val="center"/>
        </w:trPr>
        <w:tc>
          <w:tcPr>
            <w:tcW w:w="997" w:type="dxa"/>
            <w:tcBorders>
              <w:top w:val="nil"/>
              <w:left w:val="nil"/>
              <w:bottom w:val="nil"/>
              <w:right w:val="nil"/>
            </w:tcBorders>
            <w:shd w:val="clear" w:color="000000" w:fill="FF7C80"/>
            <w:vAlign w:val="bottom"/>
            <w:hideMark/>
          </w:tcPr>
          <w:p w:rsidR="00F74595" w:rsidRPr="00F74595" w:rsidRDefault="00F74595" w:rsidP="00F74595">
            <w:pPr>
              <w:spacing w:after="0" w:line="240" w:lineRule="auto"/>
              <w:rPr>
                <w:rFonts w:ascii="Calibri" w:eastAsia="Times New Roman" w:hAnsi="Calibri" w:cs="Calibri"/>
                <w:color w:val="000000"/>
                <w:sz w:val="20"/>
                <w:szCs w:val="20"/>
                <w:lang w:eastAsia="en-AU"/>
              </w:rPr>
            </w:pPr>
            <w:r w:rsidRPr="00F74595">
              <w:rPr>
                <w:rFonts w:ascii="Calibri" w:eastAsia="Times New Roman" w:hAnsi="Calibri" w:cs="Calibri"/>
                <w:color w:val="000000"/>
                <w:sz w:val="20"/>
                <w:szCs w:val="20"/>
                <w:lang w:eastAsia="en-AU"/>
              </w:rPr>
              <w:t>PARASITE COUNT (#)</w:t>
            </w:r>
          </w:p>
        </w:tc>
        <w:tc>
          <w:tcPr>
            <w:tcW w:w="882"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right"/>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120</w:t>
            </w:r>
          </w:p>
        </w:tc>
        <w:tc>
          <w:tcPr>
            <w:tcW w:w="882"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right"/>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113</w:t>
            </w:r>
          </w:p>
        </w:tc>
        <w:tc>
          <w:tcPr>
            <w:tcW w:w="882"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right"/>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118</w:t>
            </w:r>
          </w:p>
        </w:tc>
        <w:tc>
          <w:tcPr>
            <w:tcW w:w="882"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right"/>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114</w:t>
            </w:r>
          </w:p>
        </w:tc>
        <w:tc>
          <w:tcPr>
            <w:tcW w:w="468"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right"/>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96</w:t>
            </w:r>
          </w:p>
        </w:tc>
        <w:tc>
          <w:tcPr>
            <w:tcW w:w="1287"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right"/>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126</w:t>
            </w:r>
          </w:p>
        </w:tc>
        <w:tc>
          <w:tcPr>
            <w:tcW w:w="898"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right"/>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44090</w:t>
            </w:r>
          </w:p>
        </w:tc>
        <w:tc>
          <w:tcPr>
            <w:tcW w:w="882"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right"/>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112</w:t>
            </w:r>
          </w:p>
        </w:tc>
        <w:tc>
          <w:tcPr>
            <w:tcW w:w="882"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right"/>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100</w:t>
            </w:r>
          </w:p>
        </w:tc>
        <w:tc>
          <w:tcPr>
            <w:tcW w:w="643"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right"/>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124</w:t>
            </w:r>
          </w:p>
        </w:tc>
        <w:tc>
          <w:tcPr>
            <w:tcW w:w="820"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right"/>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141</w:t>
            </w:r>
          </w:p>
        </w:tc>
        <w:tc>
          <w:tcPr>
            <w:tcW w:w="784"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right"/>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118</w:t>
            </w:r>
          </w:p>
        </w:tc>
        <w:tc>
          <w:tcPr>
            <w:tcW w:w="760"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right"/>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111</w:t>
            </w:r>
          </w:p>
        </w:tc>
        <w:tc>
          <w:tcPr>
            <w:tcW w:w="648"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right"/>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124</w:t>
            </w:r>
          </w:p>
        </w:tc>
        <w:tc>
          <w:tcPr>
            <w:tcW w:w="997"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right"/>
              <w:rPr>
                <w:rFonts w:ascii="Calibri" w:eastAsia="Times New Roman" w:hAnsi="Calibri" w:cs="Calibri"/>
                <w:color w:val="000000"/>
                <w:sz w:val="18"/>
                <w:szCs w:val="18"/>
                <w:lang w:eastAsia="en-AU"/>
              </w:rPr>
            </w:pPr>
          </w:p>
        </w:tc>
        <w:tc>
          <w:tcPr>
            <w:tcW w:w="777" w:type="dxa"/>
            <w:tcBorders>
              <w:top w:val="nil"/>
              <w:left w:val="nil"/>
              <w:bottom w:val="nil"/>
              <w:right w:val="nil"/>
            </w:tcBorders>
            <w:shd w:val="clear" w:color="auto" w:fill="auto"/>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ASP</w:t>
            </w:r>
          </w:p>
        </w:tc>
        <w:tc>
          <w:tcPr>
            <w:tcW w:w="659" w:type="dxa"/>
            <w:tcBorders>
              <w:top w:val="nil"/>
              <w:left w:val="nil"/>
              <w:bottom w:val="nil"/>
              <w:right w:val="nil"/>
            </w:tcBorders>
            <w:shd w:val="clear" w:color="auto" w:fill="auto"/>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Min</w:t>
            </w:r>
          </w:p>
        </w:tc>
        <w:tc>
          <w:tcPr>
            <w:tcW w:w="655" w:type="dxa"/>
            <w:tcBorders>
              <w:top w:val="nil"/>
              <w:left w:val="nil"/>
              <w:bottom w:val="nil"/>
              <w:right w:val="nil"/>
            </w:tcBorders>
            <w:shd w:val="clear" w:color="auto" w:fill="auto"/>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Max</w:t>
            </w:r>
          </w:p>
        </w:tc>
      </w:tr>
      <w:tr w:rsidR="00562C2D" w:rsidRPr="00F74595" w:rsidTr="00562C2D">
        <w:trPr>
          <w:trHeight w:val="444"/>
          <w:jc w:val="center"/>
        </w:trPr>
        <w:tc>
          <w:tcPr>
            <w:tcW w:w="997" w:type="dxa"/>
            <w:tcBorders>
              <w:top w:val="nil"/>
              <w:left w:val="nil"/>
              <w:bottom w:val="nil"/>
              <w:right w:val="nil"/>
            </w:tcBorders>
            <w:shd w:val="clear" w:color="000000" w:fill="FF7C80"/>
            <w:vAlign w:val="bottom"/>
            <w:hideMark/>
          </w:tcPr>
          <w:p w:rsidR="00F74595" w:rsidRPr="00F74595" w:rsidRDefault="00F74595" w:rsidP="00F74595">
            <w:pPr>
              <w:spacing w:after="0" w:line="240" w:lineRule="auto"/>
              <w:rPr>
                <w:rFonts w:ascii="Calibri" w:eastAsia="Times New Roman" w:hAnsi="Calibri" w:cs="Calibri"/>
                <w:color w:val="000000"/>
                <w:sz w:val="20"/>
                <w:szCs w:val="20"/>
                <w:lang w:eastAsia="en-AU"/>
              </w:rPr>
            </w:pPr>
            <w:r w:rsidRPr="00F74595">
              <w:rPr>
                <w:rFonts w:ascii="Calibri" w:eastAsia="Times New Roman" w:hAnsi="Calibri" w:cs="Calibri"/>
                <w:color w:val="000000"/>
                <w:sz w:val="20"/>
                <w:szCs w:val="20"/>
                <w:lang w:eastAsia="en-AU"/>
              </w:rPr>
              <w:t>PARASITE DENSITY (%)</w:t>
            </w:r>
          </w:p>
        </w:tc>
        <w:tc>
          <w:tcPr>
            <w:tcW w:w="882"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right"/>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1.21</w:t>
            </w:r>
          </w:p>
        </w:tc>
        <w:tc>
          <w:tcPr>
            <w:tcW w:w="882"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right"/>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1.13</w:t>
            </w:r>
          </w:p>
        </w:tc>
        <w:tc>
          <w:tcPr>
            <w:tcW w:w="882"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right"/>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1.18</w:t>
            </w:r>
          </w:p>
        </w:tc>
        <w:tc>
          <w:tcPr>
            <w:tcW w:w="882"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right"/>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1.15</w:t>
            </w:r>
          </w:p>
        </w:tc>
        <w:tc>
          <w:tcPr>
            <w:tcW w:w="468"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right"/>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9.6</w:t>
            </w:r>
          </w:p>
        </w:tc>
        <w:tc>
          <w:tcPr>
            <w:tcW w:w="1287"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right"/>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1.27</w:t>
            </w:r>
          </w:p>
        </w:tc>
        <w:tc>
          <w:tcPr>
            <w:tcW w:w="898"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right"/>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0.97</w:t>
            </w:r>
          </w:p>
        </w:tc>
        <w:tc>
          <w:tcPr>
            <w:tcW w:w="882"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right"/>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1.12</w:t>
            </w:r>
          </w:p>
        </w:tc>
        <w:tc>
          <w:tcPr>
            <w:tcW w:w="882"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right"/>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1.00</w:t>
            </w:r>
          </w:p>
        </w:tc>
        <w:tc>
          <w:tcPr>
            <w:tcW w:w="643" w:type="dxa"/>
            <w:tcBorders>
              <w:top w:val="nil"/>
              <w:left w:val="nil"/>
              <w:bottom w:val="nil"/>
              <w:right w:val="nil"/>
            </w:tcBorders>
            <w:shd w:val="clear" w:color="auto" w:fill="auto"/>
            <w:vAlign w:val="bottom"/>
            <w:hideMark/>
          </w:tcPr>
          <w:p w:rsidR="00F74595" w:rsidRPr="00F74595" w:rsidRDefault="00F74595" w:rsidP="00F74595">
            <w:pPr>
              <w:spacing w:after="0" w:line="240" w:lineRule="auto"/>
              <w:jc w:val="right"/>
              <w:rPr>
                <w:rFonts w:ascii="Calibri" w:eastAsia="Times New Roman" w:hAnsi="Calibri" w:cs="Calibri"/>
                <w:color w:val="006100"/>
                <w:sz w:val="18"/>
                <w:szCs w:val="18"/>
                <w:lang w:eastAsia="en-AU"/>
              </w:rPr>
            </w:pPr>
          </w:p>
        </w:tc>
        <w:tc>
          <w:tcPr>
            <w:tcW w:w="820"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right"/>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1.42</w:t>
            </w:r>
          </w:p>
        </w:tc>
        <w:tc>
          <w:tcPr>
            <w:tcW w:w="784"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right"/>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1.19</w:t>
            </w:r>
          </w:p>
        </w:tc>
        <w:tc>
          <w:tcPr>
            <w:tcW w:w="760"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right"/>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1.12</w:t>
            </w:r>
          </w:p>
        </w:tc>
        <w:tc>
          <w:tcPr>
            <w:tcW w:w="648"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right"/>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1.24</w:t>
            </w:r>
          </w:p>
        </w:tc>
        <w:tc>
          <w:tcPr>
            <w:tcW w:w="997" w:type="dxa"/>
            <w:tcBorders>
              <w:top w:val="nil"/>
              <w:left w:val="nil"/>
              <w:bottom w:val="nil"/>
              <w:right w:val="nil"/>
            </w:tcBorders>
            <w:shd w:val="clear" w:color="000000" w:fill="FF7C80"/>
            <w:vAlign w:val="bottom"/>
            <w:hideMark/>
          </w:tcPr>
          <w:p w:rsidR="00F74595" w:rsidRPr="00F74595" w:rsidRDefault="00F74595" w:rsidP="00F74595">
            <w:pPr>
              <w:spacing w:after="0" w:line="240" w:lineRule="auto"/>
              <w:rPr>
                <w:rFonts w:ascii="Calibri" w:eastAsia="Times New Roman" w:hAnsi="Calibri" w:cs="Calibri"/>
                <w:color w:val="000000"/>
                <w:sz w:val="20"/>
                <w:szCs w:val="20"/>
                <w:lang w:eastAsia="en-AU"/>
              </w:rPr>
            </w:pPr>
            <w:r w:rsidRPr="00F74595">
              <w:rPr>
                <w:rFonts w:ascii="Calibri" w:eastAsia="Times New Roman" w:hAnsi="Calibri" w:cs="Calibri"/>
                <w:color w:val="000000"/>
                <w:sz w:val="20"/>
                <w:szCs w:val="20"/>
                <w:lang w:eastAsia="en-AU"/>
              </w:rPr>
              <w:t>PARASITE DENSITY (%)</w:t>
            </w:r>
          </w:p>
        </w:tc>
        <w:tc>
          <w:tcPr>
            <w:tcW w:w="777" w:type="dxa"/>
            <w:tcBorders>
              <w:top w:val="nil"/>
              <w:left w:val="nil"/>
              <w:bottom w:val="nil"/>
              <w:right w:val="nil"/>
            </w:tcBorders>
            <w:shd w:val="clear" w:color="auto" w:fill="auto"/>
            <w:vAlign w:val="bottom"/>
            <w:hideMark/>
          </w:tcPr>
          <w:p w:rsidR="00F74595" w:rsidRPr="00F74595" w:rsidRDefault="00F74595" w:rsidP="00F74595">
            <w:pPr>
              <w:spacing w:after="0" w:line="240" w:lineRule="auto"/>
              <w:rPr>
                <w:rFonts w:ascii="Calibri" w:eastAsia="Times New Roman" w:hAnsi="Calibri" w:cs="Calibri"/>
                <w:color w:val="000000"/>
                <w:sz w:val="18"/>
                <w:szCs w:val="18"/>
                <w:lang w:eastAsia="en-AU"/>
              </w:rPr>
            </w:pPr>
            <w:r w:rsidRPr="00F74595">
              <w:rPr>
                <w:rFonts w:ascii="Calibri" w:eastAsia="Times New Roman" w:hAnsi="Calibri" w:cs="Calibri"/>
                <w:color w:val="000000"/>
                <w:sz w:val="18"/>
                <w:szCs w:val="18"/>
                <w:lang w:eastAsia="en-AU"/>
              </w:rPr>
              <w:t>Median 1.16 +/- 3SD</w:t>
            </w:r>
          </w:p>
        </w:tc>
        <w:tc>
          <w:tcPr>
            <w:tcW w:w="659"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right"/>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0.26</w:t>
            </w:r>
          </w:p>
        </w:tc>
        <w:tc>
          <w:tcPr>
            <w:tcW w:w="655" w:type="dxa"/>
            <w:tcBorders>
              <w:top w:val="nil"/>
              <w:left w:val="nil"/>
              <w:bottom w:val="nil"/>
              <w:right w:val="nil"/>
            </w:tcBorders>
            <w:shd w:val="clear" w:color="000000" w:fill="C6EFCE"/>
            <w:vAlign w:val="bottom"/>
            <w:hideMark/>
          </w:tcPr>
          <w:p w:rsidR="00F74595" w:rsidRPr="00F74595" w:rsidRDefault="00F74595" w:rsidP="00F74595">
            <w:pPr>
              <w:spacing w:after="0" w:line="240" w:lineRule="auto"/>
              <w:jc w:val="right"/>
              <w:rPr>
                <w:rFonts w:ascii="Calibri" w:eastAsia="Times New Roman" w:hAnsi="Calibri" w:cs="Calibri"/>
                <w:color w:val="006100"/>
                <w:sz w:val="18"/>
                <w:szCs w:val="18"/>
                <w:lang w:eastAsia="en-AU"/>
              </w:rPr>
            </w:pPr>
            <w:r w:rsidRPr="00F74595">
              <w:rPr>
                <w:rFonts w:ascii="Calibri" w:eastAsia="Times New Roman" w:hAnsi="Calibri" w:cs="Calibri"/>
                <w:color w:val="006100"/>
                <w:sz w:val="18"/>
                <w:szCs w:val="18"/>
                <w:lang w:eastAsia="en-AU"/>
              </w:rPr>
              <w:t>2.06</w:t>
            </w:r>
          </w:p>
        </w:tc>
      </w:tr>
    </w:tbl>
    <w:p w:rsidR="00F74595" w:rsidRDefault="00F74595">
      <w:bookmarkStart w:id="0" w:name="_GoBack"/>
      <w:bookmarkEnd w:id="0"/>
    </w:p>
    <w:sectPr w:rsidR="00F74595" w:rsidSect="006E149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567"/>
    <w:rsid w:val="0028211C"/>
    <w:rsid w:val="002D3DF0"/>
    <w:rsid w:val="00562C2D"/>
    <w:rsid w:val="00626491"/>
    <w:rsid w:val="006E149C"/>
    <w:rsid w:val="00874567"/>
    <w:rsid w:val="00972F0F"/>
    <w:rsid w:val="00B36FC1"/>
    <w:rsid w:val="00D74FEB"/>
    <w:rsid w:val="00D820E0"/>
    <w:rsid w:val="00DA4B16"/>
    <w:rsid w:val="00F745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4C9B0"/>
  <w15:chartTrackingRefBased/>
  <w15:docId w15:val="{C903ACC4-4557-410D-A157-33F32EE90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446646">
      <w:bodyDiv w:val="1"/>
      <w:marLeft w:val="0"/>
      <w:marRight w:val="0"/>
      <w:marTop w:val="0"/>
      <w:marBottom w:val="0"/>
      <w:divBdr>
        <w:top w:val="none" w:sz="0" w:space="0" w:color="auto"/>
        <w:left w:val="none" w:sz="0" w:space="0" w:color="auto"/>
        <w:bottom w:val="none" w:sz="0" w:space="0" w:color="auto"/>
        <w:right w:val="none" w:sz="0" w:space="0" w:color="auto"/>
      </w:divBdr>
      <w:divsChild>
        <w:div w:id="1055860049">
          <w:marLeft w:val="0"/>
          <w:marRight w:val="0"/>
          <w:marTop w:val="15"/>
          <w:marBottom w:val="0"/>
          <w:divBdr>
            <w:top w:val="single" w:sz="48" w:space="0" w:color="auto"/>
            <w:left w:val="single" w:sz="48" w:space="0" w:color="auto"/>
            <w:bottom w:val="single" w:sz="48" w:space="0" w:color="auto"/>
            <w:right w:val="single" w:sz="48" w:space="0" w:color="auto"/>
          </w:divBdr>
          <w:divsChild>
            <w:div w:id="54776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91826">
      <w:bodyDiv w:val="1"/>
      <w:marLeft w:val="0"/>
      <w:marRight w:val="0"/>
      <w:marTop w:val="0"/>
      <w:marBottom w:val="0"/>
      <w:divBdr>
        <w:top w:val="none" w:sz="0" w:space="0" w:color="auto"/>
        <w:left w:val="none" w:sz="0" w:space="0" w:color="auto"/>
        <w:bottom w:val="none" w:sz="0" w:space="0" w:color="auto"/>
        <w:right w:val="none" w:sz="0" w:space="0" w:color="auto"/>
      </w:divBdr>
    </w:div>
    <w:div w:id="1132359701">
      <w:bodyDiv w:val="1"/>
      <w:marLeft w:val="0"/>
      <w:marRight w:val="0"/>
      <w:marTop w:val="0"/>
      <w:marBottom w:val="0"/>
      <w:divBdr>
        <w:top w:val="none" w:sz="0" w:space="0" w:color="auto"/>
        <w:left w:val="none" w:sz="0" w:space="0" w:color="auto"/>
        <w:bottom w:val="none" w:sz="0" w:space="0" w:color="auto"/>
        <w:right w:val="none" w:sz="0" w:space="0" w:color="auto"/>
      </w:divBdr>
      <w:divsChild>
        <w:div w:id="637151488">
          <w:marLeft w:val="0"/>
          <w:marRight w:val="0"/>
          <w:marTop w:val="15"/>
          <w:marBottom w:val="0"/>
          <w:divBdr>
            <w:top w:val="single" w:sz="48" w:space="0" w:color="auto"/>
            <w:left w:val="single" w:sz="48" w:space="0" w:color="auto"/>
            <w:bottom w:val="single" w:sz="48" w:space="0" w:color="auto"/>
            <w:right w:val="single" w:sz="48" w:space="0" w:color="auto"/>
          </w:divBdr>
          <w:divsChild>
            <w:div w:id="5545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0996">
      <w:bodyDiv w:val="1"/>
      <w:marLeft w:val="0"/>
      <w:marRight w:val="0"/>
      <w:marTop w:val="0"/>
      <w:marBottom w:val="0"/>
      <w:divBdr>
        <w:top w:val="none" w:sz="0" w:space="0" w:color="auto"/>
        <w:left w:val="none" w:sz="0" w:space="0" w:color="auto"/>
        <w:bottom w:val="none" w:sz="0" w:space="0" w:color="auto"/>
        <w:right w:val="none" w:sz="0" w:space="0" w:color="auto"/>
      </w:divBdr>
    </w:div>
    <w:div w:id="1562792307">
      <w:bodyDiv w:val="1"/>
      <w:marLeft w:val="0"/>
      <w:marRight w:val="0"/>
      <w:marTop w:val="0"/>
      <w:marBottom w:val="0"/>
      <w:divBdr>
        <w:top w:val="none" w:sz="0" w:space="0" w:color="auto"/>
        <w:left w:val="none" w:sz="0" w:space="0" w:color="auto"/>
        <w:bottom w:val="none" w:sz="0" w:space="0" w:color="auto"/>
        <w:right w:val="none" w:sz="0" w:space="0" w:color="auto"/>
      </w:divBdr>
    </w:div>
    <w:div w:id="1909269015">
      <w:bodyDiv w:val="1"/>
      <w:marLeft w:val="0"/>
      <w:marRight w:val="0"/>
      <w:marTop w:val="0"/>
      <w:marBottom w:val="0"/>
      <w:divBdr>
        <w:top w:val="none" w:sz="0" w:space="0" w:color="auto"/>
        <w:left w:val="none" w:sz="0" w:space="0" w:color="auto"/>
        <w:bottom w:val="none" w:sz="0" w:space="0" w:color="auto"/>
        <w:right w:val="none" w:sz="0" w:space="0" w:color="auto"/>
      </w:divBdr>
    </w:div>
    <w:div w:id="205954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1160</TotalTime>
  <Pages>10</Pages>
  <Words>1642</Words>
  <Characters>9360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Shackles, Jocelyn</dc:creator>
  <cp:keywords/>
  <dc:description/>
  <cp:lastModifiedBy>Shackles, Jocelyn</cp:lastModifiedBy>
  <cp:revision>2</cp:revision>
  <dcterms:created xsi:type="dcterms:W3CDTF">2022-08-17T06:27:00Z</dcterms:created>
  <dcterms:modified xsi:type="dcterms:W3CDTF">2022-08-18T04:19:00Z</dcterms:modified>
</cp:coreProperties>
</file>