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F0A" w:rsidRPr="00F45F45" w:rsidRDefault="00D12D40" w:rsidP="00D12D40">
      <w:pPr>
        <w:shd w:val="clear" w:color="auto" w:fill="FFFFFF"/>
        <w:spacing w:after="0" w:line="240" w:lineRule="auto"/>
        <w:rPr>
          <w:rFonts w:eastAsia="Times New Roman" w:cstheme="minorHAnsi"/>
          <w:b/>
          <w:lang w:eastAsia="en-AU"/>
        </w:rPr>
      </w:pPr>
      <w:r w:rsidRPr="00D12D40">
        <w:rPr>
          <w:rFonts w:eastAsia="Times New Roman" w:cstheme="minorHAnsi"/>
          <w:b/>
          <w:lang w:eastAsia="en-AU"/>
        </w:rPr>
        <w:t>CASE STUDY HA-MO-22-04:</w:t>
      </w:r>
    </w:p>
    <w:p w:rsidR="00311F0A" w:rsidRPr="00F45F45" w:rsidRDefault="00311F0A" w:rsidP="00D12D40">
      <w:pPr>
        <w:shd w:val="clear" w:color="auto" w:fill="FFFFFF"/>
        <w:spacing w:after="0" w:line="240" w:lineRule="auto"/>
        <w:rPr>
          <w:rFonts w:eastAsia="Times New Roman" w:cstheme="minorHAnsi"/>
          <w:b/>
          <w:sz w:val="28"/>
          <w:szCs w:val="28"/>
          <w:lang w:eastAsia="en-AU"/>
        </w:rPr>
      </w:pPr>
    </w:p>
    <w:p w:rsidR="00F45F45" w:rsidRPr="00F45F45" w:rsidRDefault="00D12D40" w:rsidP="00D12D40">
      <w:pPr>
        <w:shd w:val="clear" w:color="auto" w:fill="FFFFFF"/>
        <w:spacing w:after="0" w:line="240" w:lineRule="auto"/>
        <w:rPr>
          <w:rFonts w:eastAsia="Times New Roman" w:cstheme="minorHAnsi"/>
          <w:b/>
          <w:sz w:val="28"/>
          <w:szCs w:val="28"/>
          <w:lang w:eastAsia="en-AU"/>
        </w:rPr>
      </w:pPr>
      <w:r w:rsidRPr="00D12D40">
        <w:rPr>
          <w:rFonts w:eastAsia="Times New Roman" w:cstheme="minorHAnsi"/>
          <w:b/>
          <w:sz w:val="28"/>
          <w:szCs w:val="28"/>
          <w:lang w:eastAsia="en-AU"/>
        </w:rPr>
        <w:t>Microangiopathic Haemolytic Anaemia</w:t>
      </w:r>
    </w:p>
    <w:p w:rsidR="00F45F45" w:rsidRPr="00F45F45" w:rsidRDefault="00F45F45" w:rsidP="00D12D40">
      <w:pPr>
        <w:shd w:val="clear" w:color="auto" w:fill="FFFFFF"/>
        <w:spacing w:after="0" w:line="240" w:lineRule="auto"/>
        <w:rPr>
          <w:rFonts w:eastAsia="Times New Roman" w:cstheme="minorHAnsi"/>
          <w:lang w:eastAsia="en-AU"/>
        </w:rPr>
      </w:pPr>
    </w:p>
    <w:p w:rsidR="00F45F45" w:rsidRDefault="00F45F45" w:rsidP="00F45F45">
      <w:pPr>
        <w:autoSpaceDE w:val="0"/>
        <w:autoSpaceDN w:val="0"/>
        <w:adjustRightInd w:val="0"/>
        <w:spacing w:after="0" w:line="240" w:lineRule="auto"/>
        <w:rPr>
          <w:rFonts w:cstheme="minorHAnsi"/>
          <w:color w:val="2D373E"/>
        </w:rPr>
      </w:pPr>
      <w:proofErr w:type="gramStart"/>
      <w:r w:rsidRPr="00F45F45">
        <w:rPr>
          <w:rFonts w:cstheme="minorHAnsi"/>
          <w:color w:val="2D373E"/>
        </w:rPr>
        <w:t>53 year old</w:t>
      </w:r>
      <w:proofErr w:type="gramEnd"/>
      <w:r w:rsidRPr="00F45F45">
        <w:rPr>
          <w:rFonts w:cstheme="minorHAnsi"/>
          <w:color w:val="2D373E"/>
        </w:rPr>
        <w:t xml:space="preserve"> female for follow-up testing.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WCC: 3.7 x10^9/L,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RCC: 3.6 x 10^12/L,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Hb: 104 g/L,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MCV: 92fL,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MCH: 29 </w:t>
      </w:r>
      <w:proofErr w:type="spellStart"/>
      <w:r w:rsidRPr="00F45F45">
        <w:rPr>
          <w:rFonts w:cstheme="minorHAnsi"/>
          <w:color w:val="2D373E"/>
        </w:rPr>
        <w:t>pg</w:t>
      </w:r>
      <w:proofErr w:type="spellEnd"/>
      <w:r w:rsidRPr="00F45F45">
        <w:rPr>
          <w:rFonts w:cstheme="minorHAnsi"/>
          <w:color w:val="2D373E"/>
        </w:rPr>
        <w:t xml:space="preserve">, </w:t>
      </w:r>
    </w:p>
    <w:p w:rsid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 xml:space="preserve">MCHC: 312g/L, </w:t>
      </w:r>
    </w:p>
    <w:p w:rsidR="00F45F45" w:rsidRPr="00F45F45" w:rsidRDefault="00F45F45" w:rsidP="00F45F45">
      <w:pPr>
        <w:autoSpaceDE w:val="0"/>
        <w:autoSpaceDN w:val="0"/>
        <w:adjustRightInd w:val="0"/>
        <w:spacing w:after="0" w:line="240" w:lineRule="auto"/>
        <w:rPr>
          <w:rFonts w:cstheme="minorHAnsi"/>
          <w:color w:val="2D373E"/>
        </w:rPr>
      </w:pPr>
      <w:r w:rsidRPr="00F45F45">
        <w:rPr>
          <w:rFonts w:cstheme="minorHAnsi"/>
          <w:color w:val="2D373E"/>
        </w:rPr>
        <w:t>PLT: 65 x10^9/L.</w:t>
      </w:r>
    </w:p>
    <w:p w:rsidR="00F45F45" w:rsidRPr="00F45F45" w:rsidRDefault="00F45F45" w:rsidP="00F45F45">
      <w:pPr>
        <w:shd w:val="clear" w:color="auto" w:fill="FFFFFF"/>
        <w:spacing w:after="0" w:line="240" w:lineRule="auto"/>
        <w:rPr>
          <w:rFonts w:eastAsia="Times New Roman" w:cstheme="minorHAnsi"/>
          <w:lang w:eastAsia="en-AU"/>
        </w:rPr>
      </w:pP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This blood film showed a variety of red cell changes, including schistocytes, spherocytes, nucleated RBC and increased polychromasia. The white cells showed mild left shift while the platelets appeared to have normal morphology. Considering the morphological features described and the reduced platelet count, the most likely diagnosis was microangiopathic haemolytic anaemia (MAHA).</w:t>
      </w:r>
    </w:p>
    <w:p w:rsidR="00F45F45" w:rsidRPr="00F45F45" w:rsidRDefault="00F45F45" w:rsidP="00F45F45">
      <w:pPr>
        <w:shd w:val="clear" w:color="auto" w:fill="FFFFFF"/>
        <w:spacing w:after="0" w:line="240" w:lineRule="auto"/>
        <w:rPr>
          <w:rFonts w:eastAsia="Times New Roman" w:cstheme="minorHAnsi"/>
          <w:lang w:eastAsia="en-AU"/>
        </w:rPr>
      </w:pP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cstheme="minorHAnsi"/>
          <w:noProof/>
        </w:rPr>
        <w:drawing>
          <wp:inline distT="0" distB="0" distL="0" distR="0" wp14:anchorId="3123E182" wp14:editId="488EFEA9">
            <wp:extent cx="5731510" cy="26765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676525"/>
                    </a:xfrm>
                    <a:prstGeom prst="rect">
                      <a:avLst/>
                    </a:prstGeom>
                  </pic:spPr>
                </pic:pic>
              </a:graphicData>
            </a:graphic>
          </wp:inline>
        </w:drawing>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 xml:space="preserve">The majority of participants reported the presence of schistocytes, which were considered the essential diagnostic feature. Schistocyte is a general term for a fragmented RBC which are formed when erythrocytes are forced through a vessel blocked with interlacing fibrin strands and the red cells are sliced into fragments. The presence of schistocytes indicates a disorder which is potentially life-threatening, and must be treated as a medical emergency. Bite cells were also present in this </w:t>
      </w:r>
      <w:proofErr w:type="gramStart"/>
      <w:r w:rsidRPr="00F45F45">
        <w:rPr>
          <w:rFonts w:eastAsia="Times New Roman" w:cstheme="minorHAnsi"/>
          <w:lang w:eastAsia="en-AU"/>
        </w:rPr>
        <w:t>film,</w:t>
      </w:r>
      <w:proofErr w:type="gramEnd"/>
      <w:r w:rsidRPr="00F45F45">
        <w:rPr>
          <w:rFonts w:eastAsia="Times New Roman" w:cstheme="minorHAnsi"/>
          <w:lang w:eastAsia="en-AU"/>
        </w:rPr>
        <w:t xml:space="preserve"> however, participants are cautioned to evaluate the significance of the bite cells in an overall MAHA picture. In this case the bite cells were of lesser significance in the presence of the thrombocytopenia with schistocytes (indicating a MAHA), and hence the bite cells were scored lower.</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MAHA and Fragmentation Haemolysis, the most likely diagnoses, were assessed as concordant. Haemolytic uraemic syndrome / thrombotic thrombocytopenic purpura (HUS/TTP) were more specific diagnoses with the described features present and were also considered concordant.</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Disseminated intravascular coagulation (DIC) was considered less likely, because of the marked increase in schistocytes and no significant features of response to sepsis, however, due to its morphological similarities to MAHA, this diagnosis was considered an appropriate differential diagnosis.</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lastRenderedPageBreak/>
        <w:t>MAHA is a descriptive term denoting the features of red cell fragmentation haemolysis (</w:t>
      </w:r>
      <w:proofErr w:type="spellStart"/>
      <w:r w:rsidRPr="00F45F45">
        <w:rPr>
          <w:rFonts w:eastAsia="Times New Roman" w:cstheme="minorHAnsi"/>
          <w:lang w:eastAsia="en-AU"/>
        </w:rPr>
        <w:t>ie</w:t>
      </w:r>
      <w:proofErr w:type="spellEnd"/>
      <w:r w:rsidRPr="00F45F45">
        <w:rPr>
          <w:rFonts w:eastAsia="Times New Roman" w:cstheme="minorHAnsi"/>
          <w:lang w:eastAsia="en-AU"/>
        </w:rPr>
        <w:t xml:space="preserve"> Coombs-negative, intravascular) seen on peripheral blood (PB) film examination. Conditions in which </w:t>
      </w:r>
      <w:proofErr w:type="spellStart"/>
      <w:r w:rsidRPr="00F45F45">
        <w:rPr>
          <w:rFonts w:eastAsia="Times New Roman" w:cstheme="minorHAnsi"/>
          <w:lang w:eastAsia="en-AU"/>
        </w:rPr>
        <w:t>schistovcytes</w:t>
      </w:r>
      <w:proofErr w:type="spellEnd"/>
      <w:r w:rsidRPr="00F45F45">
        <w:rPr>
          <w:rFonts w:eastAsia="Times New Roman" w:cstheme="minorHAnsi"/>
          <w:lang w:eastAsia="en-AU"/>
        </w:rPr>
        <w:t xml:space="preserve"> are seen on PB examination include red cell fragmentation occurring either as a result of microvascular damage, physical fragmentation of red cells in small blood vessels, or physical fragmentation related to large vessels and prosthetic heart valves.</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 xml:space="preserve">Thrombotic microangiopathy (TMA) is a specific group of disorders, where abnormalities in the small vessels lead to microvascular thrombosis. There is an overlap between thrombotic microangiopathy (TMA) and MAHA, however not all instances where a TMA-a primarily histopathological diagnosis-is present will result in a finding of MAHA and not all cases where a MAHA is detected will have an underlying TMA. The commonest clinical scenario however is one where MAHA, as detected on the PB film, is associated with underlying microvascular damage and thrombocytopenia. MAHA can also be present without significant thrombocytopenia. Again, the morphological finding of MAHA with or without thrombocytopenia is a critical result, and the clinician should be notified immediately and the film referred to the Haematology registrar or Haematologist. The presence of schistocytes on the blood film is a typical feature of MAHA, and occasionally, </w:t>
      </w:r>
      <w:proofErr w:type="spellStart"/>
      <w:r w:rsidRPr="00F45F45">
        <w:rPr>
          <w:rFonts w:eastAsia="Times New Roman" w:cstheme="minorHAnsi"/>
          <w:lang w:eastAsia="en-AU"/>
        </w:rPr>
        <w:t>microspherocytes</w:t>
      </w:r>
      <w:proofErr w:type="spellEnd"/>
      <w:r w:rsidRPr="00F45F45">
        <w:rPr>
          <w:rFonts w:eastAsia="Times New Roman" w:cstheme="minorHAnsi"/>
          <w:lang w:eastAsia="en-AU"/>
        </w:rPr>
        <w:t>. Increased polychromasia and nucleated RBC may also be present, depending on the severity of the anaemia.1</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Characteristic laboratory features are a negative direct antiglobulin test, an increased lactate dehydrogenase (LDH) level, increased indirect bilirubin, and low haptoglobin with an increased reticulocyte count.</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 xml:space="preserve">Various systemic disorders can present with MAHA-type features, including </w:t>
      </w:r>
      <w:proofErr w:type="gramStart"/>
      <w:r w:rsidRPr="00F45F45">
        <w:rPr>
          <w:rFonts w:eastAsia="Times New Roman" w:cstheme="minorHAnsi"/>
          <w:lang w:eastAsia="en-AU"/>
        </w:rPr>
        <w:t>TTP,HUS</w:t>
      </w:r>
      <w:proofErr w:type="gramEnd"/>
      <w:r w:rsidRPr="00F45F45">
        <w:rPr>
          <w:rFonts w:eastAsia="Times New Roman" w:cstheme="minorHAnsi"/>
          <w:lang w:eastAsia="en-AU"/>
        </w:rPr>
        <w:t xml:space="preserve">, DIC, systemic infections, and autoimmune disorders. Its occurrence in cases of widespread metastasis of malignant tumours -cancer-related MAHA (CR-MAHA) -has also been reported.2 </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CR-MAHA with thrombocytopenia can occasionally be a presenting feature that leads to the diagnosis of the underlying cancer, particularly in adenocarcinomas of the stomach and gastrointestinal tract. This is less likely with gynaecological adenocarcinomas which usually have clinical symptoms. The pathophysiology of CR-MAHA has not been fully elucidated; the mechanism by which haemolysis progresses due to the mechanical fragmentation of red blood cells as blood flows through the vascular lumen narrowed by such tumour thrombi has been proposed. Accordingly, the use of antineoplastic agents as an effort to reduce tumour burden, in addition to supportive measures, are considered the most important in improving MAHA in this scenario.2 The presence of MAHA related to either known or undiagnosed malignancy is usually associated with a very poor outcome.</w:t>
      </w:r>
    </w:p>
    <w:p w:rsidR="00F45F45" w:rsidRPr="00F45F45" w:rsidRDefault="00F45F45" w:rsidP="00F45F45">
      <w:pPr>
        <w:shd w:val="clear" w:color="auto" w:fill="FFFFFF"/>
        <w:spacing w:after="0" w:line="240" w:lineRule="auto"/>
        <w:rPr>
          <w:rFonts w:eastAsia="Times New Roman" w:cstheme="minorHAnsi"/>
          <w:lang w:eastAsia="en-AU"/>
        </w:rPr>
      </w:pPr>
      <w:r w:rsidRPr="00F45F45">
        <w:rPr>
          <w:rFonts w:eastAsia="Times New Roman" w:cstheme="minorHAnsi"/>
          <w:lang w:eastAsia="en-AU"/>
        </w:rPr>
        <w:t xml:space="preserve">This patient had a known history of metastatic gastric cancer. Her LDH was markedly elevated (776 U/L), haptoglobin reduced (&lt;0.15 g/L), direct antiglobulin test negative, reticulocyte count increased (454 x 109/L, C-reactive protein elevated (94 mg/L) and bilirubin increased (25 </w:t>
      </w:r>
      <w:proofErr w:type="spellStart"/>
      <w:r w:rsidRPr="00F45F45">
        <w:rPr>
          <w:rFonts w:eastAsia="Times New Roman" w:cstheme="minorHAnsi"/>
          <w:lang w:eastAsia="en-AU"/>
        </w:rPr>
        <w:t>μmol</w:t>
      </w:r>
      <w:proofErr w:type="spellEnd"/>
      <w:r w:rsidRPr="00F45F45">
        <w:rPr>
          <w:rFonts w:eastAsia="Times New Roman" w:cstheme="minorHAnsi"/>
          <w:lang w:eastAsia="en-AU"/>
        </w:rPr>
        <w:t>/L).</w:t>
      </w:r>
    </w:p>
    <w:p w:rsidR="00F45F45" w:rsidRPr="00F45F45" w:rsidRDefault="00F45F45" w:rsidP="00F45F45">
      <w:pPr>
        <w:shd w:val="clear" w:color="auto" w:fill="FFFFFF"/>
        <w:spacing w:after="0" w:line="240" w:lineRule="auto"/>
        <w:rPr>
          <w:rFonts w:eastAsia="Times New Roman" w:cstheme="minorHAnsi"/>
          <w:lang w:eastAsia="en-AU"/>
        </w:rPr>
      </w:pPr>
    </w:p>
    <w:p w:rsidR="00F45F45" w:rsidRPr="00F45F45" w:rsidRDefault="00F45F45" w:rsidP="00F45F45">
      <w:pPr>
        <w:shd w:val="clear" w:color="auto" w:fill="FFFFFF"/>
        <w:spacing w:after="0" w:line="240" w:lineRule="auto"/>
        <w:rPr>
          <w:rFonts w:eastAsia="Times New Roman" w:cstheme="minorHAnsi"/>
          <w:sz w:val="18"/>
          <w:lang w:eastAsia="en-AU"/>
        </w:rPr>
      </w:pPr>
      <w:r w:rsidRPr="00F45F45">
        <w:rPr>
          <w:rFonts w:eastAsia="Times New Roman" w:cstheme="minorHAnsi"/>
          <w:sz w:val="18"/>
          <w:lang w:eastAsia="en-AU"/>
        </w:rPr>
        <w:t xml:space="preserve">1. Cancer-associated thrombotic microangiopathy, Govind </w:t>
      </w:r>
      <w:proofErr w:type="spellStart"/>
      <w:r w:rsidRPr="00F45F45">
        <w:rPr>
          <w:rFonts w:eastAsia="Times New Roman" w:cstheme="minorHAnsi"/>
          <w:sz w:val="18"/>
          <w:lang w:eastAsia="en-AU"/>
        </w:rPr>
        <w:t>Babu</w:t>
      </w:r>
      <w:proofErr w:type="spellEnd"/>
      <w:r w:rsidRPr="00F45F45">
        <w:rPr>
          <w:rFonts w:eastAsia="Times New Roman" w:cstheme="minorHAnsi"/>
          <w:sz w:val="18"/>
          <w:lang w:eastAsia="en-AU"/>
        </w:rPr>
        <w:t xml:space="preserve"> K and Gita R Bhat, ecancer2016, 10:649 DOI: 10.3332/ecancer.2016.649</w:t>
      </w:r>
    </w:p>
    <w:p w:rsidR="00F45F45" w:rsidRPr="00F45F45" w:rsidRDefault="00F45F45" w:rsidP="00F45F45">
      <w:pPr>
        <w:shd w:val="clear" w:color="auto" w:fill="FFFFFF"/>
        <w:spacing w:after="0" w:line="240" w:lineRule="auto"/>
        <w:rPr>
          <w:rFonts w:eastAsia="Times New Roman" w:cstheme="minorHAnsi"/>
          <w:sz w:val="18"/>
          <w:lang w:eastAsia="en-AU"/>
        </w:rPr>
      </w:pPr>
      <w:r w:rsidRPr="00F45F45">
        <w:rPr>
          <w:rFonts w:eastAsia="Times New Roman" w:cstheme="minorHAnsi"/>
          <w:sz w:val="18"/>
          <w:lang w:eastAsia="en-AU"/>
        </w:rPr>
        <w:t xml:space="preserve">2. Microangiopathic </w:t>
      </w:r>
      <w:proofErr w:type="spellStart"/>
      <w:r w:rsidRPr="00F45F45">
        <w:rPr>
          <w:rFonts w:eastAsia="Times New Roman" w:cstheme="minorHAnsi"/>
          <w:sz w:val="18"/>
          <w:lang w:eastAsia="en-AU"/>
        </w:rPr>
        <w:t>hemolytic</w:t>
      </w:r>
      <w:proofErr w:type="spellEnd"/>
      <w:r w:rsidRPr="00F45F45">
        <w:rPr>
          <w:rFonts w:eastAsia="Times New Roman" w:cstheme="minorHAnsi"/>
          <w:sz w:val="18"/>
          <w:lang w:eastAsia="en-AU"/>
        </w:rPr>
        <w:t xml:space="preserve"> </w:t>
      </w:r>
      <w:proofErr w:type="spellStart"/>
      <w:r w:rsidRPr="00F45F45">
        <w:rPr>
          <w:rFonts w:eastAsia="Times New Roman" w:cstheme="minorHAnsi"/>
          <w:sz w:val="18"/>
          <w:lang w:eastAsia="en-AU"/>
        </w:rPr>
        <w:t>anemia</w:t>
      </w:r>
      <w:proofErr w:type="spellEnd"/>
      <w:r w:rsidRPr="00F45F45">
        <w:rPr>
          <w:rFonts w:eastAsia="Times New Roman" w:cstheme="minorHAnsi"/>
          <w:sz w:val="18"/>
          <w:lang w:eastAsia="en-AU"/>
        </w:rPr>
        <w:t xml:space="preserve"> associated with metastatic breast </w:t>
      </w:r>
      <w:proofErr w:type="spellStart"/>
      <w:proofErr w:type="gramStart"/>
      <w:r w:rsidRPr="00F45F45">
        <w:rPr>
          <w:rFonts w:eastAsia="Times New Roman" w:cstheme="minorHAnsi"/>
          <w:sz w:val="18"/>
          <w:lang w:eastAsia="en-AU"/>
        </w:rPr>
        <w:t>cancer:case</w:t>
      </w:r>
      <w:proofErr w:type="spellEnd"/>
      <w:proofErr w:type="gramEnd"/>
      <w:r w:rsidRPr="00F45F45">
        <w:rPr>
          <w:rFonts w:eastAsia="Times New Roman" w:cstheme="minorHAnsi"/>
          <w:sz w:val="18"/>
          <w:lang w:eastAsia="en-AU"/>
        </w:rPr>
        <w:t xml:space="preserve"> report and literature review, Daisuke </w:t>
      </w:r>
      <w:proofErr w:type="spellStart"/>
      <w:r w:rsidRPr="00F45F45">
        <w:rPr>
          <w:rFonts w:eastAsia="Times New Roman" w:cstheme="minorHAnsi"/>
          <w:sz w:val="18"/>
          <w:lang w:eastAsia="en-AU"/>
        </w:rPr>
        <w:t>Takabatake</w:t>
      </w:r>
      <w:proofErr w:type="spellEnd"/>
      <w:r w:rsidRPr="00F45F45">
        <w:rPr>
          <w:rFonts w:eastAsia="Times New Roman" w:cstheme="minorHAnsi"/>
          <w:sz w:val="18"/>
          <w:lang w:eastAsia="en-AU"/>
        </w:rPr>
        <w:t xml:space="preserve"> and Kazuyuki Oishi,SpringerPlus,2016, 5:684, DOI 10.1186/s40064-016-2312-</w:t>
      </w:r>
    </w:p>
    <w:p w:rsidR="00D74FEB" w:rsidRPr="00F45F45" w:rsidRDefault="00D74FEB">
      <w:pPr>
        <w:rPr>
          <w:rFonts w:cstheme="minorHAnsi"/>
          <w:b/>
          <w:sz w:val="18"/>
        </w:rPr>
      </w:pPr>
    </w:p>
    <w:p w:rsidR="00F45F45" w:rsidRDefault="00F45F45">
      <w:pPr>
        <w:rPr>
          <w:rFonts w:cstheme="minorHAnsi"/>
          <w:b/>
        </w:rPr>
        <w:sectPr w:rsidR="00F45F45">
          <w:pgSz w:w="11906" w:h="16838"/>
          <w:pgMar w:top="1440" w:right="1440" w:bottom="1440" w:left="1440" w:header="708" w:footer="708" w:gutter="0"/>
          <w:cols w:space="708"/>
          <w:docGrid w:linePitch="360"/>
        </w:sectPr>
      </w:pPr>
    </w:p>
    <w:tbl>
      <w:tblPr>
        <w:tblW w:w="5260" w:type="dxa"/>
        <w:tblInd w:w="-5" w:type="dxa"/>
        <w:tblLook w:val="04A0" w:firstRow="1" w:lastRow="0" w:firstColumn="1" w:lastColumn="0" w:noHBand="0" w:noVBand="1"/>
      </w:tblPr>
      <w:tblGrid>
        <w:gridCol w:w="449"/>
        <w:gridCol w:w="1252"/>
        <w:gridCol w:w="1252"/>
        <w:gridCol w:w="1236"/>
        <w:gridCol w:w="1236"/>
        <w:gridCol w:w="1252"/>
        <w:gridCol w:w="1252"/>
        <w:gridCol w:w="1252"/>
        <w:gridCol w:w="1236"/>
        <w:gridCol w:w="1236"/>
        <w:gridCol w:w="1252"/>
        <w:gridCol w:w="1236"/>
        <w:gridCol w:w="1252"/>
      </w:tblGrid>
      <w:tr w:rsidR="00F45F45" w:rsidRPr="00F45F45" w:rsidTr="00F45F45">
        <w:trPr>
          <w:trHeight w:val="300"/>
        </w:trPr>
        <w:tc>
          <w:tcPr>
            <w:tcW w:w="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lastRenderedPageBreak/>
              <w:t> </w:t>
            </w:r>
          </w:p>
        </w:tc>
        <w:tc>
          <w:tcPr>
            <w:tcW w:w="4960" w:type="dxa"/>
            <w:gridSpan w:val="12"/>
            <w:tcBorders>
              <w:top w:val="single" w:sz="4" w:space="0" w:color="auto"/>
              <w:left w:val="nil"/>
              <w:bottom w:val="single" w:sz="4" w:space="0" w:color="auto"/>
              <w:right w:val="single" w:sz="4" w:space="0" w:color="000000"/>
            </w:tcBorders>
            <w:shd w:val="clear" w:color="000000" w:fill="FFFF00"/>
            <w:vAlign w:val="bottom"/>
            <w:hideMark/>
          </w:tcPr>
          <w:p w:rsidR="00F45F45" w:rsidRPr="00F45F45" w:rsidRDefault="00F45F45" w:rsidP="00F45F45">
            <w:pPr>
              <w:spacing w:after="0" w:line="240" w:lineRule="auto"/>
              <w:jc w:val="center"/>
              <w:rPr>
                <w:rFonts w:ascii="Calibri" w:eastAsia="Times New Roman" w:hAnsi="Calibri" w:cs="Calibri"/>
                <w:b/>
                <w:bCs/>
                <w:color w:val="000000"/>
                <w:sz w:val="16"/>
                <w:szCs w:val="16"/>
                <w:lang w:eastAsia="en-AU"/>
              </w:rPr>
            </w:pPr>
            <w:r w:rsidRPr="00F45F45">
              <w:rPr>
                <w:rFonts w:ascii="Calibri" w:eastAsia="Times New Roman" w:hAnsi="Calibri" w:cs="Calibri"/>
                <w:b/>
                <w:bCs/>
                <w:color w:val="000000"/>
                <w:sz w:val="16"/>
                <w:szCs w:val="16"/>
                <w:lang w:eastAsia="en-AU"/>
              </w:rPr>
              <w:t>HA-MO-22-04</w:t>
            </w:r>
          </w:p>
        </w:tc>
      </w:tr>
      <w:tr w:rsidR="00F45F45" w:rsidRPr="00F45F45" w:rsidTr="00F45F45">
        <w:trPr>
          <w:trHeight w:val="465"/>
        </w:trPr>
        <w:tc>
          <w:tcPr>
            <w:tcW w:w="300" w:type="dxa"/>
            <w:vMerge w:val="restart"/>
            <w:tcBorders>
              <w:top w:val="nil"/>
              <w:left w:val="single" w:sz="4" w:space="0" w:color="auto"/>
              <w:bottom w:val="single" w:sz="4" w:space="0" w:color="auto"/>
              <w:right w:val="single" w:sz="4" w:space="0" w:color="auto"/>
            </w:tcBorders>
            <w:shd w:val="clear" w:color="000000" w:fill="FFCCFF"/>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RBC Features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Irregularly contracted cells</w:t>
            </w:r>
          </w:p>
        </w:tc>
        <w:tc>
          <w:tcPr>
            <w:tcW w:w="166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r>
      <w:tr w:rsidR="00F45F45" w:rsidRPr="00F45F45" w:rsidTr="00F45F45">
        <w:trPr>
          <w:trHeight w:val="465"/>
        </w:trPr>
        <w:tc>
          <w:tcPr>
            <w:tcW w:w="300"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66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r>
      <w:tr w:rsidR="00F45F45" w:rsidRPr="00F45F45" w:rsidTr="00F45F45">
        <w:trPr>
          <w:trHeight w:val="690"/>
        </w:trPr>
        <w:tc>
          <w:tcPr>
            <w:tcW w:w="300"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Dimorphism / Dimorphic red blood cells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Blister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166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r>
      <w:tr w:rsidR="00F45F45" w:rsidRPr="00F45F45" w:rsidTr="00F45F45">
        <w:trPr>
          <w:trHeight w:val="465"/>
        </w:trPr>
        <w:tc>
          <w:tcPr>
            <w:tcW w:w="300"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30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3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66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r>
      <w:tr w:rsidR="00F45F45" w:rsidRPr="00F45F45" w:rsidTr="00F45F45">
        <w:trPr>
          <w:trHeight w:val="690"/>
        </w:trPr>
        <w:tc>
          <w:tcPr>
            <w:tcW w:w="300" w:type="dxa"/>
            <w:vMerge w:val="restart"/>
            <w:tcBorders>
              <w:top w:val="nil"/>
              <w:left w:val="single" w:sz="4" w:space="0" w:color="auto"/>
              <w:bottom w:val="single" w:sz="4" w:space="0" w:color="auto"/>
              <w:right w:val="single" w:sz="4" w:space="0" w:color="auto"/>
            </w:tcBorders>
            <w:shd w:val="clear" w:color="000000" w:fill="BDD7EE"/>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WBC Features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66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r>
      <w:tr w:rsidR="00F45F45" w:rsidRPr="00F45F45" w:rsidTr="00F45F45">
        <w:trPr>
          <w:trHeight w:val="690"/>
        </w:trPr>
        <w:tc>
          <w:tcPr>
            <w:tcW w:w="300"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proofErr w:type="spellStart"/>
            <w:r w:rsidRPr="00F45F45">
              <w:rPr>
                <w:rFonts w:ascii="Calibri" w:eastAsia="Times New Roman" w:hAnsi="Calibri" w:cs="Calibri"/>
                <w:color w:val="000000"/>
                <w:sz w:val="16"/>
                <w:szCs w:val="16"/>
                <w:lang w:eastAsia="en-AU"/>
              </w:rPr>
              <w:t>Döhle</w:t>
            </w:r>
            <w:proofErr w:type="spellEnd"/>
            <w:r w:rsidRPr="00F45F45">
              <w:rPr>
                <w:rFonts w:ascii="Calibri" w:eastAsia="Times New Roman" w:hAnsi="Calibri" w:cs="Calibri"/>
                <w:color w:val="000000"/>
                <w:sz w:val="16"/>
                <w:szCs w:val="16"/>
                <w:lang w:eastAsia="en-AU"/>
              </w:rPr>
              <w:t xml:space="preserve"> bodies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166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r>
      <w:tr w:rsidR="00F45F45" w:rsidRPr="00F45F45" w:rsidTr="00F45F45">
        <w:trPr>
          <w:trHeight w:val="690"/>
        </w:trPr>
        <w:tc>
          <w:tcPr>
            <w:tcW w:w="300"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66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F45F45" w:rsidRPr="00F45F45" w:rsidTr="00F45F45">
        <w:trPr>
          <w:trHeight w:val="915"/>
        </w:trPr>
        <w:tc>
          <w:tcPr>
            <w:tcW w:w="300" w:type="dxa"/>
            <w:tcBorders>
              <w:top w:val="nil"/>
              <w:left w:val="single" w:sz="4" w:space="0" w:color="auto"/>
              <w:bottom w:val="single" w:sz="4" w:space="0" w:color="auto"/>
              <w:right w:val="single" w:sz="4" w:space="0" w:color="auto"/>
            </w:tcBorders>
            <w:shd w:val="clear" w:color="000000" w:fill="D6DCE4"/>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Platelet Features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Giant platelets / significant numbers of large platelets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166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r>
      <w:tr w:rsidR="00F45F45" w:rsidRPr="00F45F45" w:rsidTr="00F45F45">
        <w:trPr>
          <w:trHeight w:val="1185"/>
        </w:trPr>
        <w:tc>
          <w:tcPr>
            <w:tcW w:w="300" w:type="dxa"/>
            <w:tcBorders>
              <w:top w:val="nil"/>
              <w:left w:val="single" w:sz="4" w:space="0" w:color="auto"/>
              <w:bottom w:val="single" w:sz="4" w:space="0" w:color="auto"/>
              <w:right w:val="single" w:sz="4" w:space="0" w:color="auto"/>
            </w:tcBorders>
            <w:shd w:val="clear" w:color="000000" w:fill="F8CBAD"/>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 xml:space="preserve">Primary Diagnosis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Fragmentation haemolysis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Oxidative haemolysis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Oxidative haemolysis</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Oxidative haemolysis</w:t>
            </w:r>
          </w:p>
        </w:tc>
        <w:tc>
          <w:tcPr>
            <w:tcW w:w="30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30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Autoimmune haemolytic anaemia - warm</w:t>
            </w:r>
          </w:p>
        </w:tc>
        <w:tc>
          <w:tcPr>
            <w:tcW w:w="166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r>
    </w:tbl>
    <w:p w:rsidR="00D12D40" w:rsidRDefault="00D12D40">
      <w:pPr>
        <w:rPr>
          <w:rFonts w:cstheme="minorHAnsi"/>
          <w:b/>
        </w:rPr>
      </w:pPr>
    </w:p>
    <w:tbl>
      <w:tblPr>
        <w:tblW w:w="5440" w:type="dxa"/>
        <w:tblInd w:w="-10" w:type="dxa"/>
        <w:tblLook w:val="04A0" w:firstRow="1" w:lastRow="0" w:firstColumn="1" w:lastColumn="0" w:noHBand="0" w:noVBand="1"/>
      </w:tblPr>
      <w:tblGrid>
        <w:gridCol w:w="1360"/>
        <w:gridCol w:w="1360"/>
        <w:gridCol w:w="1360"/>
        <w:gridCol w:w="1360"/>
      </w:tblGrid>
      <w:tr w:rsidR="00CD64C9" w:rsidRPr="00CD64C9" w:rsidTr="00CD64C9">
        <w:trPr>
          <w:trHeight w:val="465"/>
        </w:trPr>
        <w:tc>
          <w:tcPr>
            <w:tcW w:w="13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CD64C9" w:rsidRPr="00CD64C9" w:rsidRDefault="00CD64C9" w:rsidP="00CD64C9">
            <w:pPr>
              <w:spacing w:after="0" w:line="240" w:lineRule="auto"/>
              <w:jc w:val="center"/>
              <w:rPr>
                <w:rFonts w:ascii="Calibri" w:eastAsia="Times New Roman" w:hAnsi="Calibri" w:cs="Calibri"/>
                <w:color w:val="006100"/>
                <w:sz w:val="16"/>
                <w:szCs w:val="16"/>
                <w:lang w:eastAsia="en-AU"/>
              </w:rPr>
            </w:pPr>
            <w:r w:rsidRPr="00CD64C9">
              <w:rPr>
                <w:rFonts w:ascii="Calibri" w:eastAsia="Times New Roman" w:hAnsi="Calibri" w:cs="Calibri"/>
                <w:color w:val="006100"/>
                <w:sz w:val="16"/>
                <w:szCs w:val="16"/>
                <w:lang w:eastAsia="en-AU"/>
              </w:rPr>
              <w:t>Highest scoring response</w:t>
            </w:r>
          </w:p>
        </w:tc>
        <w:tc>
          <w:tcPr>
            <w:tcW w:w="1360" w:type="dxa"/>
            <w:tcBorders>
              <w:top w:val="single" w:sz="8" w:space="0" w:color="auto"/>
              <w:left w:val="nil"/>
              <w:bottom w:val="single" w:sz="8" w:space="0" w:color="auto"/>
              <w:right w:val="single" w:sz="8" w:space="0" w:color="auto"/>
            </w:tcBorders>
            <w:shd w:val="clear" w:color="000000" w:fill="FFEB9C"/>
            <w:vAlign w:val="center"/>
            <w:hideMark/>
          </w:tcPr>
          <w:p w:rsidR="00CD64C9" w:rsidRPr="00CD64C9" w:rsidRDefault="00CD64C9" w:rsidP="00CD64C9">
            <w:pPr>
              <w:spacing w:after="0" w:line="240" w:lineRule="auto"/>
              <w:jc w:val="center"/>
              <w:rPr>
                <w:rFonts w:ascii="Calibri" w:eastAsia="Times New Roman" w:hAnsi="Calibri" w:cs="Calibri"/>
                <w:color w:val="9C5700"/>
                <w:sz w:val="16"/>
                <w:szCs w:val="16"/>
                <w:lang w:eastAsia="en-AU"/>
              </w:rPr>
            </w:pPr>
            <w:r w:rsidRPr="00CD64C9">
              <w:rPr>
                <w:rFonts w:ascii="Calibri" w:eastAsia="Times New Roman" w:hAnsi="Calibri" w:cs="Calibri"/>
                <w:color w:val="9C5700"/>
                <w:sz w:val="16"/>
                <w:szCs w:val="16"/>
                <w:lang w:eastAsia="en-AU"/>
              </w:rPr>
              <w:t>Moderate scoring response</w:t>
            </w:r>
          </w:p>
        </w:tc>
        <w:tc>
          <w:tcPr>
            <w:tcW w:w="1360" w:type="dxa"/>
            <w:tcBorders>
              <w:top w:val="single" w:sz="8" w:space="0" w:color="auto"/>
              <w:left w:val="nil"/>
              <w:bottom w:val="single" w:sz="8" w:space="0" w:color="auto"/>
              <w:right w:val="single" w:sz="8" w:space="0" w:color="auto"/>
            </w:tcBorders>
            <w:shd w:val="clear" w:color="000000" w:fill="FFF2CC"/>
            <w:vAlign w:val="center"/>
            <w:hideMark/>
          </w:tcPr>
          <w:p w:rsidR="00CD64C9" w:rsidRPr="00CD64C9" w:rsidRDefault="00CD64C9" w:rsidP="00CD64C9">
            <w:pPr>
              <w:spacing w:after="0" w:line="240" w:lineRule="auto"/>
              <w:jc w:val="center"/>
              <w:rPr>
                <w:rFonts w:ascii="Calibri" w:eastAsia="Times New Roman" w:hAnsi="Calibri" w:cs="Calibri"/>
                <w:color w:val="000000"/>
                <w:sz w:val="16"/>
                <w:szCs w:val="16"/>
                <w:lang w:eastAsia="en-AU"/>
              </w:rPr>
            </w:pPr>
            <w:r w:rsidRPr="00CD64C9">
              <w:rPr>
                <w:rFonts w:ascii="Calibri" w:eastAsia="Times New Roman" w:hAnsi="Calibri" w:cs="Calibri"/>
                <w:color w:val="000000"/>
                <w:sz w:val="16"/>
                <w:szCs w:val="16"/>
                <w:lang w:eastAsia="en-AU"/>
              </w:rPr>
              <w:t xml:space="preserve">Lowest scoring response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D64C9" w:rsidRPr="00CD64C9" w:rsidRDefault="00CD64C9" w:rsidP="00CD64C9">
            <w:pPr>
              <w:spacing w:after="0" w:line="240" w:lineRule="auto"/>
              <w:jc w:val="center"/>
              <w:rPr>
                <w:rFonts w:ascii="Calibri" w:eastAsia="Times New Roman" w:hAnsi="Calibri" w:cs="Calibri"/>
                <w:color w:val="000000"/>
                <w:sz w:val="16"/>
                <w:szCs w:val="16"/>
                <w:lang w:eastAsia="en-AU"/>
              </w:rPr>
            </w:pPr>
            <w:r w:rsidRPr="00CD64C9">
              <w:rPr>
                <w:rFonts w:ascii="Calibri" w:eastAsia="Times New Roman" w:hAnsi="Calibri" w:cs="Calibri"/>
                <w:color w:val="000000"/>
                <w:sz w:val="16"/>
                <w:szCs w:val="16"/>
                <w:lang w:eastAsia="en-AU"/>
              </w:rPr>
              <w:t xml:space="preserve">Response given no score </w:t>
            </w:r>
          </w:p>
        </w:tc>
      </w:tr>
    </w:tbl>
    <w:p w:rsidR="00F45F45" w:rsidRDefault="00F45F45">
      <w:pPr>
        <w:rPr>
          <w:rFonts w:cstheme="minorHAnsi"/>
          <w:b/>
        </w:rPr>
      </w:pPr>
    </w:p>
    <w:p w:rsidR="00F45F45" w:rsidRDefault="00F45F45">
      <w:pPr>
        <w:rPr>
          <w:rFonts w:cstheme="minorHAnsi"/>
          <w:b/>
        </w:rPr>
      </w:pPr>
    </w:p>
    <w:p w:rsidR="00F45F45" w:rsidRDefault="00F45F45">
      <w:pPr>
        <w:rPr>
          <w:rFonts w:cstheme="minorHAnsi"/>
          <w:b/>
        </w:rPr>
      </w:pPr>
    </w:p>
    <w:p w:rsidR="00F45F45" w:rsidRDefault="00F45F45">
      <w:pPr>
        <w:rPr>
          <w:rFonts w:cstheme="minorHAnsi"/>
          <w:b/>
        </w:rPr>
      </w:pPr>
    </w:p>
    <w:p w:rsidR="00F45F45" w:rsidRDefault="00F45F45">
      <w:pPr>
        <w:rPr>
          <w:rFonts w:cstheme="minorHAnsi"/>
          <w:b/>
        </w:rPr>
      </w:pPr>
    </w:p>
    <w:p w:rsidR="00F45F45" w:rsidRDefault="00F45F45">
      <w:pPr>
        <w:rPr>
          <w:rFonts w:cstheme="minorHAnsi"/>
          <w:b/>
        </w:rPr>
      </w:pPr>
    </w:p>
    <w:p w:rsidR="00F45F45" w:rsidRDefault="00F45F45">
      <w:pPr>
        <w:rPr>
          <w:rFonts w:cstheme="minorHAnsi"/>
          <w:b/>
        </w:rPr>
      </w:pPr>
    </w:p>
    <w:tbl>
      <w:tblPr>
        <w:tblW w:w="15677" w:type="dxa"/>
        <w:tblInd w:w="-289" w:type="dxa"/>
        <w:tblLook w:val="04A0" w:firstRow="1" w:lastRow="0" w:firstColumn="1" w:lastColumn="0" w:noHBand="0" w:noVBand="1"/>
      </w:tblPr>
      <w:tblGrid>
        <w:gridCol w:w="851"/>
        <w:gridCol w:w="1456"/>
        <w:gridCol w:w="1358"/>
        <w:gridCol w:w="1358"/>
        <w:gridCol w:w="1402"/>
        <w:gridCol w:w="1480"/>
        <w:gridCol w:w="299"/>
        <w:gridCol w:w="1016"/>
        <w:gridCol w:w="1358"/>
        <w:gridCol w:w="1421"/>
        <w:gridCol w:w="1178"/>
        <w:gridCol w:w="1112"/>
        <w:gridCol w:w="1388"/>
      </w:tblGrid>
      <w:tr w:rsidR="00CD64C9" w:rsidRPr="00F45F45" w:rsidTr="00CD64C9">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7054" w:type="dxa"/>
            <w:gridSpan w:val="5"/>
            <w:tcBorders>
              <w:top w:val="single" w:sz="4" w:space="0" w:color="auto"/>
              <w:left w:val="nil"/>
              <w:bottom w:val="single" w:sz="4" w:space="0" w:color="auto"/>
              <w:right w:val="single" w:sz="4" w:space="0" w:color="000000"/>
            </w:tcBorders>
            <w:shd w:val="clear" w:color="000000" w:fill="FFFF00"/>
            <w:vAlign w:val="bottom"/>
            <w:hideMark/>
          </w:tcPr>
          <w:p w:rsidR="00F45F45" w:rsidRPr="00F45F45" w:rsidRDefault="00F45F45" w:rsidP="00F45F45">
            <w:pPr>
              <w:spacing w:after="0" w:line="240" w:lineRule="auto"/>
              <w:jc w:val="center"/>
              <w:rPr>
                <w:rFonts w:ascii="Calibri" w:eastAsia="Times New Roman" w:hAnsi="Calibri" w:cs="Calibri"/>
                <w:b/>
                <w:bCs/>
                <w:color w:val="000000"/>
                <w:sz w:val="16"/>
                <w:szCs w:val="16"/>
                <w:lang w:eastAsia="en-AU"/>
              </w:rPr>
            </w:pPr>
            <w:r w:rsidRPr="00F45F45">
              <w:rPr>
                <w:rFonts w:ascii="Calibri" w:eastAsia="Times New Roman" w:hAnsi="Calibri" w:cs="Calibri"/>
                <w:b/>
                <w:bCs/>
                <w:color w:val="000000"/>
                <w:sz w:val="16"/>
                <w:szCs w:val="16"/>
                <w:lang w:eastAsia="en-AU"/>
              </w:rPr>
              <w:t>HA-MO-22-04</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3957" w:type="dxa"/>
            <w:gridSpan w:val="3"/>
            <w:tcBorders>
              <w:top w:val="single" w:sz="4" w:space="0" w:color="auto"/>
              <w:left w:val="nil"/>
              <w:bottom w:val="single" w:sz="4" w:space="0" w:color="auto"/>
              <w:right w:val="single" w:sz="4" w:space="0" w:color="auto"/>
            </w:tcBorders>
            <w:shd w:val="clear" w:color="000000" w:fill="F4B084"/>
            <w:noWrap/>
            <w:vAlign w:val="bottom"/>
            <w:hideMark/>
          </w:tcPr>
          <w:p w:rsidR="00F45F45" w:rsidRPr="00F45F45" w:rsidRDefault="00F45F45" w:rsidP="00F45F45">
            <w:pPr>
              <w:spacing w:after="0" w:line="240" w:lineRule="auto"/>
              <w:jc w:val="center"/>
              <w:rPr>
                <w:rFonts w:ascii="Calibri" w:eastAsia="Times New Roman" w:hAnsi="Calibri" w:cs="Calibri"/>
                <w:b/>
                <w:bCs/>
                <w:color w:val="000000"/>
                <w:lang w:eastAsia="en-AU"/>
              </w:rPr>
            </w:pPr>
            <w:r w:rsidRPr="00F45F45">
              <w:rPr>
                <w:rFonts w:ascii="Calibri" w:eastAsia="Times New Roman" w:hAnsi="Calibri" w:cs="Calibri"/>
                <w:b/>
                <w:bCs/>
                <w:color w:val="000000"/>
                <w:lang w:eastAsia="en-AU"/>
              </w:rPr>
              <w:t>RCPA Report 30/06/2022</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r>
      <w:tr w:rsidR="00CD64C9" w:rsidRPr="00F45F45" w:rsidTr="00CD64C9">
        <w:trPr>
          <w:trHeight w:val="492"/>
        </w:trPr>
        <w:tc>
          <w:tcPr>
            <w:tcW w:w="851" w:type="dxa"/>
            <w:vMerge w:val="restart"/>
            <w:tcBorders>
              <w:top w:val="nil"/>
              <w:left w:val="single" w:sz="4" w:space="0" w:color="auto"/>
              <w:bottom w:val="single" w:sz="4" w:space="0" w:color="000000"/>
              <w:right w:val="single" w:sz="4" w:space="0" w:color="auto"/>
            </w:tcBorders>
            <w:shd w:val="clear" w:color="000000" w:fill="FFCCFF"/>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RBC Features</w:t>
            </w:r>
          </w:p>
        </w:tc>
        <w:tc>
          <w:tcPr>
            <w:tcW w:w="1456"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1402"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48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val="restart"/>
            <w:tcBorders>
              <w:top w:val="nil"/>
              <w:left w:val="single" w:sz="4" w:space="0" w:color="auto"/>
              <w:bottom w:val="single" w:sz="4" w:space="0" w:color="auto"/>
              <w:right w:val="single" w:sz="4" w:space="0" w:color="auto"/>
            </w:tcBorders>
            <w:shd w:val="clear" w:color="000000" w:fill="FFCCFF"/>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RBC Features</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42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178"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F45F45" w:rsidRPr="00F45F45" w:rsidRDefault="00F45F45" w:rsidP="00F45F45">
            <w:pPr>
              <w:spacing w:after="0" w:line="240" w:lineRule="auto"/>
              <w:jc w:val="center"/>
              <w:rPr>
                <w:rFonts w:ascii="Calibri" w:eastAsia="Times New Roman" w:hAnsi="Calibri" w:cs="Calibri"/>
                <w:sz w:val="16"/>
                <w:szCs w:val="16"/>
                <w:lang w:eastAsia="en-AU"/>
              </w:rPr>
            </w:pPr>
            <w:r w:rsidRPr="00F45F45">
              <w:rPr>
                <w:rFonts w:ascii="Calibri" w:eastAsia="Times New Roman" w:hAnsi="Calibri" w:cs="Calibri"/>
                <w:sz w:val="16"/>
                <w:szCs w:val="16"/>
                <w:lang w:eastAsia="en-AU"/>
              </w:rPr>
              <w:t>Bite cells</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492"/>
        </w:trPr>
        <w:tc>
          <w:tcPr>
            <w:tcW w:w="851" w:type="dxa"/>
            <w:vMerge/>
            <w:tcBorders>
              <w:top w:val="nil"/>
              <w:left w:val="single" w:sz="4" w:space="0" w:color="auto"/>
              <w:bottom w:val="single" w:sz="4" w:space="0" w:color="000000"/>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456"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Polychromasia increased</w:t>
            </w:r>
          </w:p>
        </w:tc>
        <w:tc>
          <w:tcPr>
            <w:tcW w:w="1402"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148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35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42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730"/>
        </w:trPr>
        <w:tc>
          <w:tcPr>
            <w:tcW w:w="851" w:type="dxa"/>
            <w:vMerge/>
            <w:tcBorders>
              <w:top w:val="nil"/>
              <w:left w:val="single" w:sz="4" w:space="0" w:color="auto"/>
              <w:bottom w:val="single" w:sz="4" w:space="0" w:color="000000"/>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456"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40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Schistocytes</w:t>
            </w:r>
          </w:p>
        </w:tc>
        <w:tc>
          <w:tcPr>
            <w:tcW w:w="148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Irregularly contracted cells</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35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42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492"/>
        </w:trPr>
        <w:tc>
          <w:tcPr>
            <w:tcW w:w="851" w:type="dxa"/>
            <w:vMerge/>
            <w:tcBorders>
              <w:top w:val="nil"/>
              <w:left w:val="single" w:sz="4" w:space="0" w:color="auto"/>
              <w:bottom w:val="single" w:sz="4" w:space="0" w:color="000000"/>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456"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135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Spherocytes</w:t>
            </w:r>
          </w:p>
        </w:tc>
        <w:tc>
          <w:tcPr>
            <w:tcW w:w="1402"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Nucleated red blood cells</w:t>
            </w:r>
          </w:p>
        </w:tc>
        <w:tc>
          <w:tcPr>
            <w:tcW w:w="148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35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421"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730"/>
        </w:trPr>
        <w:tc>
          <w:tcPr>
            <w:tcW w:w="851" w:type="dxa"/>
            <w:vMerge w:val="restart"/>
            <w:tcBorders>
              <w:top w:val="nil"/>
              <w:left w:val="single" w:sz="4" w:space="0" w:color="auto"/>
              <w:bottom w:val="single" w:sz="4" w:space="0" w:color="000000"/>
              <w:right w:val="single" w:sz="4" w:space="0" w:color="auto"/>
            </w:tcBorders>
            <w:shd w:val="clear" w:color="000000" w:fill="BDD7EE"/>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WBC Features</w:t>
            </w:r>
          </w:p>
        </w:tc>
        <w:tc>
          <w:tcPr>
            <w:tcW w:w="1456"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140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48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val="restart"/>
            <w:tcBorders>
              <w:top w:val="nil"/>
              <w:left w:val="single" w:sz="4" w:space="0" w:color="auto"/>
              <w:bottom w:val="single" w:sz="4" w:space="0" w:color="auto"/>
              <w:right w:val="single" w:sz="4" w:space="0" w:color="auto"/>
            </w:tcBorders>
            <w:shd w:val="clear" w:color="000000" w:fill="BDD7EE"/>
            <w:textDirection w:val="tbRl"/>
            <w:vAlign w:val="center"/>
            <w:hideMark/>
          </w:tcPr>
          <w:p w:rsidR="00F45F45" w:rsidRPr="00F45F45" w:rsidRDefault="00F45F45" w:rsidP="00F45F45">
            <w:pPr>
              <w:spacing w:after="0" w:line="240" w:lineRule="auto"/>
              <w:jc w:val="center"/>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WBC Features</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421"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730"/>
        </w:trPr>
        <w:tc>
          <w:tcPr>
            <w:tcW w:w="851" w:type="dxa"/>
            <w:vMerge/>
            <w:tcBorders>
              <w:top w:val="nil"/>
              <w:left w:val="single" w:sz="4" w:space="0" w:color="auto"/>
              <w:bottom w:val="single" w:sz="4" w:space="0" w:color="000000"/>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456"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140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proofErr w:type="spellStart"/>
            <w:r w:rsidRPr="00F45F45">
              <w:rPr>
                <w:rFonts w:ascii="Calibri" w:eastAsia="Times New Roman" w:hAnsi="Calibri" w:cs="Calibri"/>
                <w:color w:val="000000"/>
                <w:sz w:val="16"/>
                <w:szCs w:val="16"/>
                <w:lang w:eastAsia="en-AU"/>
              </w:rPr>
              <w:t>Döhle</w:t>
            </w:r>
            <w:proofErr w:type="spellEnd"/>
            <w:r w:rsidRPr="00F45F45">
              <w:rPr>
                <w:rFonts w:ascii="Calibri" w:eastAsia="Times New Roman" w:hAnsi="Calibri" w:cs="Calibri"/>
                <w:color w:val="000000"/>
                <w:sz w:val="16"/>
                <w:szCs w:val="16"/>
                <w:lang w:eastAsia="en-AU"/>
              </w:rPr>
              <w:t xml:space="preserve"> bodies</w:t>
            </w:r>
          </w:p>
        </w:tc>
        <w:tc>
          <w:tcPr>
            <w:tcW w:w="148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1421"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730"/>
        </w:trPr>
        <w:tc>
          <w:tcPr>
            <w:tcW w:w="851" w:type="dxa"/>
            <w:vMerge/>
            <w:tcBorders>
              <w:top w:val="nil"/>
              <w:left w:val="single" w:sz="4" w:space="0" w:color="auto"/>
              <w:bottom w:val="single" w:sz="4" w:space="0" w:color="000000"/>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456"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5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Neutrophils - </w:t>
            </w:r>
            <w:proofErr w:type="spellStart"/>
            <w:r w:rsidRPr="00F45F45">
              <w:rPr>
                <w:rFonts w:ascii="Calibri" w:eastAsia="Times New Roman" w:hAnsi="Calibri" w:cs="Calibri"/>
                <w:color w:val="006100"/>
                <w:sz w:val="16"/>
                <w:szCs w:val="16"/>
                <w:lang w:eastAsia="en-AU"/>
              </w:rPr>
              <w:t>hypergranulation</w:t>
            </w:r>
            <w:proofErr w:type="spellEnd"/>
          </w:p>
        </w:tc>
        <w:tc>
          <w:tcPr>
            <w:tcW w:w="140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Promyelocytes / metamyelocytes / myelocytes</w:t>
            </w:r>
          </w:p>
        </w:tc>
        <w:tc>
          <w:tcPr>
            <w:tcW w:w="1480"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vMerge/>
            <w:tcBorders>
              <w:top w:val="nil"/>
              <w:left w:val="single" w:sz="4" w:space="0" w:color="auto"/>
              <w:bottom w:val="single" w:sz="4" w:space="0" w:color="auto"/>
              <w:right w:val="single" w:sz="4" w:space="0" w:color="auto"/>
            </w:tcBorders>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Band form</w:t>
            </w:r>
          </w:p>
        </w:tc>
        <w:tc>
          <w:tcPr>
            <w:tcW w:w="1421"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968"/>
        </w:trPr>
        <w:tc>
          <w:tcPr>
            <w:tcW w:w="851" w:type="dxa"/>
            <w:tcBorders>
              <w:top w:val="nil"/>
              <w:left w:val="single" w:sz="4" w:space="0" w:color="auto"/>
              <w:bottom w:val="single" w:sz="4" w:space="0" w:color="auto"/>
              <w:right w:val="single" w:sz="4" w:space="0" w:color="auto"/>
            </w:tcBorders>
            <w:shd w:val="clear" w:color="000000" w:fill="D6DCE4"/>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Platelet Features</w:t>
            </w:r>
          </w:p>
        </w:tc>
        <w:tc>
          <w:tcPr>
            <w:tcW w:w="1456"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140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Inaccurate platelet count</w:t>
            </w:r>
          </w:p>
        </w:tc>
        <w:tc>
          <w:tcPr>
            <w:tcW w:w="148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tcBorders>
              <w:top w:val="nil"/>
              <w:left w:val="nil"/>
              <w:bottom w:val="single" w:sz="4" w:space="0" w:color="auto"/>
              <w:right w:val="single" w:sz="4" w:space="0" w:color="auto"/>
            </w:tcBorders>
            <w:shd w:val="clear" w:color="000000" w:fill="D6DCE4"/>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Platelet Features</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No significant morphological platelet abnormality</w:t>
            </w:r>
          </w:p>
        </w:tc>
        <w:tc>
          <w:tcPr>
            <w:tcW w:w="1421"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7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112"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c>
          <w:tcPr>
            <w:tcW w:w="1388" w:type="dxa"/>
            <w:tcBorders>
              <w:top w:val="nil"/>
              <w:left w:val="nil"/>
              <w:bottom w:val="single" w:sz="4" w:space="0" w:color="auto"/>
              <w:right w:val="single" w:sz="4" w:space="0" w:color="auto"/>
            </w:tcBorders>
            <w:shd w:val="clear" w:color="auto" w:fill="auto"/>
            <w:vAlign w:val="bottom"/>
            <w:hideMark/>
          </w:tcPr>
          <w:p w:rsidR="00F45F45" w:rsidRPr="00F45F45" w:rsidRDefault="00F45F45" w:rsidP="00F45F45">
            <w:pPr>
              <w:spacing w:after="0" w:line="240" w:lineRule="auto"/>
              <w:jc w:val="center"/>
              <w:rPr>
                <w:rFonts w:ascii="Calibri" w:eastAsia="Times New Roman" w:hAnsi="Calibri" w:cs="Calibri"/>
                <w:color w:val="000000"/>
                <w:sz w:val="16"/>
                <w:szCs w:val="16"/>
                <w:lang w:eastAsia="en-AU"/>
              </w:rPr>
            </w:pPr>
            <w:r w:rsidRPr="00F45F45">
              <w:rPr>
                <w:rFonts w:ascii="Calibri" w:eastAsia="Times New Roman" w:hAnsi="Calibri" w:cs="Calibri"/>
                <w:color w:val="000000"/>
                <w:sz w:val="16"/>
                <w:szCs w:val="16"/>
                <w:lang w:eastAsia="en-AU"/>
              </w:rPr>
              <w:t> </w:t>
            </w:r>
          </w:p>
        </w:tc>
      </w:tr>
      <w:tr w:rsidR="00CD64C9" w:rsidRPr="00F45F45" w:rsidTr="00CD64C9">
        <w:trPr>
          <w:trHeight w:val="1254"/>
        </w:trPr>
        <w:tc>
          <w:tcPr>
            <w:tcW w:w="851" w:type="dxa"/>
            <w:tcBorders>
              <w:top w:val="nil"/>
              <w:left w:val="single" w:sz="4" w:space="0" w:color="auto"/>
              <w:bottom w:val="single" w:sz="4" w:space="0" w:color="auto"/>
              <w:right w:val="single" w:sz="4" w:space="0" w:color="auto"/>
            </w:tcBorders>
            <w:shd w:val="clear" w:color="000000" w:fill="F8CBAD"/>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 xml:space="preserve">Primary Diagnosis </w:t>
            </w:r>
          </w:p>
        </w:tc>
        <w:tc>
          <w:tcPr>
            <w:tcW w:w="1456"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140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148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299" w:type="dxa"/>
            <w:tcBorders>
              <w:top w:val="nil"/>
              <w:left w:val="nil"/>
              <w:bottom w:val="single" w:sz="4" w:space="0" w:color="auto"/>
              <w:right w:val="single" w:sz="4" w:space="0" w:color="auto"/>
            </w:tcBorders>
            <w:shd w:val="clear" w:color="auto" w:fill="auto"/>
            <w:noWrap/>
            <w:vAlign w:val="bottom"/>
            <w:hideMark/>
          </w:tcPr>
          <w:p w:rsidR="00F45F45" w:rsidRPr="00F45F45" w:rsidRDefault="00F45F45" w:rsidP="00F45F45">
            <w:pPr>
              <w:spacing w:after="0" w:line="240" w:lineRule="auto"/>
              <w:rPr>
                <w:rFonts w:ascii="Calibri" w:eastAsia="Times New Roman" w:hAnsi="Calibri" w:cs="Calibri"/>
                <w:color w:val="000000"/>
                <w:lang w:eastAsia="en-AU"/>
              </w:rPr>
            </w:pPr>
            <w:r w:rsidRPr="00F45F45">
              <w:rPr>
                <w:rFonts w:ascii="Calibri" w:eastAsia="Times New Roman" w:hAnsi="Calibri" w:cs="Calibri"/>
                <w:color w:val="000000"/>
                <w:lang w:eastAsia="en-AU"/>
              </w:rPr>
              <w:t> </w:t>
            </w:r>
          </w:p>
        </w:tc>
        <w:tc>
          <w:tcPr>
            <w:tcW w:w="1016" w:type="dxa"/>
            <w:tcBorders>
              <w:top w:val="nil"/>
              <w:left w:val="nil"/>
              <w:bottom w:val="single" w:sz="4" w:space="0" w:color="auto"/>
              <w:right w:val="single" w:sz="4" w:space="0" w:color="auto"/>
            </w:tcBorders>
            <w:shd w:val="clear" w:color="000000" w:fill="F8CBAD"/>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 xml:space="preserve">Primary Diagnosis </w:t>
            </w:r>
          </w:p>
        </w:tc>
        <w:tc>
          <w:tcPr>
            <w:tcW w:w="135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 xml:space="preserve">Microangiopathic haemolytic anaemia </w:t>
            </w:r>
          </w:p>
        </w:tc>
        <w:tc>
          <w:tcPr>
            <w:tcW w:w="142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Haemolytic uraemic syndrome / thrombotic thrombocytopenic purpura</w:t>
            </w:r>
          </w:p>
        </w:tc>
        <w:tc>
          <w:tcPr>
            <w:tcW w:w="117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F45F45" w:rsidRPr="00F45F45" w:rsidRDefault="00F45F45" w:rsidP="00F45F45">
            <w:pPr>
              <w:spacing w:after="0" w:line="240" w:lineRule="auto"/>
              <w:jc w:val="center"/>
              <w:rPr>
                <w:rFonts w:ascii="Calibri" w:eastAsia="Times New Roman" w:hAnsi="Calibri" w:cs="Calibri"/>
                <w:color w:val="006100"/>
                <w:sz w:val="16"/>
                <w:szCs w:val="16"/>
                <w:lang w:eastAsia="en-AU"/>
              </w:rPr>
            </w:pPr>
            <w:r w:rsidRPr="00F45F45">
              <w:rPr>
                <w:rFonts w:ascii="Calibri" w:eastAsia="Times New Roman" w:hAnsi="Calibri" w:cs="Calibri"/>
                <w:color w:val="006100"/>
                <w:sz w:val="16"/>
                <w:szCs w:val="16"/>
                <w:lang w:eastAsia="en-AU"/>
              </w:rPr>
              <w:t>Fragmentation haemolysis</w:t>
            </w:r>
          </w:p>
        </w:tc>
        <w:tc>
          <w:tcPr>
            <w:tcW w:w="1112" w:type="dxa"/>
            <w:tcBorders>
              <w:top w:val="nil"/>
              <w:left w:val="nil"/>
              <w:bottom w:val="single" w:sz="4" w:space="0" w:color="auto"/>
              <w:right w:val="single" w:sz="4" w:space="0" w:color="auto"/>
            </w:tcBorders>
            <w:shd w:val="clear" w:color="000000" w:fill="F8CBAD"/>
            <w:textDirection w:val="tbRl"/>
            <w:vAlign w:val="center"/>
            <w:hideMark/>
          </w:tcPr>
          <w:p w:rsidR="00F45F45" w:rsidRPr="00F45F45" w:rsidRDefault="00F45F45" w:rsidP="00F45F45">
            <w:pPr>
              <w:spacing w:after="0" w:line="240" w:lineRule="auto"/>
              <w:rPr>
                <w:rFonts w:ascii="Calibri" w:eastAsia="Times New Roman" w:hAnsi="Calibri" w:cs="Calibri"/>
                <w:color w:val="000000"/>
                <w:sz w:val="20"/>
                <w:szCs w:val="20"/>
                <w:lang w:eastAsia="en-AU"/>
              </w:rPr>
            </w:pPr>
            <w:r w:rsidRPr="00F45F45">
              <w:rPr>
                <w:rFonts w:ascii="Calibri" w:eastAsia="Times New Roman" w:hAnsi="Calibri" w:cs="Calibri"/>
                <w:color w:val="000000"/>
                <w:sz w:val="20"/>
                <w:szCs w:val="20"/>
                <w:lang w:eastAsia="en-AU"/>
              </w:rPr>
              <w:t xml:space="preserve">Differential Diagnosis </w:t>
            </w:r>
          </w:p>
        </w:tc>
        <w:tc>
          <w:tcPr>
            <w:tcW w:w="138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F45F45" w:rsidRPr="00F45F45" w:rsidRDefault="00F45F45" w:rsidP="00F45F45">
            <w:pPr>
              <w:spacing w:after="0" w:line="240" w:lineRule="auto"/>
              <w:jc w:val="center"/>
              <w:rPr>
                <w:rFonts w:ascii="Calibri" w:eastAsia="Times New Roman" w:hAnsi="Calibri" w:cs="Calibri"/>
                <w:color w:val="9C5700"/>
                <w:sz w:val="16"/>
                <w:szCs w:val="16"/>
                <w:lang w:eastAsia="en-AU"/>
              </w:rPr>
            </w:pPr>
            <w:r w:rsidRPr="00F45F45">
              <w:rPr>
                <w:rFonts w:ascii="Calibri" w:eastAsia="Times New Roman" w:hAnsi="Calibri" w:cs="Calibri"/>
                <w:color w:val="9C5700"/>
                <w:sz w:val="16"/>
                <w:szCs w:val="16"/>
                <w:lang w:eastAsia="en-AU"/>
              </w:rPr>
              <w:t>Disseminated intravascular coagulation</w:t>
            </w:r>
          </w:p>
        </w:tc>
      </w:tr>
    </w:tbl>
    <w:p w:rsidR="00F45F45" w:rsidRDefault="00F45F45">
      <w:pPr>
        <w:rPr>
          <w:rFonts w:cstheme="minorHAnsi"/>
          <w:b/>
        </w:rPr>
      </w:pPr>
    </w:p>
    <w:tbl>
      <w:tblPr>
        <w:tblW w:w="5440" w:type="dxa"/>
        <w:tblInd w:w="-10" w:type="dxa"/>
        <w:tblLook w:val="04A0" w:firstRow="1" w:lastRow="0" w:firstColumn="1" w:lastColumn="0" w:noHBand="0" w:noVBand="1"/>
      </w:tblPr>
      <w:tblGrid>
        <w:gridCol w:w="1360"/>
        <w:gridCol w:w="1360"/>
        <w:gridCol w:w="1360"/>
        <w:gridCol w:w="1360"/>
      </w:tblGrid>
      <w:tr w:rsidR="00CD64C9" w:rsidRPr="00CD64C9" w:rsidTr="00CD64C9">
        <w:trPr>
          <w:trHeight w:val="465"/>
        </w:trPr>
        <w:tc>
          <w:tcPr>
            <w:tcW w:w="13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CD64C9" w:rsidRPr="00CD64C9" w:rsidRDefault="00CD64C9" w:rsidP="00CD64C9">
            <w:pPr>
              <w:spacing w:after="0" w:line="240" w:lineRule="auto"/>
              <w:jc w:val="center"/>
              <w:rPr>
                <w:rFonts w:ascii="Calibri" w:eastAsia="Times New Roman" w:hAnsi="Calibri" w:cs="Calibri"/>
                <w:color w:val="006100"/>
                <w:sz w:val="16"/>
                <w:szCs w:val="16"/>
                <w:lang w:eastAsia="en-AU"/>
              </w:rPr>
            </w:pPr>
            <w:r w:rsidRPr="00CD64C9">
              <w:rPr>
                <w:rFonts w:ascii="Calibri" w:eastAsia="Times New Roman" w:hAnsi="Calibri" w:cs="Calibri"/>
                <w:color w:val="006100"/>
                <w:sz w:val="16"/>
                <w:szCs w:val="16"/>
                <w:lang w:eastAsia="en-AU"/>
              </w:rPr>
              <w:t>Highest scoring response</w:t>
            </w:r>
          </w:p>
        </w:tc>
        <w:tc>
          <w:tcPr>
            <w:tcW w:w="1360" w:type="dxa"/>
            <w:tcBorders>
              <w:top w:val="single" w:sz="8" w:space="0" w:color="auto"/>
              <w:left w:val="nil"/>
              <w:bottom w:val="single" w:sz="8" w:space="0" w:color="auto"/>
              <w:right w:val="single" w:sz="8" w:space="0" w:color="auto"/>
            </w:tcBorders>
            <w:shd w:val="clear" w:color="000000" w:fill="FFEB9C"/>
            <w:vAlign w:val="center"/>
            <w:hideMark/>
          </w:tcPr>
          <w:p w:rsidR="00CD64C9" w:rsidRPr="00CD64C9" w:rsidRDefault="00CD64C9" w:rsidP="00CD64C9">
            <w:pPr>
              <w:spacing w:after="0" w:line="240" w:lineRule="auto"/>
              <w:jc w:val="center"/>
              <w:rPr>
                <w:rFonts w:ascii="Calibri" w:eastAsia="Times New Roman" w:hAnsi="Calibri" w:cs="Calibri"/>
                <w:color w:val="9C5700"/>
                <w:sz w:val="16"/>
                <w:szCs w:val="16"/>
                <w:lang w:eastAsia="en-AU"/>
              </w:rPr>
            </w:pPr>
            <w:r w:rsidRPr="00CD64C9">
              <w:rPr>
                <w:rFonts w:ascii="Calibri" w:eastAsia="Times New Roman" w:hAnsi="Calibri" w:cs="Calibri"/>
                <w:color w:val="9C5700"/>
                <w:sz w:val="16"/>
                <w:szCs w:val="16"/>
                <w:lang w:eastAsia="en-AU"/>
              </w:rPr>
              <w:t>Moderate scoring response</w:t>
            </w:r>
          </w:p>
        </w:tc>
        <w:tc>
          <w:tcPr>
            <w:tcW w:w="1360" w:type="dxa"/>
            <w:tcBorders>
              <w:top w:val="single" w:sz="8" w:space="0" w:color="auto"/>
              <w:left w:val="nil"/>
              <w:bottom w:val="single" w:sz="8" w:space="0" w:color="auto"/>
              <w:right w:val="single" w:sz="8" w:space="0" w:color="auto"/>
            </w:tcBorders>
            <w:shd w:val="clear" w:color="000000" w:fill="FFF2CC"/>
            <w:vAlign w:val="center"/>
            <w:hideMark/>
          </w:tcPr>
          <w:p w:rsidR="00CD64C9" w:rsidRPr="00CD64C9" w:rsidRDefault="00CD64C9" w:rsidP="00CD64C9">
            <w:pPr>
              <w:spacing w:after="0" w:line="240" w:lineRule="auto"/>
              <w:jc w:val="center"/>
              <w:rPr>
                <w:rFonts w:ascii="Calibri" w:eastAsia="Times New Roman" w:hAnsi="Calibri" w:cs="Calibri"/>
                <w:color w:val="000000"/>
                <w:sz w:val="16"/>
                <w:szCs w:val="16"/>
                <w:lang w:eastAsia="en-AU"/>
              </w:rPr>
            </w:pPr>
            <w:r w:rsidRPr="00CD64C9">
              <w:rPr>
                <w:rFonts w:ascii="Calibri" w:eastAsia="Times New Roman" w:hAnsi="Calibri" w:cs="Calibri"/>
                <w:color w:val="000000"/>
                <w:sz w:val="16"/>
                <w:szCs w:val="16"/>
                <w:lang w:eastAsia="en-AU"/>
              </w:rPr>
              <w:t xml:space="preserve">Lowest scoring response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D64C9" w:rsidRPr="00CD64C9" w:rsidRDefault="00CD64C9" w:rsidP="00CD64C9">
            <w:pPr>
              <w:spacing w:after="0" w:line="240" w:lineRule="auto"/>
              <w:jc w:val="center"/>
              <w:rPr>
                <w:rFonts w:ascii="Calibri" w:eastAsia="Times New Roman" w:hAnsi="Calibri" w:cs="Calibri"/>
                <w:color w:val="000000"/>
                <w:sz w:val="16"/>
                <w:szCs w:val="16"/>
                <w:lang w:eastAsia="en-AU"/>
              </w:rPr>
            </w:pPr>
            <w:r w:rsidRPr="00CD64C9">
              <w:rPr>
                <w:rFonts w:ascii="Calibri" w:eastAsia="Times New Roman" w:hAnsi="Calibri" w:cs="Calibri"/>
                <w:color w:val="000000"/>
                <w:sz w:val="16"/>
                <w:szCs w:val="16"/>
                <w:lang w:eastAsia="en-AU"/>
              </w:rPr>
              <w:t xml:space="preserve">Response given no score </w:t>
            </w:r>
          </w:p>
        </w:tc>
      </w:tr>
    </w:tbl>
    <w:p w:rsidR="00F45F45" w:rsidRDefault="00F45F45">
      <w:pPr>
        <w:rPr>
          <w:rFonts w:cstheme="minorHAnsi"/>
          <w:b/>
        </w:rPr>
      </w:pPr>
    </w:p>
    <w:p w:rsidR="008B486E" w:rsidRDefault="008B486E">
      <w:pPr>
        <w:rPr>
          <w:rFonts w:cstheme="minorHAnsi"/>
          <w:b/>
        </w:rPr>
      </w:pPr>
    </w:p>
    <w:p w:rsidR="008B486E" w:rsidRDefault="008B486E">
      <w:pPr>
        <w:rPr>
          <w:rFonts w:cstheme="minorHAnsi"/>
          <w:b/>
        </w:rPr>
      </w:pPr>
    </w:p>
    <w:p w:rsidR="008B486E" w:rsidRDefault="008B486E">
      <w:pPr>
        <w:rPr>
          <w:rFonts w:cstheme="minorHAnsi"/>
          <w:b/>
        </w:rPr>
      </w:pPr>
      <w:bookmarkStart w:id="0" w:name="_GoBack"/>
      <w:bookmarkEnd w:id="0"/>
    </w:p>
    <w:p w:rsidR="008B486E" w:rsidRDefault="008B486E">
      <w:pPr>
        <w:rPr>
          <w:rFonts w:cstheme="minorHAnsi"/>
          <w:b/>
        </w:rPr>
      </w:pPr>
      <w:r>
        <w:rPr>
          <w:noProof/>
        </w:rPr>
        <w:lastRenderedPageBreak/>
        <w:drawing>
          <wp:inline distT="0" distB="0" distL="0" distR="0" wp14:anchorId="0A993840" wp14:editId="52030008">
            <wp:extent cx="9777730" cy="3716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77730" cy="3716655"/>
                    </a:xfrm>
                    <a:prstGeom prst="rect">
                      <a:avLst/>
                    </a:prstGeom>
                  </pic:spPr>
                </pic:pic>
              </a:graphicData>
            </a:graphic>
          </wp:inline>
        </w:drawing>
      </w:r>
    </w:p>
    <w:p w:rsidR="008B486E" w:rsidRDefault="008B486E">
      <w:pPr>
        <w:rPr>
          <w:rFonts w:cstheme="minorHAnsi"/>
          <w:b/>
        </w:rPr>
      </w:pPr>
    </w:p>
    <w:p w:rsidR="008B486E" w:rsidRDefault="008B486E">
      <w:pPr>
        <w:rPr>
          <w:rFonts w:cstheme="minorHAnsi"/>
          <w:b/>
        </w:rPr>
      </w:pPr>
      <w:r>
        <w:rPr>
          <w:noProof/>
        </w:rPr>
        <w:drawing>
          <wp:inline distT="0" distB="0" distL="0" distR="0" wp14:anchorId="72CAF2DF" wp14:editId="6ED4373D">
            <wp:extent cx="9777730" cy="2185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7730" cy="2185670"/>
                    </a:xfrm>
                    <a:prstGeom prst="rect">
                      <a:avLst/>
                    </a:prstGeom>
                  </pic:spPr>
                </pic:pic>
              </a:graphicData>
            </a:graphic>
          </wp:inline>
        </w:drawing>
      </w:r>
    </w:p>
    <w:p w:rsidR="008B486E" w:rsidRPr="00F45F45" w:rsidRDefault="008B486E">
      <w:pPr>
        <w:rPr>
          <w:rFonts w:cstheme="minorHAnsi"/>
          <w:b/>
        </w:rPr>
      </w:pPr>
    </w:p>
    <w:sectPr w:rsidR="008B486E" w:rsidRPr="00F45F45" w:rsidSect="00F45F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40"/>
    <w:rsid w:val="00311F0A"/>
    <w:rsid w:val="008B486E"/>
    <w:rsid w:val="00CD64C9"/>
    <w:rsid w:val="00D12D40"/>
    <w:rsid w:val="00D74FEB"/>
    <w:rsid w:val="00D820E0"/>
    <w:rsid w:val="00F45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E360"/>
  <w15:chartTrackingRefBased/>
  <w15:docId w15:val="{83B85F76-8850-47F7-93A7-6867AEB8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40448">
      <w:bodyDiv w:val="1"/>
      <w:marLeft w:val="0"/>
      <w:marRight w:val="0"/>
      <w:marTop w:val="0"/>
      <w:marBottom w:val="0"/>
      <w:divBdr>
        <w:top w:val="none" w:sz="0" w:space="0" w:color="auto"/>
        <w:left w:val="none" w:sz="0" w:space="0" w:color="auto"/>
        <w:bottom w:val="none" w:sz="0" w:space="0" w:color="auto"/>
        <w:right w:val="none" w:sz="0" w:space="0" w:color="auto"/>
      </w:divBdr>
      <w:divsChild>
        <w:div w:id="1850946025">
          <w:marLeft w:val="0"/>
          <w:marRight w:val="0"/>
          <w:marTop w:val="15"/>
          <w:marBottom w:val="0"/>
          <w:divBdr>
            <w:top w:val="single" w:sz="48" w:space="0" w:color="auto"/>
            <w:left w:val="single" w:sz="48" w:space="0" w:color="auto"/>
            <w:bottom w:val="single" w:sz="48" w:space="0" w:color="auto"/>
            <w:right w:val="single" w:sz="48" w:space="0" w:color="auto"/>
          </w:divBdr>
          <w:divsChild>
            <w:div w:id="1049770681">
              <w:marLeft w:val="0"/>
              <w:marRight w:val="0"/>
              <w:marTop w:val="0"/>
              <w:marBottom w:val="0"/>
              <w:divBdr>
                <w:top w:val="none" w:sz="0" w:space="0" w:color="auto"/>
                <w:left w:val="none" w:sz="0" w:space="0" w:color="auto"/>
                <w:bottom w:val="none" w:sz="0" w:space="0" w:color="auto"/>
                <w:right w:val="none" w:sz="0" w:space="0" w:color="auto"/>
              </w:divBdr>
            </w:div>
          </w:divsChild>
        </w:div>
        <w:div w:id="1446922712">
          <w:marLeft w:val="0"/>
          <w:marRight w:val="0"/>
          <w:marTop w:val="15"/>
          <w:marBottom w:val="0"/>
          <w:divBdr>
            <w:top w:val="single" w:sz="48" w:space="0" w:color="auto"/>
            <w:left w:val="single" w:sz="48" w:space="0" w:color="auto"/>
            <w:bottom w:val="single" w:sz="48" w:space="0" w:color="auto"/>
            <w:right w:val="single" w:sz="48" w:space="0" w:color="auto"/>
          </w:divBdr>
          <w:divsChild>
            <w:div w:id="16230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0968">
      <w:bodyDiv w:val="1"/>
      <w:marLeft w:val="0"/>
      <w:marRight w:val="0"/>
      <w:marTop w:val="0"/>
      <w:marBottom w:val="0"/>
      <w:divBdr>
        <w:top w:val="none" w:sz="0" w:space="0" w:color="auto"/>
        <w:left w:val="none" w:sz="0" w:space="0" w:color="auto"/>
        <w:bottom w:val="none" w:sz="0" w:space="0" w:color="auto"/>
        <w:right w:val="none" w:sz="0" w:space="0" w:color="auto"/>
      </w:divBdr>
      <w:divsChild>
        <w:div w:id="197544329">
          <w:marLeft w:val="0"/>
          <w:marRight w:val="0"/>
          <w:marTop w:val="15"/>
          <w:marBottom w:val="0"/>
          <w:divBdr>
            <w:top w:val="single" w:sz="48" w:space="0" w:color="auto"/>
            <w:left w:val="single" w:sz="48" w:space="0" w:color="auto"/>
            <w:bottom w:val="single" w:sz="48" w:space="0" w:color="auto"/>
            <w:right w:val="single" w:sz="48" w:space="0" w:color="auto"/>
          </w:divBdr>
          <w:divsChild>
            <w:div w:id="52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1194">
      <w:bodyDiv w:val="1"/>
      <w:marLeft w:val="0"/>
      <w:marRight w:val="0"/>
      <w:marTop w:val="0"/>
      <w:marBottom w:val="0"/>
      <w:divBdr>
        <w:top w:val="none" w:sz="0" w:space="0" w:color="auto"/>
        <w:left w:val="none" w:sz="0" w:space="0" w:color="auto"/>
        <w:bottom w:val="none" w:sz="0" w:space="0" w:color="auto"/>
        <w:right w:val="none" w:sz="0" w:space="0" w:color="auto"/>
      </w:divBdr>
    </w:div>
    <w:div w:id="995064095">
      <w:bodyDiv w:val="1"/>
      <w:marLeft w:val="0"/>
      <w:marRight w:val="0"/>
      <w:marTop w:val="0"/>
      <w:marBottom w:val="0"/>
      <w:divBdr>
        <w:top w:val="none" w:sz="0" w:space="0" w:color="auto"/>
        <w:left w:val="none" w:sz="0" w:space="0" w:color="auto"/>
        <w:bottom w:val="none" w:sz="0" w:space="0" w:color="auto"/>
        <w:right w:val="none" w:sz="0" w:space="0" w:color="auto"/>
      </w:divBdr>
    </w:div>
    <w:div w:id="1073043227">
      <w:bodyDiv w:val="1"/>
      <w:marLeft w:val="0"/>
      <w:marRight w:val="0"/>
      <w:marTop w:val="0"/>
      <w:marBottom w:val="0"/>
      <w:divBdr>
        <w:top w:val="none" w:sz="0" w:space="0" w:color="auto"/>
        <w:left w:val="none" w:sz="0" w:space="0" w:color="auto"/>
        <w:bottom w:val="none" w:sz="0" w:space="0" w:color="auto"/>
        <w:right w:val="none" w:sz="0" w:space="0" w:color="auto"/>
      </w:divBdr>
    </w:div>
    <w:div w:id="1194348288">
      <w:bodyDiv w:val="1"/>
      <w:marLeft w:val="0"/>
      <w:marRight w:val="0"/>
      <w:marTop w:val="0"/>
      <w:marBottom w:val="0"/>
      <w:divBdr>
        <w:top w:val="none" w:sz="0" w:space="0" w:color="auto"/>
        <w:left w:val="none" w:sz="0" w:space="0" w:color="auto"/>
        <w:bottom w:val="none" w:sz="0" w:space="0" w:color="auto"/>
        <w:right w:val="none" w:sz="0" w:space="0" w:color="auto"/>
      </w:divBdr>
    </w:div>
    <w:div w:id="1208251534">
      <w:bodyDiv w:val="1"/>
      <w:marLeft w:val="0"/>
      <w:marRight w:val="0"/>
      <w:marTop w:val="0"/>
      <w:marBottom w:val="0"/>
      <w:divBdr>
        <w:top w:val="none" w:sz="0" w:space="0" w:color="auto"/>
        <w:left w:val="none" w:sz="0" w:space="0" w:color="auto"/>
        <w:bottom w:val="none" w:sz="0" w:space="0" w:color="auto"/>
        <w:right w:val="none" w:sz="0" w:space="0" w:color="auto"/>
      </w:divBdr>
    </w:div>
    <w:div w:id="1495101876">
      <w:bodyDiv w:val="1"/>
      <w:marLeft w:val="0"/>
      <w:marRight w:val="0"/>
      <w:marTop w:val="0"/>
      <w:marBottom w:val="0"/>
      <w:divBdr>
        <w:top w:val="none" w:sz="0" w:space="0" w:color="auto"/>
        <w:left w:val="none" w:sz="0" w:space="0" w:color="auto"/>
        <w:bottom w:val="none" w:sz="0" w:space="0" w:color="auto"/>
        <w:right w:val="none" w:sz="0" w:space="0" w:color="auto"/>
      </w:divBdr>
      <w:divsChild>
        <w:div w:id="1725131107">
          <w:marLeft w:val="0"/>
          <w:marRight w:val="0"/>
          <w:marTop w:val="15"/>
          <w:marBottom w:val="0"/>
          <w:divBdr>
            <w:top w:val="single" w:sz="48" w:space="0" w:color="auto"/>
            <w:left w:val="single" w:sz="48" w:space="0" w:color="auto"/>
            <w:bottom w:val="single" w:sz="48" w:space="0" w:color="auto"/>
            <w:right w:val="single" w:sz="48" w:space="0" w:color="auto"/>
          </w:divBdr>
          <w:divsChild>
            <w:div w:id="378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Shackles, Jocelyn</dc:creator>
  <cp:keywords/>
  <dc:description/>
  <cp:lastModifiedBy>Shackles, Jocelyn</cp:lastModifiedBy>
  <cp:revision>2</cp:revision>
  <dcterms:created xsi:type="dcterms:W3CDTF">2022-12-05T01:22:00Z</dcterms:created>
  <dcterms:modified xsi:type="dcterms:W3CDTF">2022-12-05T03:35:00Z</dcterms:modified>
</cp:coreProperties>
</file>