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5F" w:rsidRDefault="00EE46AB" w:rsidP="00045FE9">
      <w:pPr>
        <w:pStyle w:val="Heading1"/>
      </w:pPr>
      <w:bookmarkStart w:id="0" w:name="_GoBack"/>
      <w:bookmarkEnd w:id="0"/>
      <w:r w:rsidRPr="00295DF4">
        <w:t>Purpos</w:t>
      </w:r>
      <w:r w:rsidR="00BC2494">
        <w:t>e</w:t>
      </w:r>
    </w:p>
    <w:p w:rsidR="00BC2494" w:rsidRPr="008F3522" w:rsidRDefault="00EE46AB" w:rsidP="00BC2494">
      <w:pPr>
        <w:ind w:left="567"/>
        <w:rPr>
          <w:sz w:val="24"/>
          <w:szCs w:val="24"/>
        </w:rPr>
      </w:pPr>
      <w:r w:rsidRPr="008F3522">
        <w:rPr>
          <w:sz w:val="24"/>
          <w:szCs w:val="24"/>
        </w:rPr>
        <w:t>This document guides scientists in the interpretation and actioning of specimen test error codes in IH-COM and</w:t>
      </w:r>
      <w:r w:rsidR="008F3522" w:rsidRPr="008F3522">
        <w:rPr>
          <w:sz w:val="24"/>
          <w:szCs w:val="24"/>
        </w:rPr>
        <w:t xml:space="preserve"> when specimens are eligible for repeating. </w:t>
      </w:r>
    </w:p>
    <w:p w:rsidR="008F3522" w:rsidRPr="008F3522" w:rsidRDefault="00EE46AB" w:rsidP="00BC2494">
      <w:pPr>
        <w:ind w:left="567"/>
        <w:rPr>
          <w:sz w:val="24"/>
          <w:szCs w:val="24"/>
        </w:rPr>
      </w:pPr>
      <w:r w:rsidRPr="008F3522">
        <w:rPr>
          <w:sz w:val="24"/>
          <w:szCs w:val="24"/>
        </w:rPr>
        <w:t xml:space="preserve">This procedure also outlines documentation of inconclusive antibody investigations and </w:t>
      </w:r>
      <w:r w:rsidRPr="008F3522">
        <w:rPr>
          <w:sz w:val="24"/>
          <w:szCs w:val="24"/>
        </w:rPr>
        <w:t>notifications to laboratory and hospital clinical staff.</w:t>
      </w:r>
    </w:p>
    <w:p w:rsidR="00FD3E48" w:rsidRPr="00FD3E48" w:rsidRDefault="00EE46AB" w:rsidP="00FD3E48">
      <w:pPr>
        <w:pStyle w:val="Heading1"/>
      </w:pPr>
      <w:r>
        <w:t>Scope &amp; Responsibilities</w:t>
      </w:r>
    </w:p>
    <w:p w:rsidR="001723FE" w:rsidRPr="00370378" w:rsidRDefault="00EE46AB" w:rsidP="00DF19EE">
      <w:pPr>
        <w:pStyle w:val="Para1"/>
      </w:pPr>
      <w:r>
        <w:t xml:space="preserve">This document is intended for scientists working within Blood Bank in the interpretation and actioning of specimen test error codes in IH-COM and </w:t>
      </w:r>
      <w:r w:rsidR="008F3522">
        <w:t xml:space="preserve">how product requirements or clinical recommendations / notifications are to be documented. </w:t>
      </w:r>
    </w:p>
    <w:p w:rsidR="00D21353" w:rsidRDefault="00EE46AB">
      <w:pPr>
        <w:pStyle w:val="Heading1"/>
      </w:pPr>
      <w:r>
        <w:t>Definitions</w:t>
      </w:r>
    </w:p>
    <w:p w:rsidR="00D21353" w:rsidRDefault="00EE46AB" w:rsidP="00D21353">
      <w:pPr>
        <w:ind w:left="567"/>
      </w:pPr>
      <w:r>
        <w:t>ARCBS – Australian Red Cross Blood service</w:t>
      </w:r>
    </w:p>
    <w:p w:rsidR="00543747" w:rsidRDefault="00EE46AB" w:rsidP="00D21353">
      <w:pPr>
        <w:ind w:left="567"/>
      </w:pPr>
      <w:r>
        <w:t>BBMAN – Test code added to blood bank accessions. Used to document time taken for investigation and scanning of all investigative paperwo</w:t>
      </w:r>
      <w:r>
        <w:t>rk.</w:t>
      </w:r>
    </w:p>
    <w:p w:rsidR="00543747" w:rsidRPr="00D21353" w:rsidRDefault="00EE46AB" w:rsidP="00D21353">
      <w:pPr>
        <w:ind w:left="567"/>
      </w:pPr>
      <w:r>
        <w:t>BBPHONE – Blood Bank phone test code used to document phone communications.</w:t>
      </w:r>
    </w:p>
    <w:p w:rsidR="001723FE" w:rsidRDefault="00EE46AB">
      <w:pPr>
        <w:pStyle w:val="Heading1"/>
      </w:pPr>
      <w:r>
        <w:t>Procedure</w:t>
      </w:r>
    </w:p>
    <w:p w:rsidR="001723FE" w:rsidRDefault="00EE46AB" w:rsidP="00370378">
      <w:pPr>
        <w:pStyle w:val="Para1"/>
        <w:rPr>
          <w:b/>
          <w:u w:val="single"/>
        </w:rPr>
      </w:pPr>
      <w:r w:rsidRPr="00C45590">
        <w:rPr>
          <w:b/>
          <w:u w:val="single"/>
        </w:rPr>
        <w:t>Part A: IHCOM result Issues or error codes: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685"/>
        <w:gridCol w:w="4389"/>
      </w:tblGrid>
      <w:tr w:rsidR="00A017F9" w:rsidTr="00B113B2">
        <w:tc>
          <w:tcPr>
            <w:tcW w:w="1555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 w:rsidRPr="00206E3D">
              <w:t xml:space="preserve">Well </w:t>
            </w:r>
            <w:r>
              <w:t>Result or Flag</w:t>
            </w:r>
          </w:p>
        </w:tc>
        <w:tc>
          <w:tcPr>
            <w:tcW w:w="3685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>
              <w:t>Description / Cause</w:t>
            </w:r>
          </w:p>
        </w:tc>
        <w:tc>
          <w:tcPr>
            <w:tcW w:w="4389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>
              <w:t>Actions</w:t>
            </w:r>
          </w:p>
        </w:tc>
      </w:tr>
      <w:tr w:rsidR="00A017F9" w:rsidTr="00B113B2">
        <w:tc>
          <w:tcPr>
            <w:tcW w:w="1555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>
              <w:t>DP</w:t>
            </w:r>
          </w:p>
        </w:tc>
        <w:tc>
          <w:tcPr>
            <w:tcW w:w="3685" w:type="dxa"/>
          </w:tcPr>
          <w:p w:rsidR="00206E3D" w:rsidRPr="00206E3D" w:rsidRDefault="00EE46AB" w:rsidP="00370378">
            <w:pPr>
              <w:pStyle w:val="Para1"/>
              <w:ind w:left="0"/>
            </w:pPr>
            <w:r>
              <w:t>Dual red cell population</w:t>
            </w:r>
          </w:p>
        </w:tc>
        <w:tc>
          <w:tcPr>
            <w:tcW w:w="4389" w:type="dxa"/>
          </w:tcPr>
          <w:p w:rsidR="00206E3D" w:rsidRPr="00206E3D" w:rsidRDefault="00206E3D" w:rsidP="00370378">
            <w:pPr>
              <w:pStyle w:val="Para1"/>
              <w:ind w:left="0"/>
            </w:pPr>
          </w:p>
        </w:tc>
      </w:tr>
      <w:tr w:rsidR="00A017F9" w:rsidTr="00B113B2">
        <w:tc>
          <w:tcPr>
            <w:tcW w:w="1555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>
              <w:t>wR</w:t>
            </w:r>
          </w:p>
        </w:tc>
        <w:tc>
          <w:tcPr>
            <w:tcW w:w="3685" w:type="dxa"/>
          </w:tcPr>
          <w:p w:rsidR="00226CB6" w:rsidRDefault="00EE46AB" w:rsidP="00226CB6">
            <w:pPr>
              <w:pStyle w:val="Para1"/>
              <w:numPr>
                <w:ilvl w:val="0"/>
                <w:numId w:val="10"/>
              </w:numPr>
            </w:pPr>
            <w:r>
              <w:t xml:space="preserve">This does </w:t>
            </w:r>
            <w:r w:rsidRPr="0040379B">
              <w:rPr>
                <w:b/>
                <w:u w:val="single"/>
              </w:rPr>
              <w:t>NOT</w:t>
            </w:r>
            <w:r>
              <w:t xml:space="preserve"> refer to a weak reaction</w:t>
            </w:r>
          </w:p>
          <w:p w:rsidR="00206E3D" w:rsidRPr="00206E3D" w:rsidRDefault="00EE46AB" w:rsidP="00226CB6">
            <w:pPr>
              <w:pStyle w:val="Para1"/>
              <w:numPr>
                <w:ilvl w:val="0"/>
                <w:numId w:val="10"/>
              </w:numPr>
            </w:pPr>
            <w:r>
              <w:t xml:space="preserve">Non-homogeneous area above the red cell pellet. </w:t>
            </w:r>
            <w:r w:rsidR="00D05E61">
              <w:t xml:space="preserve"> </w:t>
            </w:r>
          </w:p>
        </w:tc>
        <w:tc>
          <w:tcPr>
            <w:tcW w:w="4389" w:type="dxa"/>
          </w:tcPr>
          <w:p w:rsidR="00206E3D" w:rsidRDefault="00EE46AB" w:rsidP="00226CB6">
            <w:pPr>
              <w:pStyle w:val="Para1"/>
              <w:numPr>
                <w:ilvl w:val="0"/>
                <w:numId w:val="10"/>
              </w:numPr>
            </w:pPr>
            <w:r>
              <w:t xml:space="preserve">Inspect card result manually. </w:t>
            </w:r>
          </w:p>
          <w:p w:rsidR="00226CB6" w:rsidRDefault="00EE46AB" w:rsidP="00226CB6">
            <w:pPr>
              <w:pStyle w:val="Para1"/>
              <w:numPr>
                <w:ilvl w:val="0"/>
                <w:numId w:val="10"/>
              </w:numPr>
            </w:pPr>
            <w:r>
              <w:t xml:space="preserve">Result may be negative, be affected by dust on column, etc. </w:t>
            </w:r>
          </w:p>
          <w:p w:rsidR="00923593" w:rsidRDefault="00EE46AB" w:rsidP="00226CB6">
            <w:pPr>
              <w:pStyle w:val="Para1"/>
              <w:numPr>
                <w:ilvl w:val="0"/>
                <w:numId w:val="10"/>
              </w:numPr>
            </w:pPr>
            <w:r>
              <w:t xml:space="preserve">If no liquid specimen liquid </w:t>
            </w:r>
            <w:r w:rsidR="00D05E61">
              <w:t xml:space="preserve">pipetting </w:t>
            </w:r>
            <w:r>
              <w:t>issue and</w:t>
            </w:r>
            <w:r w:rsidR="00D05E61">
              <w:t xml:space="preserve"> / or</w:t>
            </w:r>
            <w:r>
              <w:t xml:space="preserve"> cassette </w:t>
            </w:r>
            <w:r w:rsidR="00D05E61">
              <w:t xml:space="preserve">gel </w:t>
            </w:r>
            <w:r>
              <w:t xml:space="preserve">integrity </w:t>
            </w:r>
            <w:r w:rsidR="00D05E61">
              <w:t xml:space="preserve">problem </w:t>
            </w:r>
            <w:r>
              <w:t xml:space="preserve">result may be manually </w:t>
            </w:r>
            <w:r>
              <w:t>interpreted</w:t>
            </w:r>
            <w:r w:rsidR="00D05E61">
              <w:t xml:space="preserve"> by visual reading.</w:t>
            </w:r>
          </w:p>
          <w:p w:rsidR="001C2BB0" w:rsidRPr="00206E3D" w:rsidRDefault="00EE46AB" w:rsidP="00226CB6">
            <w:pPr>
              <w:pStyle w:val="Para1"/>
              <w:numPr>
                <w:ilvl w:val="0"/>
                <w:numId w:val="10"/>
              </w:numPr>
            </w:pPr>
            <w:r>
              <w:t xml:space="preserve">If a weak reaction is </w:t>
            </w:r>
            <w:r w:rsidR="001676A2">
              <w:t xml:space="preserve">suspected then </w:t>
            </w:r>
            <w:r w:rsidR="00B113B2">
              <w:t>treat as per a weak reaction (±)</w:t>
            </w:r>
          </w:p>
        </w:tc>
      </w:tr>
      <w:tr w:rsidR="00A017F9" w:rsidTr="00B113B2">
        <w:tc>
          <w:tcPr>
            <w:tcW w:w="1555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>
              <w:t>wF</w:t>
            </w:r>
          </w:p>
        </w:tc>
        <w:tc>
          <w:tcPr>
            <w:tcW w:w="3685" w:type="dxa"/>
          </w:tcPr>
          <w:p w:rsidR="00206E3D" w:rsidRPr="00206E3D" w:rsidRDefault="00EE46AB" w:rsidP="00370378">
            <w:pPr>
              <w:pStyle w:val="Para1"/>
              <w:ind w:left="0"/>
            </w:pPr>
            <w:r>
              <w:t xml:space="preserve">Doubtful result or Gel not clear. </w:t>
            </w:r>
          </w:p>
        </w:tc>
        <w:tc>
          <w:tcPr>
            <w:tcW w:w="4389" w:type="dxa"/>
          </w:tcPr>
          <w:p w:rsidR="00206E3D" w:rsidRDefault="00EE46AB" w:rsidP="00D05E61">
            <w:pPr>
              <w:pStyle w:val="Para1"/>
              <w:numPr>
                <w:ilvl w:val="0"/>
                <w:numId w:val="11"/>
              </w:numPr>
            </w:pPr>
            <w:r>
              <w:t>Check column for foreign particles.</w:t>
            </w:r>
          </w:p>
          <w:p w:rsidR="00D05E61" w:rsidRPr="00206E3D" w:rsidRDefault="00EE46AB" w:rsidP="00D05E61">
            <w:pPr>
              <w:pStyle w:val="Para1"/>
              <w:numPr>
                <w:ilvl w:val="0"/>
                <w:numId w:val="11"/>
              </w:numPr>
            </w:pPr>
            <w:r>
              <w:t>Interpret and document results by manual reading</w:t>
            </w:r>
          </w:p>
        </w:tc>
      </w:tr>
      <w:tr w:rsidR="00A017F9" w:rsidTr="00B113B2">
        <w:tc>
          <w:tcPr>
            <w:tcW w:w="1555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>
              <w:lastRenderedPageBreak/>
              <w:t>LIQ</w:t>
            </w:r>
          </w:p>
        </w:tc>
        <w:tc>
          <w:tcPr>
            <w:tcW w:w="3685" w:type="dxa"/>
          </w:tcPr>
          <w:p w:rsidR="00206E3D" w:rsidRPr="00206E3D" w:rsidRDefault="00EE46AB" w:rsidP="00370378">
            <w:pPr>
              <w:pStyle w:val="Para1"/>
              <w:ind w:left="0"/>
            </w:pPr>
            <w:r>
              <w:t xml:space="preserve">Liquid distribution check </w:t>
            </w:r>
            <w:r>
              <w:t>Inspect visually</w:t>
            </w:r>
          </w:p>
        </w:tc>
        <w:tc>
          <w:tcPr>
            <w:tcW w:w="4389" w:type="dxa"/>
          </w:tcPr>
          <w:p w:rsidR="00206E3D" w:rsidRDefault="00EE46AB" w:rsidP="00D05E61">
            <w:pPr>
              <w:pStyle w:val="Para1"/>
              <w:numPr>
                <w:ilvl w:val="0"/>
                <w:numId w:val="12"/>
              </w:numPr>
            </w:pPr>
            <w:r>
              <w:t xml:space="preserve">Check liquid levels of gel columns. If levels are low or variable reject results and rerun. </w:t>
            </w:r>
          </w:p>
          <w:p w:rsidR="00D05E61" w:rsidRPr="00206E3D" w:rsidRDefault="00EE46AB" w:rsidP="00D05E61">
            <w:pPr>
              <w:pStyle w:val="Para1"/>
              <w:numPr>
                <w:ilvl w:val="0"/>
                <w:numId w:val="12"/>
              </w:numPr>
            </w:pPr>
            <w:r>
              <w:t>If errors persist or are observed on multiple specimens contact Bio-Rad Tech support.</w:t>
            </w:r>
          </w:p>
        </w:tc>
      </w:tr>
      <w:tr w:rsidR="00A017F9" w:rsidTr="00B113B2">
        <w:tc>
          <w:tcPr>
            <w:tcW w:w="1555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>
              <w:t>W</w:t>
            </w:r>
          </w:p>
        </w:tc>
        <w:tc>
          <w:tcPr>
            <w:tcW w:w="3685" w:type="dxa"/>
          </w:tcPr>
          <w:p w:rsidR="00206E3D" w:rsidRPr="00206E3D" w:rsidRDefault="00EE46AB" w:rsidP="00370378">
            <w:pPr>
              <w:pStyle w:val="Para1"/>
              <w:ind w:left="0"/>
            </w:pPr>
            <w:r>
              <w:t>Well not found for interpretation</w:t>
            </w:r>
          </w:p>
        </w:tc>
        <w:tc>
          <w:tcPr>
            <w:tcW w:w="4389" w:type="dxa"/>
          </w:tcPr>
          <w:p w:rsidR="00206E3D" w:rsidRPr="00206E3D" w:rsidRDefault="00EE46AB" w:rsidP="00FD3E48">
            <w:pPr>
              <w:pStyle w:val="Para1"/>
              <w:numPr>
                <w:ilvl w:val="0"/>
                <w:numId w:val="14"/>
              </w:numPr>
            </w:pPr>
            <w:r>
              <w:t>Repeat specimen testing</w:t>
            </w:r>
          </w:p>
        </w:tc>
      </w:tr>
      <w:tr w:rsidR="00A017F9" w:rsidTr="00B113B2">
        <w:tc>
          <w:tcPr>
            <w:tcW w:w="1555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>
              <w:t>E</w:t>
            </w:r>
          </w:p>
        </w:tc>
        <w:tc>
          <w:tcPr>
            <w:tcW w:w="3685" w:type="dxa"/>
          </w:tcPr>
          <w:p w:rsidR="00206E3D" w:rsidRPr="00206E3D" w:rsidRDefault="00EE46AB" w:rsidP="00370378">
            <w:pPr>
              <w:pStyle w:val="Para1"/>
              <w:ind w:left="0"/>
            </w:pPr>
            <w:r>
              <w:t>No Reaction available in well or no liquid above gel</w:t>
            </w:r>
          </w:p>
        </w:tc>
        <w:tc>
          <w:tcPr>
            <w:tcW w:w="4389" w:type="dxa"/>
          </w:tcPr>
          <w:p w:rsidR="00206E3D" w:rsidRDefault="00EE46AB" w:rsidP="00FD3E48">
            <w:pPr>
              <w:pStyle w:val="Para1"/>
              <w:numPr>
                <w:ilvl w:val="0"/>
                <w:numId w:val="14"/>
              </w:numPr>
            </w:pPr>
            <w:r>
              <w:t>Repeat test.</w:t>
            </w:r>
          </w:p>
          <w:p w:rsidR="00FD3E48" w:rsidRDefault="00EE46AB" w:rsidP="00FD3E48">
            <w:pPr>
              <w:pStyle w:val="Para1"/>
              <w:numPr>
                <w:ilvl w:val="0"/>
                <w:numId w:val="14"/>
              </w:numPr>
            </w:pPr>
            <w:r>
              <w:t>If multiple examples inspect cassettes to determine if it is a cassette / batch issue.</w:t>
            </w:r>
          </w:p>
          <w:p w:rsidR="00FD3E48" w:rsidRPr="00206E3D" w:rsidRDefault="00EE46AB" w:rsidP="00FD3E48">
            <w:pPr>
              <w:pStyle w:val="Para1"/>
              <w:numPr>
                <w:ilvl w:val="0"/>
                <w:numId w:val="14"/>
              </w:numPr>
            </w:pPr>
            <w:r>
              <w:t xml:space="preserve">If cassettes appear normal inspect instrument to see if any issue </w:t>
            </w:r>
            <w:r w:rsidR="00960734">
              <w:t>with instrument pipetting.</w:t>
            </w:r>
          </w:p>
        </w:tc>
      </w:tr>
      <w:tr w:rsidR="00A017F9" w:rsidTr="00B113B2">
        <w:tc>
          <w:tcPr>
            <w:tcW w:w="1555" w:type="dxa"/>
          </w:tcPr>
          <w:p w:rsidR="00206E3D" w:rsidRPr="00206E3D" w:rsidRDefault="00EE46AB" w:rsidP="00206E3D">
            <w:pPr>
              <w:pStyle w:val="Para1"/>
              <w:ind w:left="0"/>
              <w:jc w:val="center"/>
            </w:pPr>
            <w:r>
              <w:t>?</w:t>
            </w:r>
          </w:p>
        </w:tc>
        <w:tc>
          <w:tcPr>
            <w:tcW w:w="3685" w:type="dxa"/>
          </w:tcPr>
          <w:p w:rsidR="00206E3D" w:rsidRPr="00206E3D" w:rsidRDefault="00EE46AB" w:rsidP="00370378">
            <w:pPr>
              <w:pStyle w:val="Para1"/>
              <w:ind w:left="0"/>
            </w:pPr>
            <w:r>
              <w:t xml:space="preserve">No </w:t>
            </w:r>
            <w:r>
              <w:t>result interpretation possible</w:t>
            </w:r>
          </w:p>
        </w:tc>
        <w:tc>
          <w:tcPr>
            <w:tcW w:w="4389" w:type="dxa"/>
          </w:tcPr>
          <w:p w:rsidR="00206E3D" w:rsidRDefault="00EE46AB" w:rsidP="0040379B">
            <w:pPr>
              <w:pStyle w:val="Para1"/>
              <w:numPr>
                <w:ilvl w:val="0"/>
                <w:numId w:val="13"/>
              </w:numPr>
            </w:pPr>
            <w:r>
              <w:t xml:space="preserve">Inspect column manually and interpret and score reactions visibly. </w:t>
            </w:r>
          </w:p>
          <w:p w:rsidR="0040379B" w:rsidRPr="00206E3D" w:rsidRDefault="00EE46AB" w:rsidP="0040379B">
            <w:pPr>
              <w:pStyle w:val="Para1"/>
              <w:numPr>
                <w:ilvl w:val="0"/>
                <w:numId w:val="13"/>
              </w:numPr>
            </w:pPr>
            <w:r>
              <w:t xml:space="preserve">If weak reactions suspected or uncertain, follow up </w:t>
            </w:r>
            <w:r w:rsidRPr="0040379B">
              <w:t>Investigation is to be performed by a more sensitive method</w:t>
            </w:r>
            <w:r>
              <w:t xml:space="preserve"> e.g. Peg</w:t>
            </w:r>
            <w:r w:rsidR="00B113B2">
              <w:t xml:space="preserve"> </w:t>
            </w:r>
            <w:r>
              <w:t>IAT</w:t>
            </w:r>
          </w:p>
        </w:tc>
      </w:tr>
      <w:tr w:rsidR="00A017F9" w:rsidTr="00B113B2">
        <w:tc>
          <w:tcPr>
            <w:tcW w:w="1555" w:type="dxa"/>
          </w:tcPr>
          <w:p w:rsidR="00206E3D" w:rsidRDefault="00EE46AB" w:rsidP="00206E3D">
            <w:pPr>
              <w:pStyle w:val="Para1"/>
              <w:ind w:left="0"/>
              <w:jc w:val="center"/>
            </w:pPr>
            <w:r>
              <w:t>±</w:t>
            </w:r>
          </w:p>
        </w:tc>
        <w:tc>
          <w:tcPr>
            <w:tcW w:w="3685" w:type="dxa"/>
          </w:tcPr>
          <w:p w:rsidR="00206E3D" w:rsidRPr="00206E3D" w:rsidRDefault="00EE46AB" w:rsidP="00370378">
            <w:pPr>
              <w:pStyle w:val="Para1"/>
              <w:ind w:left="0"/>
            </w:pPr>
            <w:r w:rsidRPr="00206E3D">
              <w:t>Weak Positive reaction</w:t>
            </w:r>
          </w:p>
        </w:tc>
        <w:tc>
          <w:tcPr>
            <w:tcW w:w="4389" w:type="dxa"/>
          </w:tcPr>
          <w:p w:rsidR="00206E3D" w:rsidRDefault="00EE46AB" w:rsidP="00206E3D">
            <w:pPr>
              <w:pStyle w:val="Para1"/>
              <w:numPr>
                <w:ilvl w:val="0"/>
                <w:numId w:val="9"/>
              </w:numPr>
            </w:pPr>
            <w:r>
              <w:t xml:space="preserve">Weak </w:t>
            </w:r>
            <w:r>
              <w:t>reactions are to be treated as positive.</w:t>
            </w:r>
          </w:p>
          <w:p w:rsidR="00206E3D" w:rsidRDefault="00EE46AB" w:rsidP="00206E3D">
            <w:pPr>
              <w:pStyle w:val="Para1"/>
              <w:numPr>
                <w:ilvl w:val="0"/>
                <w:numId w:val="9"/>
              </w:numPr>
            </w:pPr>
            <w:r>
              <w:t>Weak reactions are never to be run to “check if they are really there”.</w:t>
            </w:r>
          </w:p>
          <w:p w:rsidR="00206E3D" w:rsidRDefault="00EE46AB" w:rsidP="00206E3D">
            <w:pPr>
              <w:pStyle w:val="Para1"/>
              <w:numPr>
                <w:ilvl w:val="0"/>
                <w:numId w:val="9"/>
              </w:numPr>
            </w:pPr>
            <w:r>
              <w:t>Investigation is to be performed by a more sensitive method e.g. Peg IAT to enhance a potential weak antibody.</w:t>
            </w:r>
          </w:p>
          <w:p w:rsidR="00B113B2" w:rsidRDefault="00EE46AB" w:rsidP="00206E3D">
            <w:pPr>
              <w:pStyle w:val="Para1"/>
              <w:numPr>
                <w:ilvl w:val="0"/>
                <w:numId w:val="9"/>
              </w:numPr>
            </w:pPr>
            <w:r>
              <w:t>If the IH500 result is determine</w:t>
            </w:r>
            <w:r>
              <w:t xml:space="preserve">d as a weak positive but repeat Peg IAT antibody screen and panel are negative  treat as a possible low incidence. Issue random red cells by full serological crossmatch. Refer specimen to ARCBS Reference laboratory to confirm. </w:t>
            </w:r>
          </w:p>
          <w:p w:rsidR="00206E3D" w:rsidRPr="00206E3D" w:rsidRDefault="00206E3D" w:rsidP="00370378">
            <w:pPr>
              <w:pStyle w:val="Para1"/>
              <w:ind w:left="0"/>
            </w:pPr>
          </w:p>
        </w:tc>
      </w:tr>
    </w:tbl>
    <w:p w:rsidR="00B113B2" w:rsidRDefault="00B113B2" w:rsidP="00B113B2">
      <w:pPr>
        <w:pStyle w:val="Para1"/>
        <w:ind w:left="0" w:firstLine="567"/>
        <w:rPr>
          <w:b/>
          <w:u w:val="single"/>
        </w:rPr>
      </w:pPr>
    </w:p>
    <w:p w:rsidR="00B113B2" w:rsidRDefault="00B113B2" w:rsidP="00B113B2">
      <w:pPr>
        <w:pStyle w:val="Para1"/>
        <w:ind w:left="0" w:firstLine="567"/>
        <w:rPr>
          <w:b/>
          <w:u w:val="single"/>
        </w:rPr>
      </w:pPr>
    </w:p>
    <w:p w:rsidR="00C025CE" w:rsidRDefault="00EE46AB" w:rsidP="00B113B2">
      <w:pPr>
        <w:pStyle w:val="Para1"/>
        <w:ind w:left="0" w:firstLine="567"/>
        <w:rPr>
          <w:b/>
          <w:u w:val="single"/>
        </w:rPr>
      </w:pPr>
      <w:r w:rsidRPr="00C45590">
        <w:rPr>
          <w:b/>
          <w:u w:val="single"/>
        </w:rPr>
        <w:lastRenderedPageBreak/>
        <w:t xml:space="preserve">Part B: </w:t>
      </w:r>
      <w:r w:rsidR="00045FE9" w:rsidRPr="00C45590">
        <w:rPr>
          <w:b/>
          <w:u w:val="single"/>
        </w:rPr>
        <w:t xml:space="preserve"> </w:t>
      </w:r>
      <w:r>
        <w:rPr>
          <w:b/>
          <w:u w:val="single"/>
        </w:rPr>
        <w:t xml:space="preserve">Inconclusive </w:t>
      </w:r>
      <w:r>
        <w:rPr>
          <w:b/>
          <w:u w:val="single"/>
        </w:rPr>
        <w:t>Investigations</w:t>
      </w:r>
      <w:r w:rsidR="00195448">
        <w:rPr>
          <w:b/>
          <w:u w:val="single"/>
        </w:rPr>
        <w:t xml:space="preserve">  </w:t>
      </w:r>
    </w:p>
    <w:p w:rsidR="00195448" w:rsidRDefault="00195448" w:rsidP="00195448">
      <w:pPr>
        <w:pStyle w:val="Para1"/>
        <w:ind w:left="0"/>
        <w:rPr>
          <w:b/>
          <w:u w:val="single"/>
        </w:rPr>
      </w:pPr>
    </w:p>
    <w:p w:rsidR="008A314C" w:rsidRDefault="00EE46AB" w:rsidP="008A314C">
      <w:pPr>
        <w:pStyle w:val="Para1"/>
      </w:pPr>
      <w:r w:rsidRPr="00F24688">
        <w:tab/>
        <w:t>When investigating positive reactions</w:t>
      </w:r>
      <w:r w:rsidR="00F24688">
        <w:t xml:space="preserve"> additional specimens or investigations at ARCBS Lifeblood Reference may be required.  To communicate </w:t>
      </w:r>
      <w:r>
        <w:t xml:space="preserve">an incomplete investigation </w:t>
      </w:r>
      <w:r w:rsidR="00F24688">
        <w:t>to the treating clinician</w:t>
      </w:r>
      <w:r>
        <w:t>:</w:t>
      </w:r>
    </w:p>
    <w:p w:rsidR="008A314C" w:rsidRDefault="00EE46AB" w:rsidP="008A314C">
      <w:pPr>
        <w:pStyle w:val="Para1"/>
        <w:numPr>
          <w:ilvl w:val="0"/>
          <w:numId w:val="17"/>
        </w:numPr>
      </w:pPr>
      <w:r>
        <w:t xml:space="preserve">Extended </w:t>
      </w:r>
      <w:r w:rsidR="00A91DB1">
        <w:t xml:space="preserve">panel </w:t>
      </w:r>
      <w:r>
        <w:t>investigations were unable t</w:t>
      </w:r>
      <w:r>
        <w:t xml:space="preserve">o explain </w:t>
      </w:r>
      <w:r w:rsidR="00A91DB1">
        <w:t>the cause of a positive antibody screen.</w:t>
      </w:r>
    </w:p>
    <w:p w:rsidR="00A91DB1" w:rsidRDefault="00EE46AB" w:rsidP="008A314C">
      <w:pPr>
        <w:pStyle w:val="Para1"/>
        <w:numPr>
          <w:ilvl w:val="0"/>
          <w:numId w:val="17"/>
        </w:numPr>
      </w:pPr>
      <w:r>
        <w:t xml:space="preserve">Notify the laboratory clinical registrar of unknown specificity and potential requirement additional specimens for investigation and / or referral to the ARCBS Lifeblood reference laboratory. </w:t>
      </w:r>
    </w:p>
    <w:p w:rsidR="00A91DB1" w:rsidRDefault="00EE46AB" w:rsidP="008A314C">
      <w:pPr>
        <w:pStyle w:val="Para1"/>
        <w:numPr>
          <w:ilvl w:val="0"/>
          <w:numId w:val="17"/>
        </w:numPr>
      </w:pPr>
      <w:r>
        <w:t>The laborato</w:t>
      </w:r>
      <w:r>
        <w:t xml:space="preserve">ry or treating clinician can be directed to order an “Extended Group and save”. This order prompts the collection of 3 EDTA specimens for the Blood Bank to facilitate extended testing and / or referral to the ARCBS reference lab. </w:t>
      </w:r>
    </w:p>
    <w:p w:rsidR="008A314C" w:rsidRPr="00F24688" w:rsidRDefault="00EE46AB" w:rsidP="00767A23">
      <w:pPr>
        <w:pStyle w:val="Para1"/>
        <w:numPr>
          <w:ilvl w:val="0"/>
          <w:numId w:val="17"/>
        </w:numPr>
      </w:pPr>
      <w:r>
        <w:t>Pending arrival of the ad</w:t>
      </w:r>
      <w:r>
        <w:t>ditional specimens the antibody screen on the current group and save accession has the result comment: UNKAB added and F9 pressed to expand to the comment below.</w:t>
      </w:r>
    </w:p>
    <w:p w:rsidR="00C45590" w:rsidRDefault="00EE46AB" w:rsidP="00C45590">
      <w:pPr>
        <w:pStyle w:val="Para1"/>
      </w:pPr>
      <w:r>
        <w:rPr>
          <w:noProof/>
        </w:rPr>
        <w:drawing>
          <wp:inline distT="0" distB="0" distL="0" distR="0">
            <wp:extent cx="5362575" cy="439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A23" w:rsidRDefault="00767A23" w:rsidP="00767A23">
      <w:pPr>
        <w:pStyle w:val="Para1"/>
      </w:pPr>
    </w:p>
    <w:p w:rsidR="00767A23" w:rsidRDefault="00EE46AB" w:rsidP="00767A23">
      <w:pPr>
        <w:pStyle w:val="Para1"/>
        <w:numPr>
          <w:ilvl w:val="0"/>
          <w:numId w:val="17"/>
        </w:numPr>
      </w:pPr>
      <w:r>
        <w:t>Blood Bank senior or rotational second in charge is to be informed and be made aware of pat</w:t>
      </w:r>
      <w:r>
        <w:t>ient and pending specimens for additional testing.</w:t>
      </w:r>
    </w:p>
    <w:p w:rsidR="00ED67D0" w:rsidRDefault="00EE46AB" w:rsidP="007F6E53">
      <w:pPr>
        <w:pStyle w:val="Para1"/>
        <w:numPr>
          <w:ilvl w:val="0"/>
          <w:numId w:val="17"/>
        </w:numPr>
      </w:pPr>
      <w:r>
        <w:lastRenderedPageBreak/>
        <w:t>If specimens are being sent to the ARCBS Lifeblood reference laboratory then</w:t>
      </w:r>
      <w:r w:rsidR="00DF19EE">
        <w:t xml:space="preserve"> fill out the Reference laboratory request documentation (located in Blood Bank filing cabinet) and add</w:t>
      </w:r>
      <w:r>
        <w:t xml:space="preserve"> the test code </w:t>
      </w:r>
      <w:r w:rsidR="00DF19EE">
        <w:t>in Pathnet DOE</w:t>
      </w:r>
      <w:r>
        <w:t>:</w:t>
      </w:r>
    </w:p>
    <w:p w:rsidR="007F6E53" w:rsidRDefault="00EE46AB" w:rsidP="007F6E53">
      <w:pPr>
        <w:pStyle w:val="Para1"/>
        <w:numPr>
          <w:ilvl w:val="0"/>
          <w:numId w:val="18"/>
        </w:numPr>
      </w:pPr>
      <w:r>
        <w:t>ARCBS Antibody Investigation</w:t>
      </w:r>
      <w:r w:rsidR="00543747">
        <w:t xml:space="preserve"> – Used for specimen referrals for extended / specialised allo antibody investigations or allogeneic adsorption.</w:t>
      </w:r>
    </w:p>
    <w:p w:rsidR="007F6E53" w:rsidRDefault="00EE46AB" w:rsidP="007F6E53">
      <w:pPr>
        <w:pStyle w:val="Para1"/>
        <w:numPr>
          <w:ilvl w:val="0"/>
          <w:numId w:val="18"/>
        </w:numPr>
      </w:pPr>
      <w:r>
        <w:t xml:space="preserve">ARCBS Genotyping: Provides for a predictive phenotype when a patient has </w:t>
      </w:r>
      <w:r w:rsidR="00DF19EE">
        <w:t>pre-existing</w:t>
      </w:r>
      <w:r>
        <w:t xml:space="preserve"> transfusion or autoimmun</w:t>
      </w:r>
      <w:r>
        <w:t>e reactions preventing routine phenotyping</w:t>
      </w:r>
    </w:p>
    <w:p w:rsidR="007F6E53" w:rsidRDefault="00EE46AB" w:rsidP="007F6E53">
      <w:pPr>
        <w:pStyle w:val="Para1"/>
        <w:numPr>
          <w:ilvl w:val="0"/>
          <w:numId w:val="17"/>
        </w:numPr>
      </w:pPr>
      <w:r>
        <w:t>Once additional investigations have been completed on follow up specimens document findings on all panel paperwork and scan all results into the accession BBMAN.</w:t>
      </w:r>
    </w:p>
    <w:p w:rsidR="00DF19EE" w:rsidRDefault="00EE46AB" w:rsidP="00DF19EE">
      <w:pPr>
        <w:pStyle w:val="Para1"/>
        <w:numPr>
          <w:ilvl w:val="0"/>
          <w:numId w:val="17"/>
        </w:numPr>
      </w:pPr>
      <w:r>
        <w:t xml:space="preserve">Refer to Blood Bank senior scientist or rotational </w:t>
      </w:r>
      <w:r>
        <w:t>second in charge for any required patient comments to be made into Cerner Pathnet Patient Inquiry.</w:t>
      </w:r>
    </w:p>
    <w:p w:rsidR="00DF19EE" w:rsidRPr="00F24688" w:rsidRDefault="00DF19EE" w:rsidP="00767A23">
      <w:pPr>
        <w:pStyle w:val="Para1"/>
      </w:pPr>
    </w:p>
    <w:p w:rsidR="00C45590" w:rsidRDefault="00EE46AB" w:rsidP="00C45590">
      <w:pPr>
        <w:pStyle w:val="Para1"/>
        <w:rPr>
          <w:b/>
          <w:u w:val="single"/>
        </w:rPr>
      </w:pPr>
      <w:r>
        <w:rPr>
          <w:b/>
          <w:u w:val="single"/>
        </w:rPr>
        <w:t>Part C: Documentation of Clinical Referrals to Haematology Registrars or Other Clinicians</w:t>
      </w:r>
    </w:p>
    <w:p w:rsidR="00047CF5" w:rsidRDefault="00047CF5" w:rsidP="00C45590">
      <w:pPr>
        <w:pStyle w:val="Para1"/>
        <w:rPr>
          <w:b/>
          <w:u w:val="single"/>
        </w:rPr>
      </w:pPr>
    </w:p>
    <w:p w:rsidR="00047CF5" w:rsidRPr="00047CF5" w:rsidRDefault="00EE46AB" w:rsidP="00047CF5">
      <w:pPr>
        <w:pStyle w:val="Para1"/>
      </w:pPr>
      <w:r>
        <w:t xml:space="preserve">The addition of the BBPHONE test code provides documentation of communications relating to notifications of clinical situations, </w:t>
      </w:r>
      <w:r w:rsidR="006738F0">
        <w:t xml:space="preserve">requests for additional specimens, or advice or directions given, etc. </w:t>
      </w:r>
      <w:r>
        <w:tab/>
      </w:r>
    </w:p>
    <w:p w:rsidR="00C45590" w:rsidRDefault="00EE46AB" w:rsidP="00960734">
      <w:pPr>
        <w:pStyle w:val="Para1"/>
        <w:numPr>
          <w:ilvl w:val="0"/>
          <w:numId w:val="15"/>
        </w:numPr>
      </w:pPr>
      <w:r>
        <w:t>Notification of MTP</w:t>
      </w:r>
      <w:r w:rsidR="006738F0">
        <w:t xml:space="preserve"> activations where appropriate</w:t>
      </w:r>
      <w:r>
        <w:t>.</w:t>
      </w:r>
    </w:p>
    <w:p w:rsidR="00047CF5" w:rsidRDefault="00EE46AB" w:rsidP="00960734">
      <w:pPr>
        <w:pStyle w:val="Para1"/>
        <w:numPr>
          <w:ilvl w:val="0"/>
          <w:numId w:val="15"/>
        </w:numPr>
      </w:pPr>
      <w:r>
        <w:t>Iss</w:t>
      </w:r>
      <w:r>
        <w:t>ues in Blood product restrictions affecting support of hospital services.</w:t>
      </w:r>
    </w:p>
    <w:p w:rsidR="00A91DB1" w:rsidRDefault="00EE46AB" w:rsidP="00960734">
      <w:pPr>
        <w:pStyle w:val="Para1"/>
        <w:numPr>
          <w:ilvl w:val="0"/>
          <w:numId w:val="15"/>
        </w:numPr>
      </w:pPr>
      <w:r>
        <w:t xml:space="preserve">Difficulty in meeting a patients red cell / blood product transfusion requirement.  </w:t>
      </w:r>
    </w:p>
    <w:p w:rsidR="00F04477" w:rsidRDefault="00EE46AB" w:rsidP="00960734">
      <w:pPr>
        <w:pStyle w:val="Para1"/>
        <w:numPr>
          <w:ilvl w:val="0"/>
          <w:numId w:val="15"/>
        </w:numPr>
      </w:pPr>
      <w:r>
        <w:t xml:space="preserve"> Decision on</w:t>
      </w:r>
      <w:r w:rsidR="00A91DB1">
        <w:t xml:space="preserve"> </w:t>
      </w:r>
      <w:r>
        <w:t>b</w:t>
      </w:r>
      <w:r w:rsidR="00A91DB1">
        <w:t>lood product supports e.g. Irradiation</w:t>
      </w:r>
      <w:r>
        <w:t xml:space="preserve"> required yes or no.</w:t>
      </w:r>
    </w:p>
    <w:p w:rsidR="00F04477" w:rsidRDefault="00EE46AB" w:rsidP="00960734">
      <w:pPr>
        <w:pStyle w:val="Para1"/>
        <w:numPr>
          <w:ilvl w:val="0"/>
          <w:numId w:val="15"/>
        </w:numPr>
      </w:pPr>
      <w:r>
        <w:t>Documentation of clinica</w:t>
      </w:r>
      <w:r>
        <w:t xml:space="preserve">l decisions, e.g. </w:t>
      </w:r>
      <w:r w:rsidR="00DF19EE">
        <w:t>Requirement for or non Irradiated product.</w:t>
      </w:r>
    </w:p>
    <w:p w:rsidR="00CC08DB" w:rsidRDefault="00EE46AB" w:rsidP="00960734">
      <w:pPr>
        <w:pStyle w:val="Para1"/>
        <w:numPr>
          <w:ilvl w:val="0"/>
          <w:numId w:val="15"/>
        </w:numPr>
      </w:pPr>
      <w:r>
        <w:t>Notification of ED / Trauma, Theatre patients with clinically significant red cell antibodies and blood products required before crossmatching can be completed.</w:t>
      </w:r>
    </w:p>
    <w:p w:rsidR="006738F0" w:rsidRPr="00960734" w:rsidRDefault="00EE46AB" w:rsidP="00960734">
      <w:pPr>
        <w:pStyle w:val="Para1"/>
        <w:numPr>
          <w:ilvl w:val="0"/>
          <w:numId w:val="15"/>
        </w:numPr>
      </w:pPr>
      <w:r>
        <w:t xml:space="preserve"> </w:t>
      </w:r>
      <w:r w:rsidR="001C2BB0">
        <w:t xml:space="preserve">Notification of significant transfusion reactions (e.g. Haemolytic reactions, anaphylaxis, blood transfused to incorrect patient, etc.) </w:t>
      </w:r>
    </w:p>
    <w:p w:rsidR="00FD3E48" w:rsidRPr="00C45590" w:rsidRDefault="00FD3E48" w:rsidP="00C45590">
      <w:pPr>
        <w:pStyle w:val="Para1"/>
        <w:rPr>
          <w:b/>
          <w:u w:val="single"/>
        </w:rPr>
      </w:pPr>
    </w:p>
    <w:p w:rsidR="001723FE" w:rsidRDefault="00EE46AB">
      <w:pPr>
        <w:pStyle w:val="Heading1"/>
      </w:pPr>
      <w:r>
        <w:t>Related Documents</w:t>
      </w:r>
    </w:p>
    <w:p w:rsidR="00FD3E48" w:rsidRDefault="00EE46AB" w:rsidP="00FD3E48">
      <w:pPr>
        <w:pStyle w:val="Para1"/>
      </w:pPr>
      <w:hyperlink r:id="rId9" w:history="1">
        <w:r>
          <w:rPr>
            <w:rStyle w:val="Hyperlink"/>
          </w:rPr>
          <w:t>CD_HA_0405</w:t>
        </w:r>
      </w:hyperlink>
      <w:r>
        <w:t xml:space="preserve"> Reporting Group and saves</w:t>
      </w:r>
    </w:p>
    <w:p w:rsidR="00C025CE" w:rsidRDefault="00EE46AB" w:rsidP="00C025CE">
      <w:pPr>
        <w:pStyle w:val="Para1"/>
      </w:pPr>
      <w:hyperlink r:id="rId10" w:history="1">
        <w:r>
          <w:rPr>
            <w:rStyle w:val="Hyperlink"/>
          </w:rPr>
          <w:t>CD_HA_0452</w:t>
        </w:r>
      </w:hyperlink>
      <w:r w:rsidR="00FD3E48">
        <w:t xml:space="preserve"> Reporting Antibody Panel Investigations</w:t>
      </w:r>
    </w:p>
    <w:p w:rsidR="00C025CE" w:rsidRDefault="00EE46AB">
      <w:pPr>
        <w:pStyle w:val="Heading1"/>
      </w:pPr>
      <w:r>
        <w:t>References</w:t>
      </w:r>
    </w:p>
    <w:p w:rsidR="0087035F" w:rsidRPr="00C025CE" w:rsidRDefault="00EE46AB" w:rsidP="00C025CE">
      <w:pPr>
        <w:pStyle w:val="Para1"/>
      </w:pPr>
      <w:r>
        <w:t>NIL</w:t>
      </w:r>
    </w:p>
    <w:sectPr w:rsidR="0087035F" w:rsidRPr="00C025CE" w:rsidSect="00074076">
      <w:headerReference w:type="default" r:id="rId11"/>
      <w:footerReference w:type="default" r:id="rId12"/>
      <w:pgSz w:w="11906" w:h="16838"/>
      <w:pgMar w:top="2127" w:right="849" w:bottom="1276" w:left="851" w:header="56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6AB" w:rsidRDefault="00EE46AB">
      <w:pPr>
        <w:spacing w:after="0" w:line="240" w:lineRule="auto"/>
      </w:pPr>
      <w:r>
        <w:separator/>
      </w:r>
    </w:p>
  </w:endnote>
  <w:endnote w:type="continuationSeparator" w:id="0">
    <w:p w:rsidR="00EE46AB" w:rsidRDefault="00E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686"/>
      <w:gridCol w:w="3123"/>
    </w:tblGrid>
    <w:tr w:rsidR="00A017F9" w:rsidTr="00E65C8F">
      <w:trPr>
        <w:trHeight w:val="135"/>
        <w:jc w:val="center"/>
      </w:trPr>
      <w:tc>
        <w:tcPr>
          <w:tcW w:w="3539" w:type="dxa"/>
          <w:shd w:val="clear" w:color="auto" w:fill="auto"/>
          <w:vAlign w:val="center"/>
        </w:tcPr>
        <w:p w:rsidR="008A0993" w:rsidRPr="00600F19" w:rsidRDefault="00EE46AB" w:rsidP="008A0993">
          <w:pPr>
            <w:pStyle w:val="Header"/>
            <w:tabs>
              <w:tab w:val="clear" w:pos="4513"/>
              <w:tab w:val="clear" w:pos="9026"/>
            </w:tabs>
            <w:spacing w:after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Haematology</w:t>
          </w:r>
        </w:p>
      </w:tc>
      <w:tc>
        <w:tcPr>
          <w:tcW w:w="3686" w:type="dxa"/>
          <w:shd w:val="clear" w:color="auto" w:fill="auto"/>
          <w:vAlign w:val="center"/>
        </w:tcPr>
        <w:p w:rsidR="008A0993" w:rsidRPr="00600F19" w:rsidRDefault="00EE46AB" w:rsidP="008A0993">
          <w:pPr>
            <w:pStyle w:val="Header"/>
            <w:tabs>
              <w:tab w:val="left" w:pos="0"/>
              <w:tab w:val="right" w:pos="9356"/>
            </w:tabs>
            <w:spacing w:after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Blood Banking Procedures</w:t>
          </w:r>
        </w:p>
      </w:tc>
      <w:tc>
        <w:tcPr>
          <w:tcW w:w="3123" w:type="dxa"/>
          <w:shd w:val="clear" w:color="auto" w:fill="auto"/>
          <w:vAlign w:val="center"/>
        </w:tcPr>
        <w:p w:rsidR="008A0993" w:rsidRPr="00B70740" w:rsidRDefault="00EE46AB" w:rsidP="008A0993">
          <w:pPr>
            <w:pStyle w:val="Header"/>
            <w:tabs>
              <w:tab w:val="left" w:pos="0"/>
              <w:tab w:val="right" w:pos="9356"/>
            </w:tabs>
            <w:spacing w:after="0"/>
            <w:jc w:val="right"/>
            <w:rPr>
              <w:rFonts w:ascii="Arial" w:hAnsi="Arial" w:cs="Arial"/>
              <w:sz w:val="18"/>
            </w:rPr>
          </w:pPr>
          <w:r w:rsidRPr="00600F19">
            <w:rPr>
              <w:rFonts w:ascii="Arial" w:hAnsi="Arial" w:cs="Arial"/>
              <w:sz w:val="16"/>
            </w:rPr>
            <w:t xml:space="preserve">Page </w:t>
          </w:r>
          <w:r w:rsidRPr="00600F19">
            <w:rPr>
              <w:rFonts w:ascii="Arial" w:hAnsi="Arial" w:cs="Arial"/>
              <w:b/>
              <w:sz w:val="16"/>
            </w:rPr>
            <w:fldChar w:fldCharType="begin"/>
          </w:r>
          <w:r w:rsidRPr="00600F19">
            <w:rPr>
              <w:rFonts w:ascii="Arial" w:hAnsi="Arial" w:cs="Arial"/>
              <w:b/>
              <w:sz w:val="16"/>
            </w:rPr>
            <w:instrText xml:space="preserve"> PAGE  \* Arabic  \* MERGEFORMAT </w:instrText>
          </w:r>
          <w:r w:rsidRPr="00600F19">
            <w:rPr>
              <w:rFonts w:ascii="Arial" w:hAnsi="Arial" w:cs="Arial"/>
              <w:b/>
              <w:sz w:val="16"/>
            </w:rPr>
            <w:fldChar w:fldCharType="separate"/>
          </w:r>
          <w:r w:rsidR="00074076">
            <w:rPr>
              <w:rFonts w:ascii="Arial" w:hAnsi="Arial" w:cs="Arial"/>
              <w:b/>
              <w:noProof/>
              <w:sz w:val="16"/>
            </w:rPr>
            <w:t>4</w:t>
          </w:r>
          <w:r w:rsidRPr="00600F19">
            <w:rPr>
              <w:rFonts w:ascii="Arial" w:hAnsi="Arial" w:cs="Arial"/>
              <w:b/>
              <w:sz w:val="16"/>
            </w:rPr>
            <w:fldChar w:fldCharType="end"/>
          </w:r>
          <w:r w:rsidRPr="00600F19">
            <w:rPr>
              <w:rFonts w:ascii="Arial" w:hAnsi="Arial" w:cs="Arial"/>
              <w:sz w:val="16"/>
            </w:rPr>
            <w:t xml:space="preserve"> of </w:t>
          </w:r>
          <w:r w:rsidRPr="00600F19">
            <w:rPr>
              <w:rFonts w:ascii="Arial" w:hAnsi="Arial" w:cs="Arial"/>
              <w:b/>
              <w:sz w:val="16"/>
            </w:rPr>
            <w:fldChar w:fldCharType="begin"/>
          </w:r>
          <w:r w:rsidRPr="00600F19">
            <w:rPr>
              <w:rFonts w:ascii="Arial" w:hAnsi="Arial" w:cs="Arial"/>
              <w:b/>
              <w:sz w:val="16"/>
            </w:rPr>
            <w:instrText xml:space="preserve"> NUMPAGES  \* Arabic  \* MERGEFORMAT </w:instrText>
          </w:r>
          <w:r w:rsidRPr="00600F19">
            <w:rPr>
              <w:rFonts w:ascii="Arial" w:hAnsi="Arial" w:cs="Arial"/>
              <w:b/>
              <w:sz w:val="16"/>
            </w:rPr>
            <w:fldChar w:fldCharType="separate"/>
          </w:r>
          <w:r w:rsidR="00074076">
            <w:rPr>
              <w:rFonts w:ascii="Arial" w:hAnsi="Arial" w:cs="Arial"/>
              <w:b/>
              <w:noProof/>
              <w:sz w:val="16"/>
            </w:rPr>
            <w:t>4</w:t>
          </w:r>
          <w:r w:rsidRPr="00600F19">
            <w:rPr>
              <w:rFonts w:ascii="Arial" w:hAnsi="Arial" w:cs="Arial"/>
              <w:b/>
              <w:sz w:val="16"/>
            </w:rPr>
            <w:fldChar w:fldCharType="end"/>
          </w:r>
        </w:p>
      </w:tc>
    </w:tr>
    <w:tr w:rsidR="00A017F9" w:rsidTr="00E65C8F">
      <w:trPr>
        <w:trHeight w:val="77"/>
        <w:jc w:val="center"/>
      </w:trPr>
      <w:tc>
        <w:tcPr>
          <w:tcW w:w="10348" w:type="dxa"/>
          <w:gridSpan w:val="3"/>
          <w:shd w:val="clear" w:color="auto" w:fill="D9D9D9"/>
          <w:vAlign w:val="center"/>
        </w:tcPr>
        <w:p w:rsidR="008A0993" w:rsidRPr="00F34EC8" w:rsidRDefault="00EE46AB" w:rsidP="008A0993">
          <w:pPr>
            <w:pStyle w:val="Header"/>
            <w:tabs>
              <w:tab w:val="clear" w:pos="4513"/>
              <w:tab w:val="clear" w:pos="9026"/>
            </w:tabs>
            <w:spacing w:after="0"/>
            <w:jc w:val="center"/>
            <w:rPr>
              <w:rFonts w:ascii="Arial" w:hAnsi="Arial" w:cs="Arial"/>
              <w:b/>
              <w:i/>
              <w:sz w:val="18"/>
            </w:rPr>
          </w:pPr>
          <w:r w:rsidRPr="00F34EC8">
            <w:rPr>
              <w:rFonts w:ascii="Arial" w:hAnsi="Arial" w:cs="Arial"/>
              <w:b/>
              <w:i/>
              <w:sz w:val="18"/>
            </w:rPr>
            <w:t>**Printed copy may not be the current version. Please refer to Fast Track Library for the current issue.**</w:t>
          </w:r>
        </w:p>
      </w:tc>
    </w:tr>
  </w:tbl>
  <w:p w:rsidR="0087035F" w:rsidRPr="00AD7C6D" w:rsidRDefault="0087035F" w:rsidP="00AD7C6D">
    <w:pPr>
      <w:pStyle w:val="Footer"/>
      <w:spacing w:after="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6AB" w:rsidRDefault="00EE46AB">
      <w:pPr>
        <w:spacing w:after="0" w:line="240" w:lineRule="auto"/>
      </w:pPr>
      <w:r>
        <w:separator/>
      </w:r>
    </w:p>
  </w:footnote>
  <w:footnote w:type="continuationSeparator" w:id="0">
    <w:p w:rsidR="00EE46AB" w:rsidRDefault="00EE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2"/>
      <w:gridCol w:w="1558"/>
      <w:gridCol w:w="2410"/>
      <w:gridCol w:w="1417"/>
      <w:gridCol w:w="2410"/>
    </w:tblGrid>
    <w:tr w:rsidR="00A017F9" w:rsidTr="00E65C8F">
      <w:trPr>
        <w:cantSplit/>
        <w:trHeight w:val="227"/>
        <w:jc w:val="center"/>
      </w:trPr>
      <w:tc>
        <w:tcPr>
          <w:tcW w:w="2412" w:type="dxa"/>
          <w:vMerge w:val="restart"/>
          <w:tcBorders>
            <w:left w:val="single" w:sz="4" w:space="0" w:color="auto"/>
          </w:tcBorders>
          <w:vAlign w:val="center"/>
        </w:tcPr>
        <w:p w:rsidR="008A0993" w:rsidRPr="00B70740" w:rsidRDefault="00EE46AB" w:rsidP="008A0993">
          <w:pPr>
            <w:pStyle w:val="Header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C56EA8">
            <w:rPr>
              <w:b/>
              <w:color w:val="CC0000"/>
              <w:spacing w:val="-4"/>
              <w:sz w:val="40"/>
              <w:szCs w:val="44"/>
            </w:rPr>
            <w:t>Alfred</w:t>
          </w:r>
          <w:r w:rsidRPr="00C56EA8">
            <w:rPr>
              <w:b/>
              <w:spacing w:val="-4"/>
              <w:sz w:val="40"/>
              <w:szCs w:val="44"/>
            </w:rPr>
            <w:t>H</w:t>
          </w:r>
          <w:r w:rsidRPr="00C56EA8">
            <w:rPr>
              <w:b/>
              <w:sz w:val="40"/>
              <w:szCs w:val="44"/>
            </w:rPr>
            <w:t>ealth</w:t>
          </w:r>
        </w:p>
      </w:tc>
      <w:tc>
        <w:tcPr>
          <w:tcW w:w="7795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8A0993" w:rsidRPr="00B70740" w:rsidRDefault="00EE46AB" w:rsidP="008A0993">
          <w:pPr>
            <w:pStyle w:val="Header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24D1F">
            <w:rPr>
              <w:rFonts w:ascii="Arial" w:hAnsi="Arial" w:cs="Arial"/>
              <w:b/>
              <w:sz w:val="24"/>
              <w:szCs w:val="16"/>
            </w:rPr>
            <w:t>Alfred Pathology Services</w:t>
          </w:r>
        </w:p>
      </w:tc>
    </w:tr>
    <w:tr w:rsidR="00A017F9" w:rsidTr="00E65C8F">
      <w:trPr>
        <w:cantSplit/>
        <w:trHeight w:val="272"/>
        <w:jc w:val="center"/>
      </w:trPr>
      <w:tc>
        <w:tcPr>
          <w:tcW w:w="2412" w:type="dxa"/>
          <w:vMerge/>
          <w:tcBorders>
            <w:left w:val="single" w:sz="4" w:space="0" w:color="auto"/>
          </w:tcBorders>
        </w:tcPr>
        <w:p w:rsidR="008A0993" w:rsidRPr="00B70740" w:rsidRDefault="008A0993" w:rsidP="008A0993">
          <w:pPr>
            <w:pStyle w:val="Head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8" w:type="dxa"/>
          <w:tcBorders>
            <w:left w:val="single" w:sz="4" w:space="0" w:color="auto"/>
            <w:bottom w:val="nil"/>
          </w:tcBorders>
          <w:vAlign w:val="center"/>
        </w:tcPr>
        <w:p w:rsidR="008A0993" w:rsidRPr="00B70740" w:rsidRDefault="00EE46AB" w:rsidP="008A0993">
          <w:pPr>
            <w:pStyle w:val="Footer"/>
            <w:tabs>
              <w:tab w:val="clear" w:pos="4513"/>
            </w:tabs>
            <w:spacing w:after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70740">
            <w:rPr>
              <w:rFonts w:ascii="Arial" w:hAnsi="Arial" w:cs="Arial"/>
              <w:b/>
              <w:sz w:val="16"/>
              <w:szCs w:val="16"/>
            </w:rPr>
            <w:t xml:space="preserve">Document No: </w:t>
          </w:r>
        </w:p>
      </w:tc>
      <w:tc>
        <w:tcPr>
          <w:tcW w:w="2410" w:type="dxa"/>
          <w:vAlign w:val="center"/>
        </w:tcPr>
        <w:p w:rsidR="008A0993" w:rsidRPr="00B70740" w:rsidRDefault="00EE46AB">
          <w:pPr>
            <w:pStyle w:val="Header"/>
            <w:spacing w:after="0"/>
            <w:rPr>
              <w:rFonts w:ascii="Arial" w:hAnsi="Arial" w:cs="Arial"/>
              <w:sz w:val="16"/>
              <w:szCs w:val="16"/>
            </w:rPr>
          </w:pPr>
          <w:r w:rsidRPr="00B70740">
            <w:rPr>
              <w:rFonts w:ascii="Arial" w:hAnsi="Arial" w:cs="Arial"/>
              <w:sz w:val="16"/>
              <w:szCs w:val="16"/>
            </w:rPr>
            <w:t xml:space="preserve"> </w:t>
          </w:r>
          <w:r w:rsidR="00456F4C">
            <w:rPr>
              <w:rFonts w:ascii="Arial" w:hAnsi="Arial" w:cs="Arial"/>
              <w:sz w:val="16"/>
              <w:szCs w:val="16"/>
            </w:rPr>
            <w:t>HAE_BBK_012</w:t>
          </w:r>
        </w:p>
      </w:tc>
      <w:tc>
        <w:tcPr>
          <w:tcW w:w="1417" w:type="dxa"/>
          <w:tcBorders>
            <w:right w:val="single" w:sz="4" w:space="0" w:color="auto"/>
          </w:tcBorders>
          <w:vAlign w:val="center"/>
        </w:tcPr>
        <w:p w:rsidR="008A0993" w:rsidRPr="00B70740" w:rsidRDefault="00EE46AB" w:rsidP="008A0993">
          <w:pPr>
            <w:pStyle w:val="Footer"/>
            <w:spacing w:after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70740">
            <w:rPr>
              <w:rFonts w:ascii="Arial" w:hAnsi="Arial" w:cs="Arial"/>
              <w:b/>
              <w:sz w:val="16"/>
              <w:szCs w:val="16"/>
            </w:rPr>
            <w:t>Authorised By:</w:t>
          </w:r>
        </w:p>
      </w:tc>
      <w:tc>
        <w:tcPr>
          <w:tcW w:w="2410" w:type="dxa"/>
          <w:tcBorders>
            <w:right w:val="single" w:sz="4" w:space="0" w:color="auto"/>
          </w:tcBorders>
          <w:vAlign w:val="center"/>
        </w:tcPr>
        <w:p w:rsidR="008A0993" w:rsidRPr="00B70740" w:rsidRDefault="00EE46AB" w:rsidP="008A0993">
          <w:pPr>
            <w:pStyle w:val="Head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Andrew Webb</w:t>
          </w:r>
        </w:p>
      </w:tc>
    </w:tr>
    <w:tr w:rsidR="00A017F9" w:rsidTr="00AD7C6D">
      <w:trPr>
        <w:cantSplit/>
        <w:trHeight w:val="262"/>
        <w:jc w:val="center"/>
      </w:trPr>
      <w:tc>
        <w:tcPr>
          <w:tcW w:w="2412" w:type="dxa"/>
          <w:vMerge/>
          <w:tcBorders>
            <w:left w:val="single" w:sz="4" w:space="0" w:color="auto"/>
            <w:bottom w:val="nil"/>
          </w:tcBorders>
        </w:tcPr>
        <w:p w:rsidR="008A0993" w:rsidRPr="00B70740" w:rsidRDefault="008A0993" w:rsidP="008A0993">
          <w:pPr>
            <w:pStyle w:val="Head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8" w:type="dxa"/>
          <w:tcBorders>
            <w:left w:val="single" w:sz="4" w:space="0" w:color="auto"/>
            <w:bottom w:val="nil"/>
          </w:tcBorders>
          <w:vAlign w:val="center"/>
        </w:tcPr>
        <w:p w:rsidR="008A0993" w:rsidRPr="00B70740" w:rsidRDefault="00EE46AB" w:rsidP="008A0993">
          <w:pPr>
            <w:pStyle w:val="Header"/>
            <w:tabs>
              <w:tab w:val="clear" w:pos="4513"/>
            </w:tabs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B70740">
            <w:rPr>
              <w:rFonts w:ascii="Arial" w:hAnsi="Arial" w:cs="Arial"/>
              <w:b/>
              <w:sz w:val="16"/>
              <w:szCs w:val="16"/>
            </w:rPr>
            <w:t>Version No:</w:t>
          </w:r>
        </w:p>
      </w:tc>
      <w:tc>
        <w:tcPr>
          <w:tcW w:w="2410" w:type="dxa"/>
          <w:tcBorders>
            <w:bottom w:val="nil"/>
          </w:tcBorders>
          <w:vAlign w:val="center"/>
        </w:tcPr>
        <w:p w:rsidR="008A0993" w:rsidRPr="00B70740" w:rsidRDefault="00EE46AB" w:rsidP="008A0993">
          <w:pPr>
            <w:pStyle w:val="Header"/>
            <w:spacing w:after="0"/>
            <w:rPr>
              <w:rFonts w:ascii="Arial" w:hAnsi="Arial" w:cs="Arial"/>
              <w:sz w:val="16"/>
              <w:szCs w:val="16"/>
            </w:rPr>
          </w:pPr>
          <w:r w:rsidRPr="00B70740">
            <w:rPr>
              <w:rFonts w:ascii="Arial" w:hAnsi="Arial" w:cs="Arial"/>
              <w:sz w:val="16"/>
              <w:szCs w:val="16"/>
            </w:rPr>
            <w:t xml:space="preserve"> 1.0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  <w:vAlign w:val="center"/>
        </w:tcPr>
        <w:p w:rsidR="008A0993" w:rsidRPr="00B70740" w:rsidRDefault="00EE46AB" w:rsidP="008A0993">
          <w:pPr>
            <w:pStyle w:val="Footer"/>
            <w:spacing w:after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70740">
            <w:rPr>
              <w:rFonts w:ascii="Arial" w:hAnsi="Arial" w:cs="Arial"/>
              <w:b/>
              <w:sz w:val="16"/>
              <w:szCs w:val="16"/>
            </w:rPr>
            <w:t>Issue Date:</w:t>
          </w:r>
        </w:p>
      </w:tc>
      <w:tc>
        <w:tcPr>
          <w:tcW w:w="2410" w:type="dxa"/>
          <w:tcBorders>
            <w:bottom w:val="nil"/>
            <w:right w:val="single" w:sz="4" w:space="0" w:color="auto"/>
          </w:tcBorders>
          <w:vAlign w:val="center"/>
        </w:tcPr>
        <w:p w:rsidR="008A0993" w:rsidRPr="00B70740" w:rsidRDefault="00EE46AB" w:rsidP="008A0993">
          <w:pPr>
            <w:pStyle w:val="Header"/>
            <w:spacing w:after="0"/>
            <w:rPr>
              <w:rFonts w:ascii="Arial" w:hAnsi="Arial" w:cs="Arial"/>
              <w:sz w:val="16"/>
              <w:szCs w:val="16"/>
            </w:rPr>
          </w:pPr>
          <w:r w:rsidRPr="00B70740">
            <w:rPr>
              <w:rFonts w:ascii="Arial" w:hAnsi="Arial" w:cs="Arial"/>
              <w:sz w:val="16"/>
              <w:szCs w:val="16"/>
            </w:rPr>
            <w:t xml:space="preserve"> 13/06/2023</w:t>
          </w:r>
        </w:p>
      </w:tc>
    </w:tr>
    <w:tr w:rsidR="00A017F9" w:rsidTr="00E65C8F">
      <w:trPr>
        <w:cantSplit/>
        <w:jc w:val="center"/>
      </w:trPr>
      <w:tc>
        <w:tcPr>
          <w:tcW w:w="10207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8A0993" w:rsidRPr="00B70740" w:rsidRDefault="00EE46AB" w:rsidP="00AD7C6D">
          <w:pPr>
            <w:pStyle w:val="RunningTitle"/>
            <w:tabs>
              <w:tab w:val="right" w:pos="9350"/>
            </w:tabs>
            <w:spacing w:before="60" w:after="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Cs w:val="16"/>
            </w:rPr>
            <w:t>Investigation and Actions for Weak Reactions, IH500 Error Flags and Unexplained Antibody Investigations</w:t>
          </w:r>
        </w:p>
      </w:tc>
    </w:tr>
  </w:tbl>
  <w:p w:rsidR="0087035F" w:rsidRPr="00AD7C6D" w:rsidRDefault="0087035F" w:rsidP="00AD7C6D">
    <w:pPr>
      <w:pStyle w:val="Header"/>
      <w:spacing w:after="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EB9"/>
    <w:multiLevelType w:val="hybridMultilevel"/>
    <w:tmpl w:val="30DEFE0E"/>
    <w:lvl w:ilvl="0" w:tplc="1A8E27F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C4BA9594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EF34566C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27635DE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2245A98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0FE5D68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B4D49EF6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D13EF340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81A06BA4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7127ED5"/>
    <w:multiLevelType w:val="hybridMultilevel"/>
    <w:tmpl w:val="040CACBA"/>
    <w:lvl w:ilvl="0" w:tplc="695444EE">
      <w:start w:val="1"/>
      <w:numFmt w:val="decimal"/>
      <w:lvlText w:val="%1.1"/>
      <w:lvlJc w:val="left"/>
      <w:pPr>
        <w:ind w:left="1429" w:hanging="360"/>
      </w:pPr>
      <w:rPr>
        <w:rFonts w:hint="default"/>
        <w:b/>
        <w:bCs/>
      </w:rPr>
    </w:lvl>
    <w:lvl w:ilvl="1" w:tplc="DE7272E8" w:tentative="1">
      <w:start w:val="1"/>
      <w:numFmt w:val="lowerLetter"/>
      <w:lvlText w:val="%2."/>
      <w:lvlJc w:val="left"/>
      <w:pPr>
        <w:ind w:left="2149" w:hanging="360"/>
      </w:pPr>
    </w:lvl>
    <w:lvl w:ilvl="2" w:tplc="CB224FFC" w:tentative="1">
      <w:start w:val="1"/>
      <w:numFmt w:val="lowerRoman"/>
      <w:lvlText w:val="%3."/>
      <w:lvlJc w:val="right"/>
      <w:pPr>
        <w:ind w:left="2869" w:hanging="180"/>
      </w:pPr>
    </w:lvl>
    <w:lvl w:ilvl="3" w:tplc="EBFE0440" w:tentative="1">
      <w:start w:val="1"/>
      <w:numFmt w:val="decimal"/>
      <w:lvlText w:val="%4."/>
      <w:lvlJc w:val="left"/>
      <w:pPr>
        <w:ind w:left="3589" w:hanging="360"/>
      </w:pPr>
    </w:lvl>
    <w:lvl w:ilvl="4" w:tplc="833632E8" w:tentative="1">
      <w:start w:val="1"/>
      <w:numFmt w:val="lowerLetter"/>
      <w:lvlText w:val="%5."/>
      <w:lvlJc w:val="left"/>
      <w:pPr>
        <w:ind w:left="4309" w:hanging="360"/>
      </w:pPr>
    </w:lvl>
    <w:lvl w:ilvl="5" w:tplc="34C26224" w:tentative="1">
      <w:start w:val="1"/>
      <w:numFmt w:val="lowerRoman"/>
      <w:lvlText w:val="%6."/>
      <w:lvlJc w:val="right"/>
      <w:pPr>
        <w:ind w:left="5029" w:hanging="180"/>
      </w:pPr>
    </w:lvl>
    <w:lvl w:ilvl="6" w:tplc="62F4B9AA" w:tentative="1">
      <w:start w:val="1"/>
      <w:numFmt w:val="decimal"/>
      <w:lvlText w:val="%7."/>
      <w:lvlJc w:val="left"/>
      <w:pPr>
        <w:ind w:left="5749" w:hanging="360"/>
      </w:pPr>
    </w:lvl>
    <w:lvl w:ilvl="7" w:tplc="61F8FE98" w:tentative="1">
      <w:start w:val="1"/>
      <w:numFmt w:val="lowerLetter"/>
      <w:lvlText w:val="%8."/>
      <w:lvlJc w:val="left"/>
      <w:pPr>
        <w:ind w:left="6469" w:hanging="360"/>
      </w:pPr>
    </w:lvl>
    <w:lvl w:ilvl="8" w:tplc="C654154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D26201"/>
    <w:multiLevelType w:val="hybridMultilevel"/>
    <w:tmpl w:val="F1DC47BA"/>
    <w:lvl w:ilvl="0" w:tplc="0C963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EF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0B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C6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4C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61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44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07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B01"/>
    <w:multiLevelType w:val="hybridMultilevel"/>
    <w:tmpl w:val="1624C59E"/>
    <w:lvl w:ilvl="0" w:tplc="53A8D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D821386" w:tentative="1">
      <w:start w:val="1"/>
      <w:numFmt w:val="lowerLetter"/>
      <w:lvlText w:val="%2."/>
      <w:lvlJc w:val="left"/>
      <w:pPr>
        <w:ind w:left="1647" w:hanging="360"/>
      </w:pPr>
    </w:lvl>
    <w:lvl w:ilvl="2" w:tplc="5F188ADE" w:tentative="1">
      <w:start w:val="1"/>
      <w:numFmt w:val="lowerRoman"/>
      <w:lvlText w:val="%3."/>
      <w:lvlJc w:val="right"/>
      <w:pPr>
        <w:ind w:left="2367" w:hanging="180"/>
      </w:pPr>
    </w:lvl>
    <w:lvl w:ilvl="3" w:tplc="EDCEB018" w:tentative="1">
      <w:start w:val="1"/>
      <w:numFmt w:val="decimal"/>
      <w:lvlText w:val="%4."/>
      <w:lvlJc w:val="left"/>
      <w:pPr>
        <w:ind w:left="3087" w:hanging="360"/>
      </w:pPr>
    </w:lvl>
    <w:lvl w:ilvl="4" w:tplc="F716948E" w:tentative="1">
      <w:start w:val="1"/>
      <w:numFmt w:val="lowerLetter"/>
      <w:lvlText w:val="%5."/>
      <w:lvlJc w:val="left"/>
      <w:pPr>
        <w:ind w:left="3807" w:hanging="360"/>
      </w:pPr>
    </w:lvl>
    <w:lvl w:ilvl="5" w:tplc="907A172E" w:tentative="1">
      <w:start w:val="1"/>
      <w:numFmt w:val="lowerRoman"/>
      <w:lvlText w:val="%6."/>
      <w:lvlJc w:val="right"/>
      <w:pPr>
        <w:ind w:left="4527" w:hanging="180"/>
      </w:pPr>
    </w:lvl>
    <w:lvl w:ilvl="6" w:tplc="B434BC70" w:tentative="1">
      <w:start w:val="1"/>
      <w:numFmt w:val="decimal"/>
      <w:lvlText w:val="%7."/>
      <w:lvlJc w:val="left"/>
      <w:pPr>
        <w:ind w:left="5247" w:hanging="360"/>
      </w:pPr>
    </w:lvl>
    <w:lvl w:ilvl="7" w:tplc="9EF25552" w:tentative="1">
      <w:start w:val="1"/>
      <w:numFmt w:val="lowerLetter"/>
      <w:lvlText w:val="%8."/>
      <w:lvlJc w:val="left"/>
      <w:pPr>
        <w:ind w:left="5967" w:hanging="360"/>
      </w:pPr>
    </w:lvl>
    <w:lvl w:ilvl="8" w:tplc="8B44562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A81F4F"/>
    <w:multiLevelType w:val="hybridMultilevel"/>
    <w:tmpl w:val="6A9C818C"/>
    <w:lvl w:ilvl="0" w:tplc="0B483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180EE6" w:tentative="1">
      <w:start w:val="1"/>
      <w:numFmt w:val="lowerLetter"/>
      <w:lvlText w:val="%2."/>
      <w:lvlJc w:val="left"/>
      <w:pPr>
        <w:ind w:left="1647" w:hanging="360"/>
      </w:pPr>
    </w:lvl>
    <w:lvl w:ilvl="2" w:tplc="DE864496" w:tentative="1">
      <w:start w:val="1"/>
      <w:numFmt w:val="lowerRoman"/>
      <w:lvlText w:val="%3."/>
      <w:lvlJc w:val="right"/>
      <w:pPr>
        <w:ind w:left="2367" w:hanging="180"/>
      </w:pPr>
    </w:lvl>
    <w:lvl w:ilvl="3" w:tplc="A0683034" w:tentative="1">
      <w:start w:val="1"/>
      <w:numFmt w:val="decimal"/>
      <w:lvlText w:val="%4."/>
      <w:lvlJc w:val="left"/>
      <w:pPr>
        <w:ind w:left="3087" w:hanging="360"/>
      </w:pPr>
    </w:lvl>
    <w:lvl w:ilvl="4" w:tplc="8C483F98" w:tentative="1">
      <w:start w:val="1"/>
      <w:numFmt w:val="lowerLetter"/>
      <w:lvlText w:val="%5."/>
      <w:lvlJc w:val="left"/>
      <w:pPr>
        <w:ind w:left="3807" w:hanging="360"/>
      </w:pPr>
    </w:lvl>
    <w:lvl w:ilvl="5" w:tplc="18106384" w:tentative="1">
      <w:start w:val="1"/>
      <w:numFmt w:val="lowerRoman"/>
      <w:lvlText w:val="%6."/>
      <w:lvlJc w:val="right"/>
      <w:pPr>
        <w:ind w:left="4527" w:hanging="180"/>
      </w:pPr>
    </w:lvl>
    <w:lvl w:ilvl="6" w:tplc="57A60E06" w:tentative="1">
      <w:start w:val="1"/>
      <w:numFmt w:val="decimal"/>
      <w:lvlText w:val="%7."/>
      <w:lvlJc w:val="left"/>
      <w:pPr>
        <w:ind w:left="5247" w:hanging="360"/>
      </w:pPr>
    </w:lvl>
    <w:lvl w:ilvl="7" w:tplc="430A5490" w:tentative="1">
      <w:start w:val="1"/>
      <w:numFmt w:val="lowerLetter"/>
      <w:lvlText w:val="%8."/>
      <w:lvlJc w:val="left"/>
      <w:pPr>
        <w:ind w:left="5967" w:hanging="360"/>
      </w:pPr>
    </w:lvl>
    <w:lvl w:ilvl="8" w:tplc="AD5049B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5A1316"/>
    <w:multiLevelType w:val="hybridMultilevel"/>
    <w:tmpl w:val="F0CA09A8"/>
    <w:lvl w:ilvl="0" w:tplc="2BC22F0A">
      <w:start w:val="1"/>
      <w:numFmt w:val="decimal"/>
      <w:lvlText w:val="%1.1"/>
      <w:lvlJc w:val="left"/>
      <w:pPr>
        <w:ind w:left="1854" w:hanging="360"/>
      </w:pPr>
      <w:rPr>
        <w:rFonts w:hint="default"/>
        <w:b/>
        <w:bCs/>
      </w:rPr>
    </w:lvl>
    <w:lvl w:ilvl="1" w:tplc="F6FE05A8" w:tentative="1">
      <w:start w:val="1"/>
      <w:numFmt w:val="lowerLetter"/>
      <w:lvlText w:val="%2."/>
      <w:lvlJc w:val="left"/>
      <w:pPr>
        <w:ind w:left="2574" w:hanging="360"/>
      </w:pPr>
    </w:lvl>
    <w:lvl w:ilvl="2" w:tplc="4B9E7824" w:tentative="1">
      <w:start w:val="1"/>
      <w:numFmt w:val="lowerRoman"/>
      <w:lvlText w:val="%3."/>
      <w:lvlJc w:val="right"/>
      <w:pPr>
        <w:ind w:left="3294" w:hanging="180"/>
      </w:pPr>
    </w:lvl>
    <w:lvl w:ilvl="3" w:tplc="9A5056CC" w:tentative="1">
      <w:start w:val="1"/>
      <w:numFmt w:val="decimal"/>
      <w:lvlText w:val="%4."/>
      <w:lvlJc w:val="left"/>
      <w:pPr>
        <w:ind w:left="4014" w:hanging="360"/>
      </w:pPr>
    </w:lvl>
    <w:lvl w:ilvl="4" w:tplc="5378AF1E" w:tentative="1">
      <w:start w:val="1"/>
      <w:numFmt w:val="lowerLetter"/>
      <w:lvlText w:val="%5."/>
      <w:lvlJc w:val="left"/>
      <w:pPr>
        <w:ind w:left="4734" w:hanging="360"/>
      </w:pPr>
    </w:lvl>
    <w:lvl w:ilvl="5" w:tplc="B564620A" w:tentative="1">
      <w:start w:val="1"/>
      <w:numFmt w:val="lowerRoman"/>
      <w:lvlText w:val="%6."/>
      <w:lvlJc w:val="right"/>
      <w:pPr>
        <w:ind w:left="5454" w:hanging="180"/>
      </w:pPr>
    </w:lvl>
    <w:lvl w:ilvl="6" w:tplc="7EC6EE10" w:tentative="1">
      <w:start w:val="1"/>
      <w:numFmt w:val="decimal"/>
      <w:lvlText w:val="%7."/>
      <w:lvlJc w:val="left"/>
      <w:pPr>
        <w:ind w:left="6174" w:hanging="360"/>
      </w:pPr>
    </w:lvl>
    <w:lvl w:ilvl="7" w:tplc="80BC32C8" w:tentative="1">
      <w:start w:val="1"/>
      <w:numFmt w:val="lowerLetter"/>
      <w:lvlText w:val="%8."/>
      <w:lvlJc w:val="left"/>
      <w:pPr>
        <w:ind w:left="6894" w:hanging="360"/>
      </w:pPr>
    </w:lvl>
    <w:lvl w:ilvl="8" w:tplc="A090228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1F146D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21451"/>
    <w:multiLevelType w:val="hybridMultilevel"/>
    <w:tmpl w:val="493E4D9C"/>
    <w:lvl w:ilvl="0" w:tplc="B6242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1B0F5A0" w:tentative="1">
      <w:start w:val="1"/>
      <w:numFmt w:val="lowerLetter"/>
      <w:lvlText w:val="%2."/>
      <w:lvlJc w:val="left"/>
      <w:pPr>
        <w:ind w:left="1647" w:hanging="360"/>
      </w:pPr>
    </w:lvl>
    <w:lvl w:ilvl="2" w:tplc="A45835A8" w:tentative="1">
      <w:start w:val="1"/>
      <w:numFmt w:val="lowerRoman"/>
      <w:lvlText w:val="%3."/>
      <w:lvlJc w:val="right"/>
      <w:pPr>
        <w:ind w:left="2367" w:hanging="180"/>
      </w:pPr>
    </w:lvl>
    <w:lvl w:ilvl="3" w:tplc="D2A6CBD0" w:tentative="1">
      <w:start w:val="1"/>
      <w:numFmt w:val="decimal"/>
      <w:lvlText w:val="%4."/>
      <w:lvlJc w:val="left"/>
      <w:pPr>
        <w:ind w:left="3087" w:hanging="360"/>
      </w:pPr>
    </w:lvl>
    <w:lvl w:ilvl="4" w:tplc="80362C10" w:tentative="1">
      <w:start w:val="1"/>
      <w:numFmt w:val="lowerLetter"/>
      <w:lvlText w:val="%5."/>
      <w:lvlJc w:val="left"/>
      <w:pPr>
        <w:ind w:left="3807" w:hanging="360"/>
      </w:pPr>
    </w:lvl>
    <w:lvl w:ilvl="5" w:tplc="E03CFCB8" w:tentative="1">
      <w:start w:val="1"/>
      <w:numFmt w:val="lowerRoman"/>
      <w:lvlText w:val="%6."/>
      <w:lvlJc w:val="right"/>
      <w:pPr>
        <w:ind w:left="4527" w:hanging="180"/>
      </w:pPr>
    </w:lvl>
    <w:lvl w:ilvl="6" w:tplc="E230CEC2" w:tentative="1">
      <w:start w:val="1"/>
      <w:numFmt w:val="decimal"/>
      <w:lvlText w:val="%7."/>
      <w:lvlJc w:val="left"/>
      <w:pPr>
        <w:ind w:left="5247" w:hanging="360"/>
      </w:pPr>
    </w:lvl>
    <w:lvl w:ilvl="7" w:tplc="86A84D48" w:tentative="1">
      <w:start w:val="1"/>
      <w:numFmt w:val="lowerLetter"/>
      <w:lvlText w:val="%8."/>
      <w:lvlJc w:val="left"/>
      <w:pPr>
        <w:ind w:left="5967" w:hanging="360"/>
      </w:pPr>
    </w:lvl>
    <w:lvl w:ilvl="8" w:tplc="5CFE169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BE0D9B"/>
    <w:multiLevelType w:val="multilevel"/>
    <w:tmpl w:val="ED4AC0A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2903D5"/>
    <w:multiLevelType w:val="hybridMultilevel"/>
    <w:tmpl w:val="52829BBC"/>
    <w:lvl w:ilvl="0" w:tplc="E470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4F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81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C3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EB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AE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6F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A7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47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F4"/>
    <w:multiLevelType w:val="hybridMultilevel"/>
    <w:tmpl w:val="1D06E280"/>
    <w:lvl w:ilvl="0" w:tplc="02EC986E">
      <w:start w:val="4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5C48CB64">
      <w:start w:val="1"/>
      <w:numFmt w:val="lowerLetter"/>
      <w:lvlText w:val="%2."/>
      <w:lvlJc w:val="left"/>
      <w:pPr>
        <w:ind w:left="1440" w:hanging="360"/>
      </w:pPr>
    </w:lvl>
    <w:lvl w:ilvl="2" w:tplc="4520588A" w:tentative="1">
      <w:start w:val="1"/>
      <w:numFmt w:val="lowerRoman"/>
      <w:lvlText w:val="%3."/>
      <w:lvlJc w:val="right"/>
      <w:pPr>
        <w:ind w:left="2160" w:hanging="180"/>
      </w:pPr>
    </w:lvl>
    <w:lvl w:ilvl="3" w:tplc="38A44184" w:tentative="1">
      <w:start w:val="1"/>
      <w:numFmt w:val="decimal"/>
      <w:lvlText w:val="%4."/>
      <w:lvlJc w:val="left"/>
      <w:pPr>
        <w:ind w:left="2880" w:hanging="360"/>
      </w:pPr>
    </w:lvl>
    <w:lvl w:ilvl="4" w:tplc="B3EA8776" w:tentative="1">
      <w:start w:val="1"/>
      <w:numFmt w:val="lowerLetter"/>
      <w:lvlText w:val="%5."/>
      <w:lvlJc w:val="left"/>
      <w:pPr>
        <w:ind w:left="3600" w:hanging="360"/>
      </w:pPr>
    </w:lvl>
    <w:lvl w:ilvl="5" w:tplc="5FA2220A" w:tentative="1">
      <w:start w:val="1"/>
      <w:numFmt w:val="lowerRoman"/>
      <w:lvlText w:val="%6."/>
      <w:lvlJc w:val="right"/>
      <w:pPr>
        <w:ind w:left="4320" w:hanging="180"/>
      </w:pPr>
    </w:lvl>
    <w:lvl w:ilvl="6" w:tplc="1EB2E632" w:tentative="1">
      <w:start w:val="1"/>
      <w:numFmt w:val="decimal"/>
      <w:lvlText w:val="%7."/>
      <w:lvlJc w:val="left"/>
      <w:pPr>
        <w:ind w:left="5040" w:hanging="360"/>
      </w:pPr>
    </w:lvl>
    <w:lvl w:ilvl="7" w:tplc="AF2EE488" w:tentative="1">
      <w:start w:val="1"/>
      <w:numFmt w:val="lowerLetter"/>
      <w:lvlText w:val="%8."/>
      <w:lvlJc w:val="left"/>
      <w:pPr>
        <w:ind w:left="5760" w:hanging="360"/>
      </w:pPr>
    </w:lvl>
    <w:lvl w:ilvl="8" w:tplc="F42AA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F3BBF"/>
    <w:multiLevelType w:val="hybridMultilevel"/>
    <w:tmpl w:val="C270F974"/>
    <w:lvl w:ilvl="0" w:tplc="8FB80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A1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A1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6A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EF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4A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CC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C4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04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10C30"/>
    <w:multiLevelType w:val="hybridMultilevel"/>
    <w:tmpl w:val="6EE81CFA"/>
    <w:lvl w:ilvl="0" w:tplc="05DE88C0">
      <w:start w:val="1"/>
      <w:numFmt w:val="bullet"/>
      <w:pStyle w:val="List2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6B465C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A382C8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AFCDC6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8DACB5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5EA209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5ACAE7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C402EC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F68FEA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5E3C7785"/>
    <w:multiLevelType w:val="hybridMultilevel"/>
    <w:tmpl w:val="1ACC489C"/>
    <w:lvl w:ilvl="0" w:tplc="8294C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A3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05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C8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27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C7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48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09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84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39F1"/>
    <w:multiLevelType w:val="hybridMultilevel"/>
    <w:tmpl w:val="030C58C8"/>
    <w:lvl w:ilvl="0" w:tplc="B5923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3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82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2E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8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8E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81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21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EF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76387"/>
    <w:multiLevelType w:val="multilevel"/>
    <w:tmpl w:val="B018F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86F037F"/>
    <w:multiLevelType w:val="hybridMultilevel"/>
    <w:tmpl w:val="AC62B072"/>
    <w:lvl w:ilvl="0" w:tplc="14767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AA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28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82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2F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A8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A4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CD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6A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52103"/>
    <w:multiLevelType w:val="multilevel"/>
    <w:tmpl w:val="66E248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16"/>
  </w:num>
  <w:num w:numId="12">
    <w:abstractNumId w:val="11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5F"/>
    <w:rsid w:val="00045FE9"/>
    <w:rsid w:val="00047CF5"/>
    <w:rsid w:val="00074076"/>
    <w:rsid w:val="000E2D6D"/>
    <w:rsid w:val="001676A2"/>
    <w:rsid w:val="001723FE"/>
    <w:rsid w:val="00195448"/>
    <w:rsid w:val="001C2BB0"/>
    <w:rsid w:val="001C5E93"/>
    <w:rsid w:val="00206E3D"/>
    <w:rsid w:val="00226CB6"/>
    <w:rsid w:val="00295DF4"/>
    <w:rsid w:val="002D07A4"/>
    <w:rsid w:val="00370378"/>
    <w:rsid w:val="00375582"/>
    <w:rsid w:val="0040379B"/>
    <w:rsid w:val="00456F4C"/>
    <w:rsid w:val="00473078"/>
    <w:rsid w:val="004B31E3"/>
    <w:rsid w:val="004C3E9D"/>
    <w:rsid w:val="00543747"/>
    <w:rsid w:val="005958AC"/>
    <w:rsid w:val="00600F19"/>
    <w:rsid w:val="0066152E"/>
    <w:rsid w:val="00661EF5"/>
    <w:rsid w:val="006738F0"/>
    <w:rsid w:val="00724D1F"/>
    <w:rsid w:val="00730ECD"/>
    <w:rsid w:val="00767A23"/>
    <w:rsid w:val="007F5F3E"/>
    <w:rsid w:val="007F6E53"/>
    <w:rsid w:val="0087035F"/>
    <w:rsid w:val="008A0993"/>
    <w:rsid w:val="008A314C"/>
    <w:rsid w:val="008F3522"/>
    <w:rsid w:val="00923593"/>
    <w:rsid w:val="0094709F"/>
    <w:rsid w:val="00960734"/>
    <w:rsid w:val="00A017F9"/>
    <w:rsid w:val="00A91DB1"/>
    <w:rsid w:val="00AD7C6D"/>
    <w:rsid w:val="00AE0880"/>
    <w:rsid w:val="00AE3D1C"/>
    <w:rsid w:val="00B113B2"/>
    <w:rsid w:val="00B70740"/>
    <w:rsid w:val="00BC185F"/>
    <w:rsid w:val="00BC2494"/>
    <w:rsid w:val="00C025CE"/>
    <w:rsid w:val="00C174FC"/>
    <w:rsid w:val="00C352FB"/>
    <w:rsid w:val="00C45590"/>
    <w:rsid w:val="00C563F2"/>
    <w:rsid w:val="00C56EA8"/>
    <w:rsid w:val="00CC08DB"/>
    <w:rsid w:val="00D05E61"/>
    <w:rsid w:val="00D21353"/>
    <w:rsid w:val="00DB4243"/>
    <w:rsid w:val="00DC5500"/>
    <w:rsid w:val="00DC759E"/>
    <w:rsid w:val="00DF19EE"/>
    <w:rsid w:val="00E223BC"/>
    <w:rsid w:val="00ED67D0"/>
    <w:rsid w:val="00EE46AB"/>
    <w:rsid w:val="00F04477"/>
    <w:rsid w:val="00F24688"/>
    <w:rsid w:val="00F34EC8"/>
    <w:rsid w:val="00F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24A3B-0248-45DF-9853-485CFFAC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045FE9"/>
    <w:pPr>
      <w:numPr>
        <w:numId w:val="8"/>
      </w:numPr>
      <w:tabs>
        <w:tab w:val="left" w:pos="567"/>
      </w:tabs>
      <w:spacing w:before="240" w:after="0"/>
      <w:ind w:left="567" w:hanging="567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Para1"/>
    <w:next w:val="Normal"/>
    <w:link w:val="Heading2Char"/>
    <w:qFormat/>
    <w:rsid w:val="00C025CE"/>
    <w:pPr>
      <w:numPr>
        <w:ilvl w:val="1"/>
        <w:numId w:val="8"/>
      </w:numPr>
      <w:tabs>
        <w:tab w:val="left" w:pos="1134"/>
      </w:tabs>
      <w:spacing w:before="240"/>
      <w:ind w:left="1134" w:hanging="567"/>
      <w:outlineLvl w:val="1"/>
    </w:pPr>
    <w:rPr>
      <w:b/>
    </w:rPr>
  </w:style>
  <w:style w:type="paragraph" w:styleId="Heading3">
    <w:name w:val="heading 3"/>
    <w:basedOn w:val="Para2"/>
    <w:next w:val="Normal"/>
    <w:link w:val="Heading3Char"/>
    <w:qFormat/>
    <w:rsid w:val="00C025CE"/>
    <w:pPr>
      <w:numPr>
        <w:ilvl w:val="2"/>
        <w:numId w:val="8"/>
      </w:numPr>
      <w:tabs>
        <w:tab w:val="left" w:pos="1843"/>
      </w:tabs>
      <w:spacing w:before="240"/>
      <w:ind w:left="1843" w:hanging="709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035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0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35F"/>
    <w:rPr>
      <w:sz w:val="22"/>
      <w:szCs w:val="22"/>
      <w:lang w:eastAsia="en-US"/>
    </w:rPr>
  </w:style>
  <w:style w:type="paragraph" w:customStyle="1" w:styleId="RunningTitle">
    <w:name w:val="Running Title"/>
    <w:basedOn w:val="Normal"/>
    <w:rsid w:val="0087035F"/>
    <w:pPr>
      <w:keepLines/>
      <w:suppressAutoHyphens/>
      <w:spacing w:before="120" w:after="120" w:line="240" w:lineRule="auto"/>
      <w:jc w:val="center"/>
    </w:pPr>
    <w:rPr>
      <w:rFonts w:ascii="Arial" w:eastAsia="Times New Roman" w:hAnsi="Arial"/>
      <w:b/>
      <w:smallCaps/>
      <w:sz w:val="28"/>
      <w:szCs w:val="20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295D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5FE9"/>
    <w:rPr>
      <w:rFonts w:ascii="Arial" w:hAnsi="Arial" w:cs="Arial"/>
      <w:b/>
      <w:sz w:val="28"/>
      <w:szCs w:val="22"/>
      <w:lang w:eastAsia="en-US"/>
    </w:rPr>
  </w:style>
  <w:style w:type="paragraph" w:customStyle="1" w:styleId="Para1">
    <w:name w:val="Para 1"/>
    <w:basedOn w:val="Normal"/>
    <w:link w:val="Para1Char"/>
    <w:qFormat/>
    <w:rsid w:val="00370378"/>
    <w:pPr>
      <w:spacing w:before="120" w:after="0"/>
      <w:ind w:left="567"/>
    </w:pPr>
    <w:rPr>
      <w:rFonts w:ascii="Arial" w:hAnsi="Arial" w:cs="Arial"/>
    </w:rPr>
  </w:style>
  <w:style w:type="paragraph" w:customStyle="1" w:styleId="DocHistCont">
    <w:name w:val="Doc_Hist_Cont"/>
    <w:basedOn w:val="Normal"/>
    <w:rsid w:val="00295DF4"/>
    <w:pPr>
      <w:keepNext/>
      <w:keepLines/>
      <w:suppressLineNumbers/>
      <w:suppressAutoHyphens/>
      <w:spacing w:before="40" w:after="40" w:line="240" w:lineRule="auto"/>
    </w:pPr>
    <w:rPr>
      <w:rFonts w:ascii="Arial" w:eastAsia="Times New Roman" w:hAnsi="Arial"/>
      <w:color w:val="0000FF"/>
      <w:sz w:val="16"/>
      <w:szCs w:val="16"/>
      <w:lang w:eastAsia="en-AU"/>
    </w:rPr>
  </w:style>
  <w:style w:type="character" w:customStyle="1" w:styleId="Para1Char">
    <w:name w:val="Para 1 Char"/>
    <w:basedOn w:val="DefaultParagraphFont"/>
    <w:link w:val="Para1"/>
    <w:rsid w:val="00370378"/>
    <w:rPr>
      <w:rFonts w:ascii="Arial" w:hAnsi="Arial" w:cs="Arial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C025CE"/>
    <w:rPr>
      <w:rFonts w:ascii="Arial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C025CE"/>
    <w:rPr>
      <w:rFonts w:ascii="Arial" w:hAnsi="Arial" w:cs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FE"/>
    <w:rPr>
      <w:rFonts w:ascii="Segoe UI" w:hAnsi="Segoe UI" w:cs="Segoe UI"/>
      <w:sz w:val="18"/>
      <w:szCs w:val="18"/>
      <w:lang w:eastAsia="en-US"/>
    </w:rPr>
  </w:style>
  <w:style w:type="paragraph" w:customStyle="1" w:styleId="numbered">
    <w:name w:val="numbered"/>
    <w:basedOn w:val="Heading2"/>
    <w:rsid w:val="001723FE"/>
    <w:pPr>
      <w:numPr>
        <w:numId w:val="3"/>
      </w:numPr>
    </w:pPr>
    <w:rPr>
      <w:b w:val="0"/>
      <w:lang w:val="en-US"/>
    </w:rPr>
  </w:style>
  <w:style w:type="paragraph" w:customStyle="1" w:styleId="Definitions">
    <w:name w:val="Definitions"/>
    <w:basedOn w:val="Normal"/>
    <w:link w:val="DefinitionsChar"/>
    <w:qFormat/>
    <w:rsid w:val="00370378"/>
    <w:pPr>
      <w:tabs>
        <w:tab w:val="left" w:pos="4536"/>
      </w:tabs>
      <w:spacing w:before="120" w:after="0"/>
      <w:ind w:left="4536" w:hanging="3969"/>
    </w:pPr>
    <w:rPr>
      <w:rFonts w:ascii="Arial" w:hAnsi="Arial" w:cs="Arial"/>
    </w:rPr>
  </w:style>
  <w:style w:type="paragraph" w:customStyle="1" w:styleId="Para2">
    <w:name w:val="Para 2"/>
    <w:basedOn w:val="Normal"/>
    <w:link w:val="Para2Char"/>
    <w:qFormat/>
    <w:rsid w:val="00C025CE"/>
    <w:pPr>
      <w:spacing w:before="120" w:after="0"/>
      <w:ind w:left="1134"/>
    </w:pPr>
    <w:rPr>
      <w:rFonts w:ascii="Arial" w:hAnsi="Arial" w:cs="Arial"/>
    </w:rPr>
  </w:style>
  <w:style w:type="character" w:customStyle="1" w:styleId="DefinitionsChar">
    <w:name w:val="Definitions Char"/>
    <w:basedOn w:val="DefaultParagraphFont"/>
    <w:link w:val="Definitions"/>
    <w:rsid w:val="00370378"/>
    <w:rPr>
      <w:rFonts w:ascii="Arial" w:hAnsi="Arial" w:cs="Arial"/>
      <w:sz w:val="22"/>
      <w:szCs w:val="22"/>
      <w:lang w:eastAsia="en-US"/>
    </w:rPr>
  </w:style>
  <w:style w:type="paragraph" w:customStyle="1" w:styleId="List2">
    <w:name w:val="List2"/>
    <w:basedOn w:val="ListParagraph"/>
    <w:link w:val="List2Char"/>
    <w:qFormat/>
    <w:rsid w:val="00C025CE"/>
    <w:pPr>
      <w:numPr>
        <w:numId w:val="7"/>
      </w:numPr>
      <w:tabs>
        <w:tab w:val="left" w:pos="1843"/>
      </w:tabs>
      <w:spacing w:before="120" w:after="0"/>
    </w:pPr>
    <w:rPr>
      <w:rFonts w:ascii="Arial" w:hAnsi="Arial" w:cs="Arial"/>
    </w:rPr>
  </w:style>
  <w:style w:type="character" w:customStyle="1" w:styleId="Para2Char">
    <w:name w:val="Para 2 Char"/>
    <w:basedOn w:val="DefaultParagraphFont"/>
    <w:link w:val="Para2"/>
    <w:rsid w:val="00C025CE"/>
    <w:rPr>
      <w:rFonts w:ascii="Arial" w:hAnsi="Arial" w:cs="Arial"/>
      <w:sz w:val="22"/>
      <w:szCs w:val="22"/>
      <w:lang w:eastAsia="en-US"/>
    </w:rPr>
  </w:style>
  <w:style w:type="paragraph" w:customStyle="1" w:styleId="List3">
    <w:name w:val="List3"/>
    <w:basedOn w:val="List2"/>
    <w:link w:val="List3Char"/>
    <w:qFormat/>
    <w:rsid w:val="00C025CE"/>
  </w:style>
  <w:style w:type="character" w:customStyle="1" w:styleId="ListParagraphChar">
    <w:name w:val="List Paragraph Char"/>
    <w:basedOn w:val="DefaultParagraphFont"/>
    <w:link w:val="ListParagraph"/>
    <w:uiPriority w:val="34"/>
    <w:rsid w:val="00370378"/>
    <w:rPr>
      <w:sz w:val="22"/>
      <w:szCs w:val="22"/>
      <w:lang w:eastAsia="en-US"/>
    </w:rPr>
  </w:style>
  <w:style w:type="character" w:customStyle="1" w:styleId="List2Char">
    <w:name w:val="List2 Char"/>
    <w:basedOn w:val="ListParagraphChar"/>
    <w:link w:val="List2"/>
    <w:rsid w:val="00C025CE"/>
    <w:rPr>
      <w:rFonts w:ascii="Arial" w:hAnsi="Arial" w:cs="Arial"/>
      <w:sz w:val="22"/>
      <w:szCs w:val="22"/>
      <w:lang w:eastAsia="en-US"/>
    </w:rPr>
  </w:style>
  <w:style w:type="character" w:customStyle="1" w:styleId="List3Char">
    <w:name w:val="List3 Char"/>
    <w:basedOn w:val="List2Char"/>
    <w:link w:val="List3"/>
    <w:rsid w:val="00C025CE"/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unhideWhenUsed/>
    <w:rsid w:val="002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HSHAREDAPP02/Fasttrack/Portal/CD_HA_045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HSHAREDAPP02/Fasttrack/Portal/CD_HA_040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AB89-D13F-4D6D-A92C-3E65E7B8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Simone</dc:creator>
  <cp:lastModifiedBy>Webb, Andrew</cp:lastModifiedBy>
  <cp:revision>2</cp:revision>
  <dcterms:created xsi:type="dcterms:W3CDTF">2023-06-20T05:50:00Z</dcterms:created>
  <dcterms:modified xsi:type="dcterms:W3CDTF">2023-06-20T05:50:00Z</dcterms:modified>
</cp:coreProperties>
</file>