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03" w:rsidRPr="00301A03" w:rsidRDefault="009A6B70" w:rsidP="00301A03">
      <w:pPr>
        <w:shd w:val="clear" w:color="auto" w:fill="FFFFFF"/>
        <w:spacing w:after="75" w:line="450" w:lineRule="atLeast"/>
        <w:rPr>
          <w:rFonts w:ascii="Arial" w:eastAsia="Times New Roman" w:hAnsi="Arial" w:cs="Arial"/>
          <w:b/>
          <w:bCs/>
          <w:color w:val="32333C"/>
          <w:sz w:val="36"/>
          <w:szCs w:val="36"/>
        </w:rPr>
      </w:pPr>
      <w:r w:rsidRPr="00301A03">
        <w:rPr>
          <w:rFonts w:ascii="Times New Roman" w:eastAsia="Times New Roman" w:hAnsi="Times New Roman" w:cs="Times New Roman"/>
          <w:i/>
          <w:noProof/>
          <w:sz w:val="16"/>
          <w:szCs w:val="16"/>
        </w:rPr>
        <w:drawing>
          <wp:anchor distT="0" distB="0" distL="0" distR="0" simplePos="0" relativeHeight="251659264" behindDoc="0" locked="0" layoutInCell="1" allowOverlap="0" wp14:anchorId="19DC1E1C" wp14:editId="795D4F8D">
            <wp:simplePos x="0" y="0"/>
            <wp:positionH relativeFrom="column">
              <wp:posOffset>5383909</wp:posOffset>
            </wp:positionH>
            <wp:positionV relativeFrom="line">
              <wp:posOffset>474</wp:posOffset>
            </wp:positionV>
            <wp:extent cx="1009650" cy="572770"/>
            <wp:effectExtent l="0" t="0" r="0" b="0"/>
            <wp:wrapSquare wrapText="bothSides"/>
            <wp:docPr id="6" name="Picture 3" descr="Ev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nt logo"/>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09650" cy="572770"/>
                    </a:xfrm>
                    <a:prstGeom prst="rect">
                      <a:avLst/>
                    </a:prstGeom>
                    <a:noFill/>
                  </pic:spPr>
                </pic:pic>
              </a:graphicData>
            </a:graphic>
            <wp14:sizeRelH relativeFrom="page">
              <wp14:pctWidth>0</wp14:pctWidth>
            </wp14:sizeRelH>
            <wp14:sizeRelV relativeFrom="page">
              <wp14:pctHeight>0</wp14:pctHeight>
            </wp14:sizeRelV>
          </wp:anchor>
        </w:drawing>
      </w:r>
      <w:r w:rsidR="00301A03" w:rsidRPr="00301A03">
        <w:rPr>
          <w:rFonts w:ascii="Arial" w:eastAsia="Times New Roman" w:hAnsi="Arial" w:cs="Arial"/>
          <w:b/>
          <w:bCs/>
          <w:color w:val="32333C"/>
          <w:sz w:val="36"/>
          <w:szCs w:val="36"/>
        </w:rPr>
        <w:t>How I Learned to Stop Worrying and Love Flow Cytometry Analysis</w:t>
      </w:r>
    </w:p>
    <w:p w:rsidR="00301A03" w:rsidRPr="00301A03" w:rsidRDefault="00301A03" w:rsidP="00301A03">
      <w:pPr>
        <w:shd w:val="clear" w:color="auto" w:fill="FFFFFF"/>
        <w:spacing w:after="150" w:line="240" w:lineRule="auto"/>
        <w:rPr>
          <w:rFonts w:ascii="Arial" w:eastAsia="Times New Roman" w:hAnsi="Arial" w:cs="Arial"/>
          <w:color w:val="32333C"/>
          <w:sz w:val="21"/>
          <w:szCs w:val="21"/>
          <w:u w:val="single"/>
        </w:rPr>
      </w:pPr>
      <w:r w:rsidRPr="00301A03">
        <w:rPr>
          <w:rFonts w:ascii="Arial" w:eastAsia="Times New Roman" w:hAnsi="Arial" w:cs="Arial"/>
          <w:color w:val="32333C"/>
          <w:sz w:val="21"/>
          <w:szCs w:val="21"/>
          <w:highlight w:val="yellow"/>
          <w:u w:val="single"/>
        </w:rPr>
        <w:t>How confident are you in the analysis of leukemia and lymphoma immunophenotyping?</w:t>
      </w:r>
      <w:r w:rsidRPr="00301A03">
        <w:rPr>
          <w:rFonts w:ascii="Arial" w:eastAsia="Times New Roman" w:hAnsi="Arial" w:cs="Arial"/>
          <w:color w:val="32333C"/>
          <w:sz w:val="21"/>
          <w:szCs w:val="21"/>
          <w:u w:val="single"/>
        </w:rPr>
        <w:t> </w:t>
      </w:r>
    </w:p>
    <w:p w:rsidR="00301A03" w:rsidRPr="00301A03" w:rsidRDefault="00301A03" w:rsidP="00301A03">
      <w:pPr>
        <w:shd w:val="clear" w:color="auto" w:fill="FFFFFF"/>
        <w:spacing w:after="150" w:line="240" w:lineRule="auto"/>
        <w:rPr>
          <w:rFonts w:ascii="Arial" w:eastAsia="Times New Roman" w:hAnsi="Arial" w:cs="Arial"/>
          <w:color w:val="32333C"/>
          <w:sz w:val="21"/>
          <w:szCs w:val="21"/>
        </w:rPr>
      </w:pPr>
      <w:r w:rsidRPr="00301A03">
        <w:rPr>
          <w:rFonts w:ascii="Arial" w:eastAsia="Times New Roman" w:hAnsi="Arial" w:cs="Arial"/>
          <w:color w:val="32333C"/>
          <w:sz w:val="21"/>
          <w:szCs w:val="21"/>
        </w:rPr>
        <w:t>We all know how important flow cytometry is in the diagnosis and monitoring of hematologic malignancies. We also know that data analysis and interpretation can be complex. The choice of optimal gating strategies requires considerable experience and knowledge of the diagnosis.</w:t>
      </w:r>
    </w:p>
    <w:p w:rsidR="00301A03" w:rsidRPr="00301A03" w:rsidRDefault="00301A03" w:rsidP="00301A03">
      <w:pPr>
        <w:shd w:val="clear" w:color="auto" w:fill="FFFFFF"/>
        <w:spacing w:after="150" w:line="240" w:lineRule="auto"/>
        <w:rPr>
          <w:rFonts w:ascii="Arial" w:eastAsia="Times New Roman" w:hAnsi="Arial" w:cs="Arial"/>
          <w:color w:val="32333C"/>
          <w:sz w:val="21"/>
          <w:szCs w:val="21"/>
        </w:rPr>
      </w:pPr>
      <w:r w:rsidRPr="00301A03">
        <w:rPr>
          <w:rFonts w:ascii="Arial" w:eastAsia="Times New Roman" w:hAnsi="Arial" w:cs="Arial"/>
          <w:color w:val="32333C"/>
          <w:sz w:val="21"/>
          <w:szCs w:val="21"/>
        </w:rPr>
        <w:t>Major advances in electronics, software, and reagents over the past years have simplified some aspects of flow cytometry, while at the same time creating both technical and interpretation issues. </w:t>
      </w:r>
    </w:p>
    <w:p w:rsidR="00301A03" w:rsidRPr="00301A03" w:rsidRDefault="00301A03" w:rsidP="00301A03">
      <w:pPr>
        <w:shd w:val="clear" w:color="auto" w:fill="FFFFFF"/>
        <w:spacing w:after="150" w:line="240" w:lineRule="auto"/>
        <w:rPr>
          <w:rFonts w:ascii="Arial" w:eastAsia="Times New Roman" w:hAnsi="Arial" w:cs="Arial"/>
          <w:color w:val="32333C"/>
          <w:sz w:val="21"/>
          <w:szCs w:val="21"/>
        </w:rPr>
      </w:pPr>
      <w:r w:rsidRPr="00301A03">
        <w:rPr>
          <w:rFonts w:ascii="Arial" w:eastAsia="Times New Roman" w:hAnsi="Arial" w:cs="Arial"/>
          <w:i/>
          <w:color w:val="32333C"/>
          <w:sz w:val="21"/>
          <w:szCs w:val="21"/>
        </w:rPr>
        <w:t xml:space="preserve">Join global expert, </w:t>
      </w:r>
      <w:proofErr w:type="spellStart"/>
      <w:r w:rsidRPr="00301A03">
        <w:rPr>
          <w:rFonts w:ascii="Arial" w:eastAsia="Times New Roman" w:hAnsi="Arial" w:cs="Arial"/>
          <w:i/>
          <w:color w:val="32333C"/>
          <w:sz w:val="21"/>
          <w:szCs w:val="21"/>
        </w:rPr>
        <w:t>Dr.</w:t>
      </w:r>
      <w:proofErr w:type="spellEnd"/>
      <w:r w:rsidRPr="00301A03">
        <w:rPr>
          <w:rFonts w:ascii="Arial" w:eastAsia="Times New Roman" w:hAnsi="Arial" w:cs="Arial"/>
          <w:i/>
          <w:color w:val="32333C"/>
          <w:sz w:val="21"/>
          <w:szCs w:val="21"/>
        </w:rPr>
        <w:t xml:space="preserve"> David Ng— Medical Director of Hematopathology at ARUP Laboratories—to learn how he approaches the analysis of L &amp; L testing using Kaluza C analysis software—an easy-to-use and highly functional IVD analysis solution designed specifically for the needs of the clinical flow cytometry laboratory</w:t>
      </w:r>
      <w:r w:rsidRPr="00301A03">
        <w:rPr>
          <w:rFonts w:ascii="Arial" w:eastAsia="Times New Roman" w:hAnsi="Arial" w:cs="Arial"/>
          <w:color w:val="32333C"/>
          <w:sz w:val="21"/>
          <w:szCs w:val="21"/>
        </w:rPr>
        <w:t>.</w:t>
      </w:r>
    </w:p>
    <w:tbl>
      <w:tblPr>
        <w:tblW w:w="8445" w:type="dxa"/>
        <w:jc w:val="center"/>
        <w:shd w:val="clear" w:color="auto" w:fill="FEFEFE"/>
        <w:tblCellMar>
          <w:left w:w="0" w:type="dxa"/>
          <w:right w:w="0" w:type="dxa"/>
        </w:tblCellMar>
        <w:tblLook w:val="04A0" w:firstRow="1" w:lastRow="0" w:firstColumn="1" w:lastColumn="0" w:noHBand="0" w:noVBand="1"/>
      </w:tblPr>
      <w:tblGrid>
        <w:gridCol w:w="8445"/>
      </w:tblGrid>
      <w:tr w:rsidR="00301A03" w:rsidRPr="00301A03" w:rsidTr="009A6B70">
        <w:trPr>
          <w:jc w:val="center"/>
        </w:trPr>
        <w:tc>
          <w:tcPr>
            <w:tcW w:w="8445" w:type="dxa"/>
            <w:tcBorders>
              <w:top w:val="single" w:sz="48" w:space="0" w:color="EFEFEF"/>
              <w:left w:val="single" w:sz="48" w:space="0" w:color="EFEFEF"/>
              <w:bottom w:val="single" w:sz="48" w:space="0" w:color="EFEFEF"/>
              <w:right w:val="single" w:sz="48" w:space="0" w:color="EFEFEF"/>
            </w:tcBorders>
            <w:shd w:val="clear" w:color="auto" w:fill="FEFEFE"/>
            <w:hideMark/>
          </w:tcPr>
          <w:tbl>
            <w:tblPr>
              <w:tblW w:w="0" w:type="auto"/>
              <w:tblCellSpacing w:w="22" w:type="dxa"/>
              <w:tblCellMar>
                <w:left w:w="0" w:type="dxa"/>
                <w:right w:w="0" w:type="dxa"/>
              </w:tblCellMar>
              <w:tblLook w:val="04A0" w:firstRow="1" w:lastRow="0" w:firstColumn="1" w:lastColumn="0" w:noHBand="0" w:noVBand="1"/>
            </w:tblPr>
            <w:tblGrid>
              <w:gridCol w:w="124"/>
            </w:tblGrid>
            <w:tr w:rsidR="00301A03" w:rsidRPr="00301A03">
              <w:trPr>
                <w:tblCellSpacing w:w="22" w:type="dxa"/>
              </w:trPr>
              <w:tc>
                <w:tcPr>
                  <w:tcW w:w="0" w:type="auto"/>
                  <w:tcMar>
                    <w:top w:w="15" w:type="dxa"/>
                    <w:left w:w="15" w:type="dxa"/>
                    <w:bottom w:w="15" w:type="dxa"/>
                    <w:right w:w="15" w:type="dxa"/>
                  </w:tcMar>
                  <w:vAlign w:val="center"/>
                  <w:hideMark/>
                </w:tcPr>
                <w:p w:rsidR="00301A03" w:rsidRPr="00301A03" w:rsidRDefault="00301A03" w:rsidP="00301A03">
                  <w:pPr>
                    <w:spacing w:after="0" w:line="240" w:lineRule="auto"/>
                    <w:rPr>
                      <w:rFonts w:ascii="Times New Roman" w:eastAsia="Times New Roman" w:hAnsi="Times New Roman" w:cs="Times New Roman"/>
                      <w:sz w:val="24"/>
                      <w:szCs w:val="24"/>
                    </w:rPr>
                  </w:pP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color w:val="0A0A0A"/>
                <w:sz w:val="24"/>
                <w:szCs w:val="24"/>
              </w:rPr>
              <w:t> </w:t>
            </w:r>
          </w:p>
          <w:tbl>
            <w:tblPr>
              <w:tblW w:w="5000" w:type="pct"/>
              <w:jc w:val="center"/>
              <w:tblCellMar>
                <w:left w:w="0" w:type="dxa"/>
                <w:right w:w="0" w:type="dxa"/>
              </w:tblCellMar>
              <w:tblLook w:val="04A0" w:firstRow="1" w:lastRow="0" w:firstColumn="1" w:lastColumn="0" w:noHBand="0" w:noVBand="1"/>
            </w:tblPr>
            <w:tblGrid>
              <w:gridCol w:w="8325"/>
            </w:tblGrid>
            <w:tr w:rsidR="00301A03" w:rsidRPr="00301A03">
              <w:trPr>
                <w:jc w:val="center"/>
              </w:trPr>
              <w:tc>
                <w:tcPr>
                  <w:tcW w:w="5000" w:type="pct"/>
                  <w:tcBorders>
                    <w:top w:val="nil"/>
                    <w:left w:val="nil"/>
                    <w:bottom w:val="single" w:sz="8" w:space="0" w:color="E1E2E7"/>
                    <w:right w:val="nil"/>
                  </w:tcBorders>
                  <w:tcMar>
                    <w:top w:w="0" w:type="dxa"/>
                    <w:left w:w="450" w:type="dxa"/>
                    <w:bottom w:w="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7419"/>
                    <w:gridCol w:w="6"/>
                  </w:tblGrid>
                  <w:tr w:rsidR="00301A03" w:rsidRPr="00301A03">
                    <w:trPr>
                      <w:jc w:val="center"/>
                    </w:trPr>
                    <w:tc>
                      <w:tcPr>
                        <w:tcW w:w="0" w:type="auto"/>
                        <w:hideMark/>
                      </w:tcPr>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color w:val="0A0A0A"/>
                            <w:sz w:val="24"/>
                            <w:szCs w:val="24"/>
                          </w:rPr>
                          <w:t> </w:t>
                        </w:r>
                        <w:r w:rsidR="009A6B70" w:rsidRPr="009A6B70">
                          <w:rPr>
                            <w:rFonts w:ascii="Helvetica" w:eastAsia="Calibri" w:hAnsi="Helvetica" w:cs="Helvetica"/>
                            <w:color w:val="0A0A0A"/>
                            <w:sz w:val="24"/>
                            <w:szCs w:val="24"/>
                          </w:rPr>
                          <w:t>If the button above does not work, please copy and paste this link into your browser:</w:t>
                        </w:r>
                      </w:p>
                    </w:tc>
                    <w:tc>
                      <w:tcPr>
                        <w:tcW w:w="6" w:type="dxa"/>
                        <w:hideMark/>
                      </w:tcPr>
                      <w:p w:rsidR="00301A03" w:rsidRPr="00301A03" w:rsidRDefault="00301A03" w:rsidP="00301A03">
                        <w:pPr>
                          <w:spacing w:after="0" w:line="240" w:lineRule="auto"/>
                          <w:rPr>
                            <w:rFonts w:ascii="Times New Roman" w:eastAsia="Calibri" w:hAnsi="Times New Roman" w:cs="Times New Roman"/>
                            <w:sz w:val="24"/>
                            <w:szCs w:val="24"/>
                          </w:rPr>
                        </w:pP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vanish/>
                      <w:color w:val="0A0A0A"/>
                      <w:sz w:val="24"/>
                      <w:szCs w:val="24"/>
                    </w:rPr>
                    <w:t> </w:t>
                  </w:r>
                </w:p>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vanish/>
                      <w:color w:val="0A0A0A"/>
                      <w:sz w:val="24"/>
                      <w:szCs w:val="24"/>
                    </w:rPr>
                    <w:t> </w:t>
                  </w:r>
                </w:p>
                <w:tbl>
                  <w:tblPr>
                    <w:tblW w:w="5000" w:type="pct"/>
                    <w:jc w:val="center"/>
                    <w:tblCellMar>
                      <w:left w:w="0" w:type="dxa"/>
                      <w:right w:w="0" w:type="dxa"/>
                    </w:tblCellMar>
                    <w:tblLook w:val="04A0" w:firstRow="1" w:lastRow="0" w:firstColumn="1" w:lastColumn="0" w:noHBand="0" w:noVBand="1"/>
                  </w:tblPr>
                  <w:tblGrid>
                    <w:gridCol w:w="7419"/>
                    <w:gridCol w:w="6"/>
                  </w:tblGrid>
                  <w:tr w:rsidR="00301A03" w:rsidRPr="00301A03">
                    <w:trPr>
                      <w:jc w:val="center"/>
                    </w:trPr>
                    <w:tc>
                      <w:tcPr>
                        <w:tcW w:w="0" w:type="auto"/>
                        <w:hideMark/>
                      </w:tcPr>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color w:val="0A0A0A"/>
                            <w:sz w:val="24"/>
                            <w:szCs w:val="24"/>
                          </w:rPr>
                          <w:t> </w:t>
                        </w:r>
                      </w:p>
                    </w:tc>
                    <w:tc>
                      <w:tcPr>
                        <w:tcW w:w="6" w:type="dxa"/>
                        <w:hideMark/>
                      </w:tcPr>
                      <w:p w:rsidR="00301A03" w:rsidRPr="00301A03" w:rsidRDefault="00301A03" w:rsidP="00301A03">
                        <w:pPr>
                          <w:spacing w:after="0" w:line="240" w:lineRule="auto"/>
                          <w:rPr>
                            <w:rFonts w:ascii="Times New Roman" w:eastAsia="Calibri" w:hAnsi="Times New Roman" w:cs="Times New Roman"/>
                            <w:sz w:val="24"/>
                            <w:szCs w:val="24"/>
                          </w:rPr>
                        </w:pPr>
                      </w:p>
                    </w:tc>
                  </w:tr>
                </w:tbl>
                <w:p w:rsidR="00301A03" w:rsidRPr="00301A03" w:rsidRDefault="00301A03" w:rsidP="00301A03">
                  <w:pPr>
                    <w:spacing w:after="0" w:line="240" w:lineRule="auto"/>
                    <w:jc w:val="center"/>
                    <w:rPr>
                      <w:rFonts w:ascii="Times New Roman" w:eastAsia="Times New Roman" w:hAnsi="Times New Roman" w:cs="Times New Roman"/>
                      <w:sz w:val="20"/>
                      <w:szCs w:val="20"/>
                    </w:rPr>
                  </w:pP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color w:val="0A0A0A"/>
                <w:sz w:val="24"/>
                <w:szCs w:val="24"/>
              </w:rPr>
              <w:t> </w:t>
            </w:r>
          </w:p>
          <w:p w:rsidR="00301A03" w:rsidRPr="00301A03" w:rsidRDefault="00301A03" w:rsidP="00301A03">
            <w:pPr>
              <w:spacing w:after="0" w:line="240" w:lineRule="auto"/>
              <w:rPr>
                <w:rFonts w:ascii="Times New Roman" w:eastAsia="Calibri"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8325"/>
            </w:tblGrid>
            <w:tr w:rsidR="00301A03" w:rsidRPr="00301A03" w:rsidTr="009A6B70">
              <w:trPr>
                <w:trHeight w:val="63"/>
              </w:trPr>
              <w:tc>
                <w:tcPr>
                  <w:tcW w:w="5000" w:type="pct"/>
                  <w:tcBorders>
                    <w:top w:val="nil"/>
                    <w:left w:val="nil"/>
                    <w:bottom w:val="single" w:sz="8" w:space="0" w:color="E1E2E7"/>
                    <w:right w:val="nil"/>
                  </w:tcBorders>
                  <w:hideMark/>
                </w:tcPr>
                <w:tbl>
                  <w:tblPr>
                    <w:tblW w:w="5000" w:type="pct"/>
                    <w:jc w:val="center"/>
                    <w:tblCellMar>
                      <w:left w:w="0" w:type="dxa"/>
                      <w:right w:w="0" w:type="dxa"/>
                    </w:tblCellMar>
                    <w:tblLook w:val="04A0" w:firstRow="1" w:lastRow="0" w:firstColumn="1" w:lastColumn="0" w:noHBand="0" w:noVBand="1"/>
                  </w:tblPr>
                  <w:tblGrid>
                    <w:gridCol w:w="8319"/>
                    <w:gridCol w:w="6"/>
                  </w:tblGrid>
                  <w:tr w:rsidR="00301A03" w:rsidRPr="00301A03">
                    <w:trPr>
                      <w:trHeight w:val="450"/>
                      <w:jc w:val="center"/>
                    </w:trPr>
                    <w:tc>
                      <w:tcPr>
                        <w:tcW w:w="0" w:type="auto"/>
                        <w:hideMark/>
                      </w:tcPr>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Verdana" w:eastAsia="Calibri" w:hAnsi="Verdana" w:cs="Times New Roman"/>
                            <w:color w:val="0A0A0A"/>
                            <w:sz w:val="24"/>
                            <w:szCs w:val="24"/>
                          </w:rPr>
                          <w:t> </w:t>
                        </w:r>
                      </w:p>
                    </w:tc>
                    <w:tc>
                      <w:tcPr>
                        <w:tcW w:w="6" w:type="dxa"/>
                        <w:hideMark/>
                      </w:tcPr>
                      <w:p w:rsidR="00301A03" w:rsidRPr="00301A03" w:rsidRDefault="00301A03" w:rsidP="00301A03">
                        <w:pPr>
                          <w:spacing w:after="0" w:line="240" w:lineRule="auto"/>
                          <w:rPr>
                            <w:rFonts w:ascii="Times New Roman" w:eastAsia="Calibri" w:hAnsi="Times New Roman" w:cs="Times New Roman"/>
                            <w:sz w:val="24"/>
                            <w:szCs w:val="24"/>
                          </w:rPr>
                        </w:pP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vanish/>
                      <w:color w:val="0A0A0A"/>
                      <w:sz w:val="24"/>
                      <w:szCs w:val="24"/>
                    </w:rPr>
                    <w:t> </w:t>
                  </w:r>
                </w:p>
                <w:tbl>
                  <w:tblPr>
                    <w:tblW w:w="0" w:type="dxa"/>
                    <w:jc w:val="center"/>
                    <w:tblCellMar>
                      <w:left w:w="0" w:type="dxa"/>
                      <w:right w:w="0" w:type="dxa"/>
                    </w:tblCellMar>
                    <w:tblLook w:val="04A0" w:firstRow="1" w:lastRow="0" w:firstColumn="1" w:lastColumn="0" w:noHBand="0" w:noVBand="1"/>
                  </w:tblPr>
                  <w:tblGrid>
                    <w:gridCol w:w="6"/>
                  </w:tblGrid>
                  <w:tr w:rsidR="00301A03" w:rsidRPr="00301A03">
                    <w:trPr>
                      <w:jc w:val="center"/>
                    </w:trPr>
                    <w:tc>
                      <w:tcPr>
                        <w:tcW w:w="5000" w:type="pct"/>
                        <w:hideMark/>
                      </w:tcPr>
                      <w:p w:rsidR="00301A03" w:rsidRPr="00301A03" w:rsidRDefault="00301A03" w:rsidP="00301A03">
                        <w:pPr>
                          <w:spacing w:after="0" w:line="240" w:lineRule="auto"/>
                          <w:rPr>
                            <w:rFonts w:ascii="Times New Roman" w:eastAsia="Calibri" w:hAnsi="Times New Roman" w:cs="Times New Roman"/>
                            <w:sz w:val="24"/>
                            <w:szCs w:val="24"/>
                          </w:rPr>
                        </w:pP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vanish/>
                      <w:color w:val="0A0A0A"/>
                      <w:sz w:val="24"/>
                      <w:szCs w:val="24"/>
                    </w:rPr>
                    <w:t> </w:t>
                  </w:r>
                </w:p>
                <w:tbl>
                  <w:tblPr>
                    <w:tblW w:w="4750" w:type="pct"/>
                    <w:jc w:val="center"/>
                    <w:tblCellMar>
                      <w:left w:w="0" w:type="dxa"/>
                      <w:right w:w="0" w:type="dxa"/>
                    </w:tblCellMar>
                    <w:tblLook w:val="04A0" w:firstRow="1" w:lastRow="0" w:firstColumn="1" w:lastColumn="0" w:noHBand="0" w:noVBand="1"/>
                  </w:tblPr>
                  <w:tblGrid>
                    <w:gridCol w:w="7909"/>
                  </w:tblGrid>
                  <w:tr w:rsidR="00301A03" w:rsidRPr="00301A03">
                    <w:trPr>
                      <w:trHeight w:val="225"/>
                      <w:jc w:val="center"/>
                    </w:trPr>
                    <w:tc>
                      <w:tcPr>
                        <w:tcW w:w="0" w:type="auto"/>
                        <w:hideMark/>
                      </w:tcPr>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Verdana" w:eastAsia="Calibri" w:hAnsi="Verdana" w:cs="Times New Roman"/>
                            <w:color w:val="0A0A0A"/>
                            <w:sz w:val="24"/>
                            <w:szCs w:val="24"/>
                          </w:rPr>
                          <w:t> </w:t>
                        </w:r>
                      </w:p>
                    </w:tc>
                  </w:tr>
                  <w:tr w:rsidR="00301A03" w:rsidRPr="00301A03">
                    <w:trPr>
                      <w:jc w:val="center"/>
                    </w:trPr>
                    <w:tc>
                      <w:tcPr>
                        <w:tcW w:w="5000" w:type="pct"/>
                        <w:hideMark/>
                      </w:tcPr>
                      <w:p w:rsidR="00301A03" w:rsidRPr="00301A03" w:rsidRDefault="00301A03" w:rsidP="00301A03">
                        <w:pPr>
                          <w:spacing w:before="225" w:after="225" w:line="240" w:lineRule="auto"/>
                          <w:ind w:left="225" w:right="225"/>
                          <w:rPr>
                            <w:rFonts w:ascii="Times New Roman" w:eastAsia="Calibri" w:hAnsi="Times New Roman" w:cs="Times New Roman"/>
                            <w:sz w:val="24"/>
                            <w:szCs w:val="24"/>
                          </w:rPr>
                        </w:pPr>
                      </w:p>
                    </w:tc>
                  </w:tr>
                  <w:tr w:rsidR="00301A03" w:rsidRPr="00301A03">
                    <w:trPr>
                      <w:jc w:val="center"/>
                    </w:trPr>
                    <w:tc>
                      <w:tcPr>
                        <w:tcW w:w="5000" w:type="pct"/>
                        <w:hideMark/>
                      </w:tcPr>
                      <w:p w:rsidR="00301A03" w:rsidRPr="00301A03" w:rsidRDefault="00301A03" w:rsidP="00301A03">
                        <w:pPr>
                          <w:wordWrap w:val="0"/>
                          <w:spacing w:before="225" w:after="225" w:line="240" w:lineRule="auto"/>
                          <w:ind w:left="225" w:right="225"/>
                          <w:rPr>
                            <w:rFonts w:ascii="Times New Roman" w:eastAsia="Calibri" w:hAnsi="Times New Roman" w:cs="Times New Roman"/>
                            <w:sz w:val="24"/>
                            <w:szCs w:val="24"/>
                          </w:rPr>
                        </w:pPr>
                        <w:hyperlink r:id="rId5" w:history="1">
                          <w:r w:rsidRPr="00301A03">
                            <w:rPr>
                              <w:rFonts w:ascii="Verdana" w:eastAsia="Calibri" w:hAnsi="Verdana" w:cs="Times New Roman"/>
                              <w:color w:val="0000FF"/>
                              <w:sz w:val="21"/>
                              <w:szCs w:val="21"/>
                              <w:u w:val="single"/>
                            </w:rPr>
                            <w:t>https://events.bizzabo.com/auth/emailMagicLogin/verifyRedirect?token=wTIJCLvfc</w:t>
                          </w:r>
                          <w:r w:rsidRPr="00301A03">
                            <w:rPr>
                              <w:rFonts w:ascii="Verdana" w:eastAsia="Calibri" w:hAnsi="Verdana" w:cs="Times New Roman"/>
                              <w:color w:val="0000FF"/>
                              <w:sz w:val="21"/>
                              <w:szCs w:val="21"/>
                              <w:u w:val="single"/>
                            </w:rPr>
                            <w:t>L</w:t>
                          </w:r>
                          <w:r w:rsidRPr="00301A03">
                            <w:rPr>
                              <w:rFonts w:ascii="Verdana" w:eastAsia="Calibri" w:hAnsi="Verdana" w:cs="Times New Roman"/>
                              <w:color w:val="0000FF"/>
                              <w:sz w:val="21"/>
                              <w:szCs w:val="21"/>
                              <w:u w:val="single"/>
                            </w:rPr>
                            <w:t>vLwDKh8khxyqx0hTlWxj3hB1Txg3v99e_8pMoUH27D1eH7Y2hoImcO&amp;eventGroupId=59159&amp;redirectUrl=https://events.bizzabo.com/463714/agenda</w:t>
                          </w:r>
                        </w:hyperlink>
                        <w:r w:rsidRPr="00301A03">
                          <w:rPr>
                            <w:rFonts w:ascii="Verdana" w:eastAsia="Calibri" w:hAnsi="Verdana" w:cs="Times New Roman"/>
                            <w:color w:val="0A0A0A"/>
                            <w:sz w:val="21"/>
                            <w:szCs w:val="21"/>
                          </w:rPr>
                          <w:t xml:space="preserve"> </w:t>
                        </w: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vanish/>
                      <w:color w:val="0A0A0A"/>
                      <w:sz w:val="24"/>
                      <w:szCs w:val="24"/>
                    </w:rPr>
                    <w:t> </w:t>
                  </w:r>
                </w:p>
                <w:p w:rsidR="00301A03" w:rsidRPr="00301A03" w:rsidRDefault="00301A03" w:rsidP="00301A03">
                  <w:pPr>
                    <w:spacing w:after="0" w:line="240" w:lineRule="auto"/>
                    <w:jc w:val="center"/>
                    <w:rPr>
                      <w:rFonts w:ascii="Times New Roman" w:eastAsia="Times New Roman" w:hAnsi="Times New Roman" w:cs="Times New Roman"/>
                      <w:sz w:val="20"/>
                      <w:szCs w:val="20"/>
                    </w:rPr>
                  </w:pPr>
                </w:p>
              </w:tc>
            </w:tr>
          </w:tbl>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color w:val="0A0A0A"/>
                <w:sz w:val="24"/>
                <w:szCs w:val="24"/>
              </w:rPr>
              <w:t> </w:t>
            </w:r>
          </w:p>
          <w:p w:rsidR="00301A03" w:rsidRPr="00301A03" w:rsidRDefault="00301A03" w:rsidP="00301A03">
            <w:pPr>
              <w:spacing w:after="0" w:line="240" w:lineRule="auto"/>
              <w:rPr>
                <w:rFonts w:ascii="Times New Roman" w:eastAsia="Calibri" w:hAnsi="Times New Roman" w:cs="Times New Roman"/>
                <w:sz w:val="24"/>
                <w:szCs w:val="24"/>
              </w:rPr>
            </w:pPr>
            <w:r w:rsidRPr="00301A03">
              <w:rPr>
                <w:rFonts w:ascii="Helvetica" w:eastAsia="Calibri" w:hAnsi="Helvetica" w:cs="Helvetica"/>
                <w:color w:val="0A0A0A"/>
                <w:sz w:val="24"/>
                <w:szCs w:val="24"/>
              </w:rPr>
              <w:t> </w:t>
            </w:r>
          </w:p>
          <w:p w:rsidR="00301A03" w:rsidRPr="00301A03" w:rsidRDefault="00301A03" w:rsidP="00301A03">
            <w:pPr>
              <w:spacing w:after="0" w:line="240" w:lineRule="auto"/>
              <w:rPr>
                <w:rFonts w:ascii="Times New Roman" w:eastAsia="Times New Roman" w:hAnsi="Times New Roman" w:cs="Times New Roman"/>
                <w:sz w:val="20"/>
                <w:szCs w:val="20"/>
              </w:rPr>
            </w:pPr>
          </w:p>
        </w:tc>
      </w:tr>
    </w:tbl>
    <w:p w:rsidR="00525954" w:rsidRDefault="00925D2B">
      <w:r w:rsidRPr="00925D2B">
        <w:t>\\172.22.57.171\PatientReview2\</w:t>
      </w:r>
      <w:proofErr w:type="gramStart"/>
      <w:r w:rsidRPr="00925D2B">
        <w:t>AAA  FLOW</w:t>
      </w:r>
      <w:proofErr w:type="gramEnd"/>
      <w:r w:rsidRPr="00925D2B">
        <w:t xml:space="preserve"> info\Dry exercise files &amp; training\2024</w:t>
      </w:r>
      <w:bookmarkStart w:id="0" w:name="_GoBack"/>
      <w:bookmarkEnd w:id="0"/>
    </w:p>
    <w:sectPr w:rsidR="00525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1031FC"/>
    <w:rsid w:val="00301A03"/>
    <w:rsid w:val="004D7C0A"/>
    <w:rsid w:val="00525954"/>
    <w:rsid w:val="00675B66"/>
    <w:rsid w:val="008842F8"/>
    <w:rsid w:val="00925D2B"/>
    <w:rsid w:val="009A6B70"/>
    <w:rsid w:val="00AA7F86"/>
    <w:rsid w:val="00B32590"/>
    <w:rsid w:val="00B90027"/>
    <w:rsid w:val="00BB50CC"/>
    <w:rsid w:val="00CB1D3B"/>
    <w:rsid w:val="00D23111"/>
    <w:rsid w:val="00E72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BBD6"/>
  <w15:chartTrackingRefBased/>
  <w15:docId w15:val="{9635D77C-7E6E-49DF-BBF8-41D7D194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38695">
      <w:bodyDiv w:val="1"/>
      <w:marLeft w:val="0"/>
      <w:marRight w:val="0"/>
      <w:marTop w:val="0"/>
      <w:marBottom w:val="0"/>
      <w:divBdr>
        <w:top w:val="none" w:sz="0" w:space="0" w:color="auto"/>
        <w:left w:val="none" w:sz="0" w:space="0" w:color="auto"/>
        <w:bottom w:val="none" w:sz="0" w:space="0" w:color="auto"/>
        <w:right w:val="none" w:sz="0" w:space="0" w:color="auto"/>
      </w:divBdr>
    </w:div>
    <w:div w:id="1726221502">
      <w:bodyDiv w:val="1"/>
      <w:marLeft w:val="0"/>
      <w:marRight w:val="0"/>
      <w:marTop w:val="0"/>
      <w:marBottom w:val="0"/>
      <w:divBdr>
        <w:top w:val="none" w:sz="0" w:space="0" w:color="auto"/>
        <w:left w:val="none" w:sz="0" w:space="0" w:color="auto"/>
        <w:bottom w:val="none" w:sz="0" w:space="0" w:color="auto"/>
        <w:right w:val="none" w:sz="0" w:space="0" w:color="auto"/>
      </w:divBdr>
      <w:divsChild>
        <w:div w:id="557909280">
          <w:marLeft w:val="-225"/>
          <w:marRight w:val="-225"/>
          <w:marTop w:val="0"/>
          <w:marBottom w:val="75"/>
          <w:divBdr>
            <w:top w:val="none" w:sz="0" w:space="0" w:color="auto"/>
            <w:left w:val="none" w:sz="0" w:space="0" w:color="auto"/>
            <w:bottom w:val="none" w:sz="0" w:space="0" w:color="auto"/>
            <w:right w:val="none" w:sz="0" w:space="0" w:color="auto"/>
          </w:divBdr>
          <w:divsChild>
            <w:div w:id="1296062955">
              <w:marLeft w:val="0"/>
              <w:marRight w:val="0"/>
              <w:marTop w:val="0"/>
              <w:marBottom w:val="0"/>
              <w:divBdr>
                <w:top w:val="none" w:sz="0" w:space="0" w:color="auto"/>
                <w:left w:val="none" w:sz="0" w:space="0" w:color="auto"/>
                <w:bottom w:val="none" w:sz="0" w:space="0" w:color="auto"/>
                <w:right w:val="none" w:sz="0" w:space="0" w:color="auto"/>
              </w:divBdr>
            </w:div>
          </w:divsChild>
        </w:div>
        <w:div w:id="1802184065">
          <w:marLeft w:val="-225"/>
          <w:marRight w:val="-225"/>
          <w:marTop w:val="0"/>
          <w:marBottom w:val="0"/>
          <w:divBdr>
            <w:top w:val="none" w:sz="0" w:space="0" w:color="auto"/>
            <w:left w:val="none" w:sz="0" w:space="0" w:color="auto"/>
            <w:bottom w:val="none" w:sz="0" w:space="0" w:color="auto"/>
            <w:right w:val="none" w:sz="0" w:space="0" w:color="auto"/>
          </w:divBdr>
          <w:divsChild>
            <w:div w:id="195510302">
              <w:marLeft w:val="0"/>
              <w:marRight w:val="0"/>
              <w:marTop w:val="0"/>
              <w:marBottom w:val="0"/>
              <w:divBdr>
                <w:top w:val="none" w:sz="0" w:space="0" w:color="auto"/>
                <w:left w:val="none" w:sz="0" w:space="0" w:color="auto"/>
                <w:bottom w:val="none" w:sz="0" w:space="0" w:color="auto"/>
                <w:right w:val="none" w:sz="0" w:space="0" w:color="auto"/>
              </w:divBdr>
              <w:divsChild>
                <w:div w:id="499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events.bizzabo.com/auth/emailMagicLogin/verifyRedirect?token=wTIJCLvfcLvLwDKh8khxyqx0hTlWxj3hB1Txg3v99e_8pMoUH27D1eH7Y2hoImcO&amp;eventGroupId=59159&amp;redirectUrl=https:**Aevents.bizzabo.com*463714*agenda__;Ly8vLw!!NDYExDT0u85SdT4!ukVFFWmwmtZcavEF1IVxFlxv_GfiXyy6AlSb0YJZzwi-N1zY-7Vympt8gW_WCRCB5X54GXm1jRscvwTInPowUg$" TargetMode="External"/><Relationship Id="rId4" Type="http://schemas.openxmlformats.org/officeDocument/2006/relationships/image" Target="https://res.cloudinary.com/bizzaboprod/image/upload/q_auto,f_auto,c_scale,c_crop,g_custom/v1677100010/c7moipj6vmxz9xpu2s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Gorniak, Malgorzata</dc:creator>
  <cp:keywords/>
  <dc:description/>
  <cp:lastModifiedBy>Gorniak, Malgorzata</cp:lastModifiedBy>
  <cp:revision>5</cp:revision>
  <dcterms:created xsi:type="dcterms:W3CDTF">2024-08-07T07:11:00Z</dcterms:created>
  <dcterms:modified xsi:type="dcterms:W3CDTF">2024-08-07T07:22:00Z</dcterms:modified>
</cp:coreProperties>
</file>