
<file path=[Content_Types].xml><?xml version="1.0" encoding="utf-8"?>
<Types xmlns="http://schemas.openxmlformats.org/package/2006/content-types">
  <Default Extension="rels" ContentType="application/vnd.openxmlformats-package.relationships+xml"/>
  <Default Extension="xml" ContentType="application/xml"/>
  <Default Extension="83BB1A30"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862" w:rsidRDefault="00D34862" w:rsidP="00D34862">
      <w:pPr>
        <w:rPr>
          <w:rFonts w:ascii="Arial" w:hAnsi="Arial" w:cs="Arial"/>
          <w:color w:val="333333"/>
          <w:sz w:val="22"/>
          <w:szCs w:val="22"/>
        </w:rPr>
      </w:pPr>
    </w:p>
    <w:p w:rsidR="00D34862" w:rsidRDefault="00D34862" w:rsidP="00D34862">
      <w:pPr>
        <w:rPr>
          <w:noProof/>
        </w:rPr>
      </w:pPr>
    </w:p>
    <w:p w:rsidR="00D34862" w:rsidRDefault="00D34862" w:rsidP="00D34862">
      <w:pPr>
        <w:rPr>
          <w:noProof/>
        </w:rPr>
      </w:pPr>
    </w:p>
    <w:p w:rsidR="00D34862" w:rsidRDefault="00D34862" w:rsidP="00D34862">
      <w:pPr>
        <w:rPr>
          <w:rFonts w:ascii="Arial" w:hAnsi="Arial" w:cs="Arial"/>
          <w:color w:val="333333"/>
          <w:sz w:val="22"/>
          <w:szCs w:val="22"/>
        </w:rPr>
      </w:pPr>
      <w:r>
        <w:rPr>
          <w:noProof/>
        </w:rPr>
        <w:drawing>
          <wp:inline distT="0" distB="0" distL="0" distR="0" wp14:anchorId="3A449F21" wp14:editId="6BF2BEB8">
            <wp:extent cx="5943600" cy="848995"/>
            <wp:effectExtent l="0" t="0" r="0" b="8255"/>
            <wp:docPr id="3" name="Picture 1" descr="Title: New bloodborne pathogen exposure process    - Description: New bloodborne pathogen exposure process   "/>
            <wp:cNvGraphicFramePr/>
            <a:graphic xmlns:a="http://schemas.openxmlformats.org/drawingml/2006/main">
              <a:graphicData uri="http://schemas.openxmlformats.org/drawingml/2006/picture">
                <pic:pic xmlns:pic="http://schemas.openxmlformats.org/drawingml/2006/picture">
                  <pic:nvPicPr>
                    <pic:cNvPr id="3" name="Picture 1" descr="Title: New bloodborne pathogen exposure process    - Description: New bloodborne pathogen exposure process   "/>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48995"/>
                    </a:xfrm>
                    <a:prstGeom prst="rect">
                      <a:avLst/>
                    </a:prstGeom>
                    <a:noFill/>
                    <a:ln>
                      <a:noFill/>
                    </a:ln>
                  </pic:spPr>
                </pic:pic>
              </a:graphicData>
            </a:graphic>
          </wp:inline>
        </w:drawing>
      </w:r>
    </w:p>
    <w:p w:rsidR="00D34862" w:rsidRDefault="00D34862" w:rsidP="00D34862">
      <w:pPr>
        <w:rPr>
          <w:rFonts w:ascii="Arial" w:hAnsi="Arial" w:cs="Arial"/>
          <w:color w:val="333333"/>
          <w:sz w:val="22"/>
          <w:szCs w:val="22"/>
        </w:rPr>
      </w:pPr>
    </w:p>
    <w:p w:rsidR="00D34862" w:rsidRDefault="00D34862" w:rsidP="00D34862">
      <w:pPr>
        <w:rPr>
          <w:rFonts w:ascii="Arial" w:hAnsi="Arial" w:cs="Arial"/>
          <w:color w:val="333333"/>
          <w:sz w:val="22"/>
          <w:szCs w:val="22"/>
        </w:rPr>
      </w:pPr>
    </w:p>
    <w:p w:rsidR="00D34862" w:rsidRDefault="00D34862" w:rsidP="00D34862">
      <w:pPr>
        <w:rPr>
          <w:color w:val="333333"/>
          <w:sz w:val="22"/>
          <w:szCs w:val="22"/>
        </w:rPr>
      </w:pPr>
      <w:r>
        <w:rPr>
          <w:rFonts w:ascii="Arial" w:hAnsi="Arial" w:cs="Arial"/>
          <w:color w:val="333333"/>
          <w:sz w:val="22"/>
          <w:szCs w:val="22"/>
        </w:rPr>
        <w:t>Dear Colleagues,</w:t>
      </w:r>
    </w:p>
    <w:p w:rsidR="00D34862" w:rsidRDefault="00D34862" w:rsidP="00D34862">
      <w:pPr>
        <w:rPr>
          <w:color w:val="333333"/>
          <w:sz w:val="22"/>
          <w:szCs w:val="22"/>
        </w:rPr>
      </w:pPr>
      <w:r>
        <w:rPr>
          <w:rFonts w:ascii="Arial" w:hAnsi="Arial" w:cs="Arial"/>
          <w:color w:val="333333"/>
          <w:sz w:val="22"/>
          <w:szCs w:val="22"/>
        </w:rPr>
        <w:t> </w:t>
      </w:r>
    </w:p>
    <w:p w:rsidR="00D34862" w:rsidRDefault="00D34862" w:rsidP="00D34862">
      <w:pPr>
        <w:rPr>
          <w:rFonts w:ascii="Arial" w:hAnsi="Arial" w:cs="Arial"/>
          <w:color w:val="333333"/>
          <w:sz w:val="22"/>
          <w:szCs w:val="22"/>
        </w:rPr>
      </w:pPr>
      <w:r>
        <w:rPr>
          <w:rFonts w:ascii="Arial" w:hAnsi="Arial" w:cs="Arial"/>
          <w:color w:val="333333"/>
          <w:sz w:val="22"/>
          <w:szCs w:val="22"/>
        </w:rPr>
        <w:t xml:space="preserve">Earlier this summer we announced some important changes and enhancements to our Employee Health operations to provide team members better coordinated services, including for exposure protocols. As we continue to enhance our operations, we are further refining our </w:t>
      </w:r>
      <w:proofErr w:type="spellStart"/>
      <w:r>
        <w:rPr>
          <w:rFonts w:ascii="Arial" w:hAnsi="Arial" w:cs="Arial"/>
          <w:color w:val="333333"/>
          <w:sz w:val="22"/>
          <w:szCs w:val="22"/>
        </w:rPr>
        <w:t>bloodborne</w:t>
      </w:r>
      <w:proofErr w:type="spellEnd"/>
      <w:r>
        <w:rPr>
          <w:rFonts w:ascii="Arial" w:hAnsi="Arial" w:cs="Arial"/>
          <w:color w:val="333333"/>
          <w:sz w:val="22"/>
          <w:szCs w:val="22"/>
        </w:rPr>
        <w:t xml:space="preserve"> pathogen exposure process to be more in line with Occupational Safety and Health Administration (OSHA) recommendations.</w:t>
      </w:r>
    </w:p>
    <w:p w:rsidR="00D34862" w:rsidRDefault="00D34862" w:rsidP="00D34862">
      <w:pPr>
        <w:rPr>
          <w:rFonts w:ascii="Arial" w:hAnsi="Arial" w:cs="Arial"/>
          <w:color w:val="333333"/>
          <w:sz w:val="22"/>
          <w:szCs w:val="22"/>
        </w:rPr>
      </w:pPr>
    </w:p>
    <w:p w:rsidR="00D34862" w:rsidRDefault="00D34862" w:rsidP="00D34862">
      <w:pPr>
        <w:rPr>
          <w:color w:val="333333"/>
          <w:sz w:val="22"/>
          <w:szCs w:val="22"/>
        </w:rPr>
      </w:pPr>
      <w:r>
        <w:rPr>
          <w:rFonts w:ascii="Arial" w:hAnsi="Arial" w:cs="Arial"/>
          <w:color w:val="333333"/>
          <w:sz w:val="22"/>
          <w:szCs w:val="22"/>
        </w:rPr>
        <w:t xml:space="preserve">On Sept. 1, Baylor University Medical Center, Baylor Scott &amp; White All Saints Medical Center – Fort Worth and Baylor Scott &amp; White Heart and Vascular Hospital – Dallas will transition to the new process, followed by Baylor Scott &amp; White Medical Center – Waxahachie on Sept. 9. We plan to have all hospitals and clinics follow the new process in the coming weeks. </w:t>
      </w:r>
    </w:p>
    <w:p w:rsidR="00D34862" w:rsidRDefault="00D34862" w:rsidP="00D34862">
      <w:pPr>
        <w:rPr>
          <w:color w:val="333333"/>
          <w:sz w:val="22"/>
          <w:szCs w:val="22"/>
        </w:rPr>
      </w:pPr>
      <w:bookmarkStart w:id="0" w:name="_GoBack"/>
      <w:r>
        <w:rPr>
          <w:rFonts w:ascii="Arial" w:hAnsi="Arial" w:cs="Arial"/>
          <w:color w:val="333333"/>
          <w:sz w:val="22"/>
          <w:szCs w:val="22"/>
        </w:rPr>
        <w:t> </w:t>
      </w:r>
    </w:p>
    <w:bookmarkEnd w:id="0"/>
    <w:p w:rsidR="00D34862" w:rsidRPr="00D34862" w:rsidRDefault="00D34862" w:rsidP="00D34862">
      <w:pPr>
        <w:rPr>
          <w:color w:val="333333"/>
          <w:sz w:val="22"/>
          <w:szCs w:val="22"/>
        </w:rPr>
      </w:pPr>
      <w:proofErr w:type="gramStart"/>
      <w:r w:rsidRPr="00D34862">
        <w:rPr>
          <w:rFonts w:ascii="Arial" w:hAnsi="Arial" w:cs="Arial"/>
          <w:b/>
          <w:bCs/>
          <w:color w:val="333333"/>
          <w:sz w:val="22"/>
          <w:szCs w:val="22"/>
        </w:rPr>
        <w:t>What’s</w:t>
      </w:r>
      <w:proofErr w:type="gramEnd"/>
      <w:r w:rsidRPr="00D34862">
        <w:rPr>
          <w:rFonts w:ascii="Arial" w:hAnsi="Arial" w:cs="Arial"/>
          <w:b/>
          <w:bCs/>
          <w:color w:val="333333"/>
          <w:sz w:val="22"/>
          <w:szCs w:val="22"/>
        </w:rPr>
        <w:t xml:space="preserve"> changing:</w:t>
      </w:r>
    </w:p>
    <w:p w:rsidR="00D34862" w:rsidRPr="00D34862" w:rsidRDefault="00D34862" w:rsidP="00D34862">
      <w:pPr>
        <w:numPr>
          <w:ilvl w:val="0"/>
          <w:numId w:val="1"/>
        </w:numPr>
        <w:rPr>
          <w:rFonts w:ascii="Arial" w:eastAsia="Times New Roman" w:hAnsi="Arial" w:cs="Arial"/>
          <w:color w:val="333333"/>
          <w:sz w:val="22"/>
          <w:szCs w:val="22"/>
        </w:rPr>
      </w:pPr>
      <w:r w:rsidRPr="00D34862">
        <w:rPr>
          <w:rFonts w:ascii="Arial" w:eastAsia="Times New Roman" w:hAnsi="Arial" w:cs="Arial"/>
          <w:color w:val="333333"/>
          <w:sz w:val="22"/>
          <w:szCs w:val="22"/>
        </w:rPr>
        <w:t xml:space="preserve">Immediately upon exposure, employees will be required to notify their immediate supervisor or the house supervisor </w:t>
      </w:r>
      <w:r w:rsidRPr="00D34862">
        <w:rPr>
          <w:rFonts w:ascii="Arial" w:eastAsia="Times New Roman" w:hAnsi="Arial" w:cs="Arial"/>
          <w:b/>
          <w:bCs/>
          <w:color w:val="333333"/>
          <w:sz w:val="22"/>
          <w:szCs w:val="22"/>
        </w:rPr>
        <w:t xml:space="preserve">and call the new </w:t>
      </w:r>
      <w:proofErr w:type="spellStart"/>
      <w:r w:rsidRPr="00D34862">
        <w:rPr>
          <w:rFonts w:ascii="Arial" w:eastAsia="Times New Roman" w:hAnsi="Arial" w:cs="Arial"/>
          <w:b/>
          <w:bCs/>
          <w:color w:val="333333"/>
          <w:sz w:val="22"/>
          <w:szCs w:val="22"/>
        </w:rPr>
        <w:t>Needlestick</w:t>
      </w:r>
      <w:proofErr w:type="spellEnd"/>
      <w:r w:rsidRPr="00D34862">
        <w:rPr>
          <w:rFonts w:ascii="Arial" w:eastAsia="Times New Roman" w:hAnsi="Arial" w:cs="Arial"/>
          <w:b/>
          <w:bCs/>
          <w:color w:val="333333"/>
          <w:sz w:val="22"/>
          <w:szCs w:val="22"/>
        </w:rPr>
        <w:t xml:space="preserve"> Hotline at 1-877-BSW-STIK (or 1-877-279-7845)</w:t>
      </w:r>
    </w:p>
    <w:p w:rsidR="00D34862" w:rsidRPr="00D34862" w:rsidRDefault="00D34862" w:rsidP="00D34862">
      <w:pPr>
        <w:numPr>
          <w:ilvl w:val="0"/>
          <w:numId w:val="1"/>
        </w:numPr>
        <w:rPr>
          <w:rFonts w:ascii="Arial" w:eastAsia="Times New Roman" w:hAnsi="Arial" w:cs="Arial"/>
          <w:color w:val="333333"/>
          <w:sz w:val="22"/>
          <w:szCs w:val="22"/>
        </w:rPr>
      </w:pPr>
      <w:r w:rsidRPr="00D34862">
        <w:rPr>
          <w:rFonts w:ascii="Arial" w:eastAsia="Times New Roman" w:hAnsi="Arial" w:cs="Arial"/>
          <w:color w:val="333333"/>
          <w:sz w:val="22"/>
          <w:szCs w:val="22"/>
        </w:rPr>
        <w:t xml:space="preserve">Employees will no longer have baseline labs drawn unless the source is unknown or positive. Exposure panel labs </w:t>
      </w:r>
      <w:proofErr w:type="gramStart"/>
      <w:r w:rsidRPr="00D34862">
        <w:rPr>
          <w:rFonts w:ascii="Arial" w:eastAsia="Times New Roman" w:hAnsi="Arial" w:cs="Arial"/>
          <w:color w:val="333333"/>
          <w:sz w:val="22"/>
          <w:szCs w:val="22"/>
        </w:rPr>
        <w:t>will be ordered</w:t>
      </w:r>
      <w:proofErr w:type="gramEnd"/>
      <w:r w:rsidRPr="00D34862">
        <w:rPr>
          <w:rFonts w:ascii="Arial" w:eastAsia="Times New Roman" w:hAnsi="Arial" w:cs="Arial"/>
          <w:color w:val="333333"/>
          <w:sz w:val="22"/>
          <w:szCs w:val="22"/>
        </w:rPr>
        <w:t xml:space="preserve"> on the source/patient. </w:t>
      </w:r>
    </w:p>
    <w:p w:rsidR="00D34862" w:rsidRPr="00D34862" w:rsidRDefault="00D34862" w:rsidP="00D34862">
      <w:pPr>
        <w:numPr>
          <w:ilvl w:val="0"/>
          <w:numId w:val="1"/>
        </w:numPr>
        <w:rPr>
          <w:rFonts w:ascii="Arial" w:eastAsia="Times New Roman" w:hAnsi="Arial" w:cs="Arial"/>
          <w:color w:val="333333"/>
          <w:sz w:val="22"/>
          <w:szCs w:val="22"/>
        </w:rPr>
      </w:pPr>
      <w:r w:rsidRPr="00D34862">
        <w:rPr>
          <w:rFonts w:ascii="Arial" w:eastAsia="Times New Roman" w:hAnsi="Arial" w:cs="Arial"/>
          <w:color w:val="333333"/>
          <w:sz w:val="22"/>
          <w:szCs w:val="22"/>
        </w:rPr>
        <w:t xml:space="preserve">The lab will then report results back to the </w:t>
      </w:r>
      <w:proofErr w:type="spellStart"/>
      <w:r w:rsidRPr="00D34862">
        <w:rPr>
          <w:rFonts w:ascii="Arial" w:eastAsia="Times New Roman" w:hAnsi="Arial" w:cs="Arial"/>
          <w:color w:val="333333"/>
          <w:sz w:val="22"/>
          <w:szCs w:val="22"/>
        </w:rPr>
        <w:t>Needlestick</w:t>
      </w:r>
      <w:proofErr w:type="spellEnd"/>
      <w:r w:rsidRPr="00D34862">
        <w:rPr>
          <w:rFonts w:ascii="Arial" w:eastAsia="Times New Roman" w:hAnsi="Arial" w:cs="Arial"/>
          <w:color w:val="333333"/>
          <w:sz w:val="22"/>
          <w:szCs w:val="22"/>
        </w:rPr>
        <w:t xml:space="preserve"> Hotline and a member of the Employee Health team will notify the employee of the results:</w:t>
      </w:r>
    </w:p>
    <w:p w:rsidR="00D34862" w:rsidRPr="00D34862" w:rsidRDefault="00D34862" w:rsidP="00D34862">
      <w:pPr>
        <w:numPr>
          <w:ilvl w:val="1"/>
          <w:numId w:val="1"/>
        </w:numPr>
        <w:rPr>
          <w:rFonts w:ascii="Arial" w:eastAsia="Times New Roman" w:hAnsi="Arial" w:cs="Arial"/>
          <w:color w:val="333333"/>
          <w:sz w:val="22"/>
          <w:szCs w:val="22"/>
        </w:rPr>
      </w:pPr>
      <w:r w:rsidRPr="00D34862">
        <w:rPr>
          <w:rFonts w:ascii="Arial" w:eastAsia="Times New Roman" w:hAnsi="Arial" w:cs="Arial"/>
          <w:color w:val="333333"/>
          <w:sz w:val="22"/>
          <w:szCs w:val="22"/>
        </w:rPr>
        <w:t xml:space="preserve">If negative, no further action is needed at that time and Employee Health will follow-up with the rest of the lab results as applicable </w:t>
      </w:r>
    </w:p>
    <w:p w:rsidR="00D34862" w:rsidRPr="00D34862" w:rsidRDefault="00D34862" w:rsidP="00D34862">
      <w:pPr>
        <w:numPr>
          <w:ilvl w:val="1"/>
          <w:numId w:val="1"/>
        </w:numPr>
        <w:rPr>
          <w:rFonts w:ascii="Arial" w:eastAsia="Times New Roman" w:hAnsi="Arial" w:cs="Arial"/>
          <w:color w:val="333333"/>
          <w:sz w:val="22"/>
          <w:szCs w:val="22"/>
        </w:rPr>
      </w:pPr>
      <w:r w:rsidRPr="00D34862">
        <w:rPr>
          <w:rFonts w:ascii="Arial" w:eastAsia="Times New Roman" w:hAnsi="Arial" w:cs="Arial"/>
          <w:color w:val="333333"/>
          <w:sz w:val="22"/>
          <w:szCs w:val="22"/>
        </w:rPr>
        <w:t>If positive, employees will get baseline testing completed and be offered counseling and treatment</w:t>
      </w:r>
    </w:p>
    <w:p w:rsidR="00D34862" w:rsidRPr="00D34862" w:rsidRDefault="00D34862" w:rsidP="00D34862">
      <w:pPr>
        <w:numPr>
          <w:ilvl w:val="0"/>
          <w:numId w:val="1"/>
        </w:numPr>
        <w:rPr>
          <w:rFonts w:ascii="Arial" w:eastAsia="Times New Roman" w:hAnsi="Arial" w:cs="Arial"/>
          <w:color w:val="333333"/>
          <w:sz w:val="22"/>
          <w:szCs w:val="22"/>
        </w:rPr>
      </w:pPr>
      <w:r w:rsidRPr="00D34862">
        <w:rPr>
          <w:rFonts w:ascii="Arial" w:eastAsia="Times New Roman" w:hAnsi="Arial" w:cs="Arial"/>
          <w:color w:val="333333"/>
          <w:sz w:val="22"/>
          <w:szCs w:val="22"/>
        </w:rPr>
        <w:t>Employees will still need to complete a MIDAS form for their exposure</w:t>
      </w:r>
    </w:p>
    <w:p w:rsidR="00D34862" w:rsidRPr="00D34862" w:rsidRDefault="00D34862" w:rsidP="00D34862">
      <w:pPr>
        <w:pStyle w:val="NoSpacing"/>
        <w:rPr>
          <w:color w:val="333333"/>
          <w:sz w:val="22"/>
          <w:szCs w:val="22"/>
        </w:rPr>
      </w:pPr>
      <w:r w:rsidRPr="00D34862">
        <w:rPr>
          <w:rFonts w:ascii="Arial" w:hAnsi="Arial" w:cs="Arial"/>
          <w:color w:val="333333"/>
          <w:sz w:val="22"/>
          <w:szCs w:val="22"/>
        </w:rPr>
        <w:t> </w:t>
      </w:r>
    </w:p>
    <w:p w:rsidR="00D34862" w:rsidRPr="00D34862" w:rsidRDefault="00D34862" w:rsidP="00D34862">
      <w:pPr>
        <w:rPr>
          <w:color w:val="333333"/>
          <w:sz w:val="22"/>
          <w:szCs w:val="22"/>
        </w:rPr>
      </w:pPr>
      <w:r w:rsidRPr="00D34862">
        <w:rPr>
          <w:rFonts w:ascii="Arial" w:hAnsi="Arial" w:cs="Arial"/>
          <w:color w:val="333333"/>
          <w:sz w:val="22"/>
          <w:szCs w:val="22"/>
        </w:rPr>
        <w:t xml:space="preserve">Employee Health members will be conducting more in-depth training at each facility over the next few weeks. The exposure packet and incident report forms are available on the </w:t>
      </w:r>
      <w:hyperlink r:id="rId6" w:history="1">
        <w:r w:rsidRPr="00D34862">
          <w:rPr>
            <w:rStyle w:val="Hyperlink"/>
            <w:rFonts w:ascii="Arial" w:hAnsi="Arial" w:cs="Arial"/>
            <w:sz w:val="22"/>
            <w:szCs w:val="22"/>
          </w:rPr>
          <w:t>Employee Health resource site</w:t>
        </w:r>
      </w:hyperlink>
      <w:r w:rsidRPr="00D34862">
        <w:rPr>
          <w:rFonts w:ascii="Arial" w:hAnsi="Arial" w:cs="Arial"/>
          <w:color w:val="333333"/>
          <w:sz w:val="22"/>
          <w:szCs w:val="22"/>
        </w:rPr>
        <w:t xml:space="preserve">. </w:t>
      </w:r>
    </w:p>
    <w:p w:rsidR="00D34862" w:rsidRPr="00D34862" w:rsidRDefault="00D34862" w:rsidP="00D34862">
      <w:pPr>
        <w:rPr>
          <w:rFonts w:ascii="Calibri" w:hAnsi="Calibri"/>
          <w:sz w:val="22"/>
          <w:szCs w:val="22"/>
        </w:rPr>
      </w:pPr>
    </w:p>
    <w:p w:rsidR="00D34862" w:rsidRPr="00D34862" w:rsidRDefault="00D34862" w:rsidP="00D34862">
      <w:pPr>
        <w:rPr>
          <w:rFonts w:ascii="Arial" w:hAnsi="Arial" w:cs="Arial"/>
          <w:color w:val="333333"/>
          <w:sz w:val="22"/>
          <w:szCs w:val="22"/>
        </w:rPr>
      </w:pPr>
      <w:r w:rsidRPr="00D34862">
        <w:rPr>
          <w:rFonts w:ascii="Arial" w:hAnsi="Arial" w:cs="Arial"/>
          <w:color w:val="333333"/>
          <w:sz w:val="22"/>
          <w:szCs w:val="22"/>
        </w:rPr>
        <w:t xml:space="preserve">Should you have any questions, please email Nicki Souza at </w:t>
      </w:r>
      <w:hyperlink r:id="rId7" w:history="1">
        <w:r w:rsidRPr="00D34862">
          <w:rPr>
            <w:rStyle w:val="Hyperlink"/>
            <w:rFonts w:ascii="Arial" w:hAnsi="Arial" w:cs="Arial"/>
            <w:sz w:val="22"/>
            <w:szCs w:val="22"/>
          </w:rPr>
          <w:t>Nicole.Souza@BSWHealth.org</w:t>
        </w:r>
      </w:hyperlink>
      <w:r w:rsidRPr="00D34862">
        <w:rPr>
          <w:rFonts w:ascii="Arial" w:hAnsi="Arial" w:cs="Arial"/>
          <w:color w:val="333333"/>
          <w:sz w:val="22"/>
          <w:szCs w:val="22"/>
        </w:rPr>
        <w:t xml:space="preserve">. </w:t>
      </w:r>
      <w:r w:rsidRPr="00D34862">
        <w:t> </w:t>
      </w:r>
    </w:p>
    <w:p w:rsidR="00D34862" w:rsidRPr="00D34862" w:rsidRDefault="00D34862" w:rsidP="00D34862">
      <w:pPr>
        <w:rPr>
          <w:rFonts w:ascii="Arial" w:hAnsi="Arial" w:cs="Arial"/>
          <w:color w:val="333333"/>
          <w:sz w:val="22"/>
          <w:szCs w:val="22"/>
        </w:rPr>
      </w:pPr>
    </w:p>
    <w:p w:rsidR="00D34862" w:rsidRPr="00D34862" w:rsidRDefault="00D34862" w:rsidP="00D34862">
      <w:pPr>
        <w:rPr>
          <w:rFonts w:ascii="Arial" w:hAnsi="Arial" w:cs="Arial"/>
          <w:color w:val="333333"/>
          <w:sz w:val="22"/>
          <w:szCs w:val="22"/>
        </w:rPr>
      </w:pPr>
      <w:r w:rsidRPr="00D34862">
        <w:rPr>
          <w:rFonts w:ascii="Arial" w:hAnsi="Arial" w:cs="Arial"/>
          <w:color w:val="333333"/>
          <w:sz w:val="22"/>
          <w:szCs w:val="22"/>
        </w:rPr>
        <w:t xml:space="preserve">Thank you for your support as we continue to enhance our patient and employee clinical safety processes. </w:t>
      </w:r>
    </w:p>
    <w:p w:rsidR="00D34862" w:rsidRPr="00D34862" w:rsidRDefault="00D34862" w:rsidP="00D34862">
      <w:pPr>
        <w:rPr>
          <w:rFonts w:ascii="Arial" w:hAnsi="Arial" w:cs="Arial"/>
          <w:color w:val="333333"/>
          <w:sz w:val="22"/>
          <w:szCs w:val="22"/>
        </w:rPr>
      </w:pPr>
    </w:p>
    <w:p w:rsidR="00D34862" w:rsidRDefault="00D34862" w:rsidP="00D34862">
      <w:pPr>
        <w:rPr>
          <w:color w:val="333333"/>
          <w:sz w:val="22"/>
          <w:szCs w:val="22"/>
        </w:rPr>
      </w:pPr>
      <w:r w:rsidRPr="00D34862">
        <w:rPr>
          <w:rFonts w:ascii="Arial" w:hAnsi="Arial" w:cs="Arial"/>
          <w:color w:val="333333"/>
          <w:sz w:val="22"/>
          <w:szCs w:val="22"/>
        </w:rPr>
        <w:t>Sincerely,</w:t>
      </w:r>
      <w:r>
        <w:rPr>
          <w:rFonts w:ascii="Arial" w:hAnsi="Arial" w:cs="Arial"/>
          <w:color w:val="333333"/>
          <w:sz w:val="22"/>
          <w:szCs w:val="22"/>
        </w:rPr>
        <w:t xml:space="preserve"> </w:t>
      </w:r>
    </w:p>
    <w:p w:rsidR="00D34862" w:rsidRDefault="00D34862" w:rsidP="00D34862">
      <w:pPr>
        <w:rPr>
          <w:rFonts w:ascii="Arial" w:hAnsi="Arial" w:cs="Arial"/>
          <w:sz w:val="22"/>
          <w:szCs w:val="22"/>
        </w:rPr>
      </w:pPr>
    </w:p>
    <w:tbl>
      <w:tblPr>
        <w:tblW w:w="7200" w:type="dxa"/>
        <w:tblCellMar>
          <w:left w:w="0" w:type="dxa"/>
          <w:right w:w="0" w:type="dxa"/>
        </w:tblCellMar>
        <w:tblLook w:val="04A0" w:firstRow="1" w:lastRow="0" w:firstColumn="1" w:lastColumn="0" w:noHBand="0" w:noVBand="1"/>
      </w:tblPr>
      <w:tblGrid>
        <w:gridCol w:w="7200"/>
      </w:tblGrid>
      <w:tr w:rsidR="00D34862" w:rsidTr="00D34862">
        <w:tc>
          <w:tcPr>
            <w:tcW w:w="5035" w:type="dxa"/>
            <w:hideMark/>
          </w:tcPr>
          <w:p w:rsidR="00D34862" w:rsidRDefault="00D34862">
            <w:pPr>
              <w:rPr>
                <w:rFonts w:ascii="Arial" w:hAnsi="Arial" w:cs="Arial"/>
                <w:sz w:val="22"/>
                <w:szCs w:val="22"/>
              </w:rPr>
            </w:pPr>
          </w:p>
        </w:tc>
      </w:tr>
      <w:tr w:rsidR="00D34862" w:rsidTr="00D34862">
        <w:tc>
          <w:tcPr>
            <w:tcW w:w="5035" w:type="dxa"/>
            <w:hideMark/>
          </w:tcPr>
          <w:p w:rsidR="00D34862" w:rsidRDefault="00D34862">
            <w:pPr>
              <w:spacing w:line="252" w:lineRule="auto"/>
              <w:rPr>
                <w:rFonts w:ascii="Arial" w:hAnsi="Arial" w:cs="Arial"/>
                <w:color w:val="333333"/>
                <w:sz w:val="22"/>
                <w:szCs w:val="22"/>
              </w:rPr>
            </w:pPr>
            <w:r>
              <w:rPr>
                <w:rFonts w:ascii="Arial" w:hAnsi="Arial" w:cs="Arial"/>
                <w:b/>
                <w:bCs/>
                <w:color w:val="333333"/>
                <w:sz w:val="22"/>
                <w:szCs w:val="22"/>
              </w:rPr>
              <w:t>The Employee Health Team</w:t>
            </w:r>
          </w:p>
        </w:tc>
      </w:tr>
    </w:tbl>
    <w:p w:rsidR="00D34862" w:rsidRDefault="00D34862" w:rsidP="00D34862">
      <w:pPr>
        <w:rPr>
          <w:rFonts w:ascii="Arial" w:hAnsi="Arial" w:cs="Arial"/>
          <w:sz w:val="22"/>
          <w:szCs w:val="22"/>
        </w:rPr>
      </w:pPr>
    </w:p>
    <w:p w:rsidR="00AC1104" w:rsidRDefault="00AC1104"/>
    <w:sectPr w:rsidR="00AC1104" w:rsidSect="00D348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516"/>
    <w:multiLevelType w:val="multilevel"/>
    <w:tmpl w:val="866C6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62"/>
    <w:rsid w:val="00AC1104"/>
    <w:rsid w:val="00D3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46EA"/>
  <w15:chartTrackingRefBased/>
  <w15:docId w15:val="{2F873141-6841-4093-9E77-196E608D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86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4862"/>
    <w:rPr>
      <w:color w:val="0000FF"/>
      <w:u w:val="single"/>
    </w:rPr>
  </w:style>
  <w:style w:type="paragraph" w:styleId="NoSpacing">
    <w:name w:val="No Spacing"/>
    <w:basedOn w:val="Normal"/>
    <w:uiPriority w:val="1"/>
    <w:qFormat/>
    <w:rsid w:val="00D34862"/>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2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cole.Souza@BSWHeal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proofpoint.com/v2/url?u=https-3A__bsw.pmail4.com_PoliteMail_default.aspx-3Fpage-3DJnye2q-2D7V0CIwdqVoyDgUg-26ref-5Fid-3De5ag7HlxjkSp5g8Z89MZdA&amp;d=DwMGaQ&amp;c=qhent5lL-8Lans1hhN7NTGhSd0GBLfQfwUvzHj1D5tQ&amp;r=pbNUTWWf1H35W7isCoIFFtY-lb2g_x9Zvvh1TRPJBe4&amp;m=ZQeStVVJNBPPBWGsDcX-y1c0p-im3p11iT2KOc6KAY8&amp;s=-my6iRCFsENp1wfdUmW3BxR5UHf0brWcKD5Lj3YU53o&amp;e=" TargetMode="External"/><Relationship Id="rId5" Type="http://schemas.openxmlformats.org/officeDocument/2006/relationships/image" Target="media/image1.83BB1A30"/><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Baylor Scott and White Health</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Lingenfelter, Lisa D.</dc:creator>
  <cp:keywords/>
  <dc:description/>
  <cp:lastModifiedBy>Lingenfelter, Lisa D.</cp:lastModifiedBy>
  <cp:revision>1</cp:revision>
  <dcterms:created xsi:type="dcterms:W3CDTF">2019-09-09T14:35:00Z</dcterms:created>
  <dcterms:modified xsi:type="dcterms:W3CDTF">2019-09-09T14:39:00Z</dcterms:modified>
</cp:coreProperties>
</file>