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A91" w:rsidRDefault="00CF7A91" w:rsidP="00CF7A91">
      <w:pPr>
        <w:jc w:val="center"/>
        <w:rPr>
          <w:b/>
          <w:bCs/>
          <w:sz w:val="28"/>
        </w:rPr>
      </w:pPr>
      <w:r>
        <w:rPr>
          <w:b/>
          <w:bCs/>
          <w:sz w:val="28"/>
        </w:rPr>
        <w:t xml:space="preserve">St. Elizabeth’s </w:t>
      </w:r>
      <w:smartTag w:uri="urn:schemas-microsoft-com:office:smarttags" w:element="place">
        <w:smartTag w:uri="urn:schemas-microsoft-com:office:smarttags" w:element="PlaceName">
          <w:r>
            <w:rPr>
              <w:b/>
              <w:bCs/>
              <w:sz w:val="28"/>
            </w:rPr>
            <w:t>Medical</w:t>
          </w:r>
        </w:smartTag>
        <w:r>
          <w:rPr>
            <w:b/>
            <w:bCs/>
            <w:sz w:val="28"/>
          </w:rPr>
          <w:t xml:space="preserve"> </w:t>
        </w:r>
        <w:smartTag w:uri="urn:schemas-microsoft-com:office:smarttags" w:element="PlaceType">
          <w:r>
            <w:rPr>
              <w:b/>
              <w:bCs/>
              <w:sz w:val="28"/>
            </w:rPr>
            <w:t>Center</w:t>
          </w:r>
        </w:smartTag>
      </w:smartTag>
    </w:p>
    <w:p w:rsidR="00CF7A91" w:rsidRPr="00A471FB" w:rsidRDefault="00CF7A91" w:rsidP="00CF7A91">
      <w:pPr>
        <w:jc w:val="center"/>
        <w:rPr>
          <w:b/>
          <w:bCs/>
          <w:sz w:val="28"/>
        </w:rPr>
      </w:pPr>
      <w:r w:rsidRPr="00A471FB">
        <w:rPr>
          <w:b/>
          <w:bCs/>
          <w:sz w:val="28"/>
        </w:rPr>
        <w:t>Department of Laboratory Services</w:t>
      </w:r>
    </w:p>
    <w:p w:rsidR="00CF7A91" w:rsidRDefault="00CF7A91" w:rsidP="00CF7A91">
      <w:pPr>
        <w:jc w:val="cent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CF7A91" w:rsidTr="008E7A82">
        <w:tc>
          <w:tcPr>
            <w:tcW w:w="9576" w:type="dxa"/>
          </w:tcPr>
          <w:p w:rsidR="00CF7A91" w:rsidRDefault="00CF7A91" w:rsidP="008E7A82">
            <w:pPr>
              <w:jc w:val="center"/>
              <w:rPr>
                <w:b/>
                <w:bCs/>
              </w:rPr>
            </w:pPr>
            <w:r>
              <w:rPr>
                <w:b/>
                <w:bCs/>
              </w:rPr>
              <w:t xml:space="preserve">                                                                                             </w:t>
            </w:r>
            <w:r w:rsidR="00E91A72">
              <w:rPr>
                <w:b/>
                <w:bCs/>
              </w:rPr>
              <w:t xml:space="preserve"> </w:t>
            </w:r>
            <w:r w:rsidR="002141C7">
              <w:rPr>
                <w:b/>
                <w:bCs/>
              </w:rPr>
              <w:t xml:space="preserve">   </w:t>
            </w:r>
            <w:r w:rsidR="009A6B42">
              <w:rPr>
                <w:b/>
                <w:bCs/>
              </w:rPr>
              <w:t>POLICY NO: SE.</w:t>
            </w:r>
            <w:r w:rsidR="002141C7">
              <w:rPr>
                <w:b/>
                <w:bCs/>
              </w:rPr>
              <w:t>MIC</w:t>
            </w:r>
            <w:r w:rsidR="00887A58">
              <w:rPr>
                <w:b/>
                <w:bCs/>
              </w:rPr>
              <w:t>.02.0054.01</w:t>
            </w:r>
          </w:p>
          <w:p w:rsidR="00CF7A91" w:rsidRDefault="00CF7A91" w:rsidP="008E7A82">
            <w:pPr>
              <w:jc w:val="center"/>
              <w:rPr>
                <w:b/>
                <w:bCs/>
              </w:rPr>
            </w:pPr>
          </w:p>
          <w:p w:rsidR="00CF7A91" w:rsidRDefault="00914F40" w:rsidP="00784DCF">
            <w:pPr>
              <w:rPr>
                <w:b/>
                <w:bCs/>
              </w:rPr>
            </w:pPr>
            <w:r>
              <w:rPr>
                <w:b/>
                <w:bCs/>
              </w:rPr>
              <w:t>SUBJECT:</w:t>
            </w:r>
            <w:r w:rsidR="00CF7A91">
              <w:rPr>
                <w:b/>
                <w:bCs/>
              </w:rPr>
              <w:t xml:space="preserve"> </w:t>
            </w:r>
            <w:r w:rsidR="00923D83" w:rsidRPr="005568D7">
              <w:rPr>
                <w:rFonts w:eastAsia="Calibri"/>
                <w:b/>
                <w:bCs/>
              </w:rPr>
              <w:t xml:space="preserve">Xpert </w:t>
            </w:r>
            <w:r w:rsidR="00CF7A91" w:rsidRPr="005568D7">
              <w:rPr>
                <w:b/>
                <w:bCs/>
              </w:rPr>
              <w:t xml:space="preserve"> </w:t>
            </w:r>
            <w:r w:rsidR="00923D83" w:rsidRPr="005568D7">
              <w:rPr>
                <w:rFonts w:eastAsia="Calibri"/>
                <w:b/>
                <w:bCs/>
              </w:rPr>
              <w:t>Flu/RSV XC</w:t>
            </w:r>
            <w:r w:rsidR="00CF7A91">
              <w:rPr>
                <w:b/>
                <w:bCs/>
              </w:rPr>
              <w:t xml:space="preserve">         </w:t>
            </w:r>
          </w:p>
        </w:tc>
      </w:tr>
      <w:tr w:rsidR="00CF7A91" w:rsidTr="008E7A82">
        <w:tc>
          <w:tcPr>
            <w:tcW w:w="9576" w:type="dxa"/>
          </w:tcPr>
          <w:p w:rsidR="00B07FB8" w:rsidRDefault="00CF7A91" w:rsidP="00B07FB8">
            <w:pPr>
              <w:rPr>
                <w:b/>
                <w:bCs/>
              </w:rPr>
            </w:pPr>
            <w:r>
              <w:rPr>
                <w:b/>
                <w:bCs/>
              </w:rPr>
              <w:t xml:space="preserve">  </w:t>
            </w:r>
          </w:p>
          <w:p w:rsidR="00CF7A91" w:rsidRDefault="00CF7A91" w:rsidP="00B07FB8">
            <w:pPr>
              <w:rPr>
                <w:b/>
                <w:bCs/>
              </w:rPr>
            </w:pPr>
            <w:r>
              <w:rPr>
                <w:b/>
                <w:bCs/>
              </w:rPr>
              <w:t>Effective Date:</w:t>
            </w:r>
            <w:r w:rsidR="00D138D4">
              <w:rPr>
                <w:b/>
                <w:bCs/>
              </w:rPr>
              <w:t xml:space="preserve"> </w:t>
            </w:r>
            <w:r w:rsidR="001D4503">
              <w:rPr>
                <w:b/>
                <w:bCs/>
              </w:rPr>
              <w:t xml:space="preserve"> 11</w:t>
            </w:r>
            <w:r w:rsidR="003B7987">
              <w:rPr>
                <w:b/>
                <w:bCs/>
              </w:rPr>
              <w:t>/16</w:t>
            </w:r>
          </w:p>
        </w:tc>
      </w:tr>
      <w:tr w:rsidR="00CF7A91" w:rsidTr="008E7A82">
        <w:tc>
          <w:tcPr>
            <w:tcW w:w="9576" w:type="dxa"/>
          </w:tcPr>
          <w:p w:rsidR="00CF7A91" w:rsidRDefault="00CF7A91" w:rsidP="008E7A82">
            <w:pPr>
              <w:rPr>
                <w:b/>
                <w:bCs/>
              </w:rPr>
            </w:pPr>
            <w:r>
              <w:rPr>
                <w:b/>
                <w:bCs/>
              </w:rPr>
              <w:t xml:space="preserve"> </w:t>
            </w:r>
          </w:p>
          <w:p w:rsidR="00CF7A91" w:rsidRDefault="00E91A72" w:rsidP="00D231CB">
            <w:pPr>
              <w:rPr>
                <w:b/>
                <w:bCs/>
              </w:rPr>
            </w:pPr>
            <w:r>
              <w:rPr>
                <w:b/>
                <w:bCs/>
              </w:rPr>
              <w:t xml:space="preserve">Supersedes: </w:t>
            </w:r>
            <w:r w:rsidR="00D231CB">
              <w:rPr>
                <w:b/>
                <w:bCs/>
              </w:rPr>
              <w:t>none</w:t>
            </w:r>
          </w:p>
        </w:tc>
      </w:tr>
      <w:tr w:rsidR="00CF7A91" w:rsidTr="008E7A82">
        <w:tc>
          <w:tcPr>
            <w:tcW w:w="9576" w:type="dxa"/>
          </w:tcPr>
          <w:p w:rsidR="00CF7A91" w:rsidRDefault="00CF7A91" w:rsidP="008E7A82">
            <w:pPr>
              <w:rPr>
                <w:b/>
                <w:bCs/>
              </w:rPr>
            </w:pPr>
          </w:p>
          <w:p w:rsidR="00CF7A91" w:rsidRDefault="00CF7A91" w:rsidP="008E7A82">
            <w:pPr>
              <w:rPr>
                <w:b/>
                <w:bCs/>
              </w:rPr>
            </w:pPr>
            <w:r>
              <w:rPr>
                <w:b/>
                <w:bCs/>
              </w:rPr>
              <w:t>Medical Director:  David Ricklan, MD, Ph.D</w:t>
            </w:r>
          </w:p>
        </w:tc>
      </w:tr>
      <w:tr w:rsidR="00CF7A91" w:rsidTr="008E7A82">
        <w:tc>
          <w:tcPr>
            <w:tcW w:w="9576" w:type="dxa"/>
          </w:tcPr>
          <w:p w:rsidR="00CF7A91" w:rsidRDefault="00CF7A91" w:rsidP="008E7A82">
            <w:pPr>
              <w:rPr>
                <w:b/>
                <w:bCs/>
              </w:rPr>
            </w:pPr>
          </w:p>
          <w:p w:rsidR="00CF7A91" w:rsidRDefault="00CF7A91" w:rsidP="008E7A82">
            <w:pPr>
              <w:rPr>
                <w:b/>
                <w:bCs/>
              </w:rPr>
            </w:pPr>
            <w:r>
              <w:rPr>
                <w:b/>
                <w:bCs/>
              </w:rPr>
              <w:t>Administrative Director: Nicholaos Tsaniklides, MT (ASCP)</w:t>
            </w:r>
            <w:r w:rsidR="001E6591">
              <w:rPr>
                <w:b/>
                <w:bCs/>
              </w:rPr>
              <w:t xml:space="preserve"> MSM</w:t>
            </w:r>
          </w:p>
        </w:tc>
      </w:tr>
      <w:tr w:rsidR="00CF7A91" w:rsidTr="008E7A82">
        <w:tc>
          <w:tcPr>
            <w:tcW w:w="9576" w:type="dxa"/>
          </w:tcPr>
          <w:p w:rsidR="00CF7A91" w:rsidRDefault="00CF7A91" w:rsidP="008E7A82">
            <w:pPr>
              <w:rPr>
                <w:b/>
                <w:bCs/>
              </w:rPr>
            </w:pPr>
          </w:p>
          <w:p w:rsidR="00CF7A91" w:rsidRDefault="00CF7A91" w:rsidP="00D231CB">
            <w:pPr>
              <w:rPr>
                <w:b/>
                <w:bCs/>
              </w:rPr>
            </w:pPr>
            <w:r>
              <w:rPr>
                <w:b/>
                <w:bCs/>
              </w:rPr>
              <w:t xml:space="preserve">Written by: </w:t>
            </w:r>
            <w:r w:rsidR="003B7987">
              <w:rPr>
                <w:b/>
                <w:bCs/>
              </w:rPr>
              <w:t xml:space="preserve">Lisa Zenkin </w:t>
            </w:r>
          </w:p>
        </w:tc>
      </w:tr>
      <w:tr w:rsidR="00CF7A91" w:rsidTr="008E7A82">
        <w:tc>
          <w:tcPr>
            <w:tcW w:w="9576" w:type="dxa"/>
          </w:tcPr>
          <w:p w:rsidR="00CF7A91" w:rsidRDefault="00CF7A91" w:rsidP="008E7A82">
            <w:pPr>
              <w:rPr>
                <w:b/>
                <w:bCs/>
              </w:rPr>
            </w:pPr>
            <w:r>
              <w:rPr>
                <w:b/>
                <w:bCs/>
              </w:rPr>
              <w:t>Reviewed by:</w:t>
            </w:r>
          </w:p>
          <w:p w:rsidR="00CF7A91" w:rsidRDefault="00CF7A91" w:rsidP="008E7A82">
            <w:pPr>
              <w:rPr>
                <w:b/>
                <w:bCs/>
              </w:rPr>
            </w:pPr>
            <w:r>
              <w:rPr>
                <w:b/>
                <w:bCs/>
              </w:rPr>
              <w:t xml:space="preserve">Note Annual Review on Last Page </w:t>
            </w:r>
          </w:p>
        </w:tc>
      </w:tr>
    </w:tbl>
    <w:p w:rsidR="00CF7A91" w:rsidRDefault="00CF7A91" w:rsidP="00CF7A91">
      <w:pPr>
        <w:rPr>
          <w:b/>
          <w:bCs/>
        </w:rPr>
      </w:pPr>
    </w:p>
    <w:p w:rsidR="00CF7A91" w:rsidRDefault="00CF7A91" w:rsidP="00CF7A91">
      <w:pPr>
        <w:jc w:val="center"/>
        <w:rPr>
          <w:b/>
        </w:rPr>
      </w:pPr>
    </w:p>
    <w:p w:rsidR="00844A1A" w:rsidRPr="00950AD2" w:rsidRDefault="00CF7A91" w:rsidP="00844A1A">
      <w:pPr>
        <w:pStyle w:val="Heading1"/>
        <w:rPr>
          <w:rFonts w:eastAsia="Calibri"/>
          <w:b w:val="0"/>
          <w:sz w:val="28"/>
          <w:szCs w:val="28"/>
        </w:rPr>
      </w:pPr>
      <w:r w:rsidRPr="00950AD2">
        <w:rPr>
          <w:sz w:val="28"/>
          <w:szCs w:val="28"/>
        </w:rPr>
        <w:t>Principle</w:t>
      </w:r>
      <w:r w:rsidR="00844A1A" w:rsidRPr="00950AD2">
        <w:rPr>
          <w:sz w:val="28"/>
          <w:szCs w:val="28"/>
        </w:rPr>
        <w:t>:</w:t>
      </w:r>
      <w:r w:rsidR="00844A1A" w:rsidRPr="00950AD2">
        <w:rPr>
          <w:rFonts w:eastAsia="Calibri"/>
          <w:sz w:val="28"/>
          <w:szCs w:val="28"/>
        </w:rPr>
        <w:t xml:space="preserve"> </w:t>
      </w:r>
    </w:p>
    <w:p w:rsidR="00F74CDA" w:rsidRPr="00844A1A" w:rsidRDefault="00844A1A" w:rsidP="00CA7830">
      <w:pPr>
        <w:pStyle w:val="ListParagraph"/>
      </w:pPr>
      <w:r w:rsidRPr="00844A1A">
        <w:rPr>
          <w:rFonts w:eastAsia="Calibri"/>
        </w:rPr>
        <w:t>The Xpert Flu/RSV XC Assay is an automated in vitro diagnostic test for qualitative detection of influenza A, influenza B, and</w:t>
      </w:r>
      <w:r>
        <w:rPr>
          <w:rFonts w:eastAsia="Calibri"/>
        </w:rPr>
        <w:t xml:space="preserve"> </w:t>
      </w:r>
      <w:r w:rsidRPr="00844A1A">
        <w:rPr>
          <w:rFonts w:eastAsia="Calibri"/>
        </w:rPr>
        <w:t>RSV. The assay is performed on Cepheid GeneXpert Instrument Systems.</w:t>
      </w:r>
      <w:r>
        <w:rPr>
          <w:rFonts w:eastAsia="Calibri"/>
        </w:rPr>
        <w:t xml:space="preserve"> </w:t>
      </w:r>
      <w:r w:rsidRPr="00844A1A">
        <w:rPr>
          <w:rFonts w:eastAsia="Calibri"/>
        </w:rPr>
        <w:t>The GeneXpert Instrument Systems automate and integrate sample extraction, purification, amplification, and detection of</w:t>
      </w:r>
      <w:r>
        <w:rPr>
          <w:rFonts w:eastAsia="Calibri"/>
        </w:rPr>
        <w:t xml:space="preserve"> </w:t>
      </w:r>
      <w:r w:rsidRPr="00844A1A">
        <w:rPr>
          <w:rFonts w:eastAsia="Calibri"/>
        </w:rPr>
        <w:t>nucleic acid target sequences in clinical specimens by using reverse transcription (conversion of RNA templates into DNA)</w:t>
      </w:r>
      <w:r>
        <w:rPr>
          <w:rFonts w:eastAsia="Calibri"/>
        </w:rPr>
        <w:t xml:space="preserve"> </w:t>
      </w:r>
      <w:r w:rsidRPr="00844A1A">
        <w:rPr>
          <w:rFonts w:eastAsia="Calibri"/>
        </w:rPr>
        <w:t>followed by real-time PCR. The primers and probes in the Xpert Flu/RSV XC Assay are designed to amplify and detect unique</w:t>
      </w:r>
      <w:r>
        <w:rPr>
          <w:rFonts w:eastAsia="Calibri"/>
        </w:rPr>
        <w:t xml:space="preserve"> </w:t>
      </w:r>
      <w:r w:rsidRPr="00844A1A">
        <w:rPr>
          <w:rFonts w:eastAsia="Calibri"/>
        </w:rPr>
        <w:t>sequences in the genes which encode for the following proteins: Flu A Matrix (M), Flu A Basic Polymerase (PB2), Flu A Acidic</w:t>
      </w:r>
      <w:r>
        <w:rPr>
          <w:rFonts w:eastAsia="Calibri"/>
        </w:rPr>
        <w:t xml:space="preserve"> </w:t>
      </w:r>
      <w:r w:rsidRPr="00844A1A">
        <w:rPr>
          <w:rFonts w:eastAsia="Calibri"/>
        </w:rPr>
        <w:t>protein (PA), Flu B Matrix (M), Flu B Non-Structural protein (NS), and the RSV A and RSV B Nucleocapsid gene.</w:t>
      </w:r>
      <w:r>
        <w:rPr>
          <w:rFonts w:eastAsia="Calibri"/>
        </w:rPr>
        <w:t xml:space="preserve"> </w:t>
      </w:r>
      <w:r w:rsidRPr="00844A1A">
        <w:rPr>
          <w:rFonts w:eastAsia="Calibri"/>
        </w:rPr>
        <w:t>The systems consist of an instrument, personal computer, and preloaded software for running tests and viewing the results. Each</w:t>
      </w:r>
      <w:r>
        <w:rPr>
          <w:rFonts w:eastAsia="Calibri"/>
        </w:rPr>
        <w:t xml:space="preserve"> </w:t>
      </w:r>
      <w:r w:rsidRPr="00844A1A">
        <w:rPr>
          <w:rFonts w:eastAsia="Calibri"/>
        </w:rPr>
        <w:t>test requires the use of a single-use disposable GeneXpert cartridge that contains target-specific reagents and carries out the RTPCR</w:t>
      </w:r>
      <w:r>
        <w:rPr>
          <w:rFonts w:eastAsia="Calibri"/>
        </w:rPr>
        <w:t xml:space="preserve"> </w:t>
      </w:r>
      <w:r w:rsidRPr="00844A1A">
        <w:rPr>
          <w:rFonts w:eastAsia="Calibri"/>
        </w:rPr>
        <w:t>and PCR processes. Because the cartridges are self-contained, the risk of cross- contamination between samples is</w:t>
      </w:r>
      <w:r>
        <w:rPr>
          <w:rFonts w:eastAsia="Calibri"/>
        </w:rPr>
        <w:t xml:space="preserve"> </w:t>
      </w:r>
      <w:r w:rsidRPr="00844A1A">
        <w:rPr>
          <w:rFonts w:eastAsia="Calibri"/>
        </w:rPr>
        <w:t>minimized. For a full description of the systems, refer to the appropriate GeneXpert Dx System Operator Manu</w:t>
      </w:r>
      <w:r w:rsidR="00BD4C61">
        <w:rPr>
          <w:rFonts w:eastAsia="Calibri"/>
        </w:rPr>
        <w:t>al</w:t>
      </w:r>
      <w:r w:rsidRPr="00844A1A">
        <w:rPr>
          <w:rFonts w:eastAsia="Calibri"/>
        </w:rPr>
        <w:t>.</w:t>
      </w:r>
      <w:r>
        <w:rPr>
          <w:rFonts w:eastAsia="Calibri"/>
        </w:rPr>
        <w:t xml:space="preserve"> </w:t>
      </w:r>
      <w:r w:rsidRPr="00844A1A">
        <w:rPr>
          <w:rFonts w:eastAsia="Calibri"/>
        </w:rPr>
        <w:t>The Xpert Flu/RSV XC Assay includes reagents for the detection and differentiation of influenza A, influenza B, and RSV viral</w:t>
      </w:r>
      <w:r>
        <w:rPr>
          <w:rFonts w:eastAsia="Calibri"/>
        </w:rPr>
        <w:t xml:space="preserve"> </w:t>
      </w:r>
      <w:r w:rsidRPr="00844A1A">
        <w:rPr>
          <w:rFonts w:eastAsia="Calibri"/>
        </w:rPr>
        <w:t>RNA directly from nasal aspirate/wash (NA/W) specimens and nasopharyngeal (NP) swab specimens from patients with signs</w:t>
      </w:r>
      <w:r>
        <w:rPr>
          <w:rFonts w:eastAsia="Calibri"/>
        </w:rPr>
        <w:t xml:space="preserve"> </w:t>
      </w:r>
      <w:r w:rsidRPr="00844A1A">
        <w:rPr>
          <w:rFonts w:eastAsia="Calibri"/>
        </w:rPr>
        <w:t>and symptoms of respiratory infection. A Sample Processing Control (SPC) and a Probe Check Control (PCC) are also included</w:t>
      </w:r>
      <w:r>
        <w:rPr>
          <w:rFonts w:eastAsia="Calibri"/>
        </w:rPr>
        <w:t xml:space="preserve"> </w:t>
      </w:r>
      <w:r w:rsidRPr="00844A1A">
        <w:rPr>
          <w:rFonts w:eastAsia="Calibri"/>
        </w:rPr>
        <w:t>in the cartridge. The SPC is present to control for adequate extraction and processing of the target sequences and to monitor for</w:t>
      </w:r>
      <w:r w:rsidR="00CA7830">
        <w:rPr>
          <w:rFonts w:eastAsia="Calibri"/>
        </w:rPr>
        <w:t xml:space="preserve"> </w:t>
      </w:r>
      <w:r w:rsidRPr="00844A1A">
        <w:rPr>
          <w:rFonts w:eastAsia="Calibri"/>
        </w:rPr>
        <w:t>the presence of inhibitors in the PCR reaction. The Probe Check Control (PCC) verifies reagent rehydration, PCR tube filling in</w:t>
      </w:r>
      <w:r>
        <w:rPr>
          <w:rFonts w:eastAsia="Calibri"/>
        </w:rPr>
        <w:t xml:space="preserve"> </w:t>
      </w:r>
      <w:r w:rsidRPr="00844A1A">
        <w:rPr>
          <w:rFonts w:eastAsia="Calibri"/>
        </w:rPr>
        <w:t>the cartridge, probe integrity, and dye stability.</w:t>
      </w:r>
      <w:r>
        <w:rPr>
          <w:rFonts w:eastAsia="Calibri"/>
        </w:rPr>
        <w:t xml:space="preserve"> </w:t>
      </w:r>
      <w:r w:rsidRPr="00844A1A">
        <w:rPr>
          <w:rFonts w:eastAsia="Calibri"/>
        </w:rPr>
        <w:t xml:space="preserve">The Xpert Flu/RSV XC Assay can be run to detect Flu A and Flu B only by selecting </w:t>
      </w:r>
      <w:r w:rsidRPr="00844A1A">
        <w:rPr>
          <w:rFonts w:eastAsia="Calibri"/>
          <w:szCs w:val="19"/>
        </w:rPr>
        <w:t>Xpert Flu XC US-IVD</w:t>
      </w:r>
      <w:r w:rsidRPr="00844A1A">
        <w:rPr>
          <w:rFonts w:eastAsia="Calibri"/>
        </w:rPr>
        <w:t>; RSV only by</w:t>
      </w:r>
      <w:r w:rsidR="00CA7830">
        <w:rPr>
          <w:rFonts w:eastAsia="Calibri"/>
        </w:rPr>
        <w:t xml:space="preserve"> </w:t>
      </w:r>
      <w:r w:rsidRPr="00844A1A">
        <w:rPr>
          <w:rFonts w:eastAsia="Calibri"/>
          <w:szCs w:val="18"/>
        </w:rPr>
        <w:t xml:space="preserve">selecting </w:t>
      </w:r>
      <w:r w:rsidRPr="00844A1A">
        <w:rPr>
          <w:rFonts w:eastAsia="Calibri"/>
          <w:szCs w:val="19"/>
        </w:rPr>
        <w:t>Xpert RSV US-</w:t>
      </w:r>
      <w:r w:rsidRPr="00844A1A">
        <w:rPr>
          <w:rFonts w:eastAsia="Calibri"/>
          <w:szCs w:val="19"/>
        </w:rPr>
        <w:lastRenderedPageBreak/>
        <w:t>IVD</w:t>
      </w:r>
      <w:r w:rsidRPr="00844A1A">
        <w:rPr>
          <w:rFonts w:eastAsia="Calibri"/>
          <w:szCs w:val="18"/>
        </w:rPr>
        <w:t xml:space="preserve">; or Flu A, Flu B, and RSV by selecting </w:t>
      </w:r>
      <w:r w:rsidRPr="00844A1A">
        <w:rPr>
          <w:rFonts w:eastAsia="Calibri"/>
          <w:szCs w:val="19"/>
        </w:rPr>
        <w:t xml:space="preserve">Xpert Flu-RSV XC US-IVD </w:t>
      </w:r>
      <w:r w:rsidRPr="00844A1A">
        <w:rPr>
          <w:rFonts w:eastAsia="Calibri"/>
          <w:szCs w:val="18"/>
        </w:rPr>
        <w:t>from the Select Assay menu.</w:t>
      </w:r>
      <w:r>
        <w:rPr>
          <w:rFonts w:eastAsia="Calibri"/>
          <w:szCs w:val="18"/>
        </w:rPr>
        <w:t xml:space="preserve"> </w:t>
      </w:r>
      <w:r w:rsidRPr="00844A1A">
        <w:rPr>
          <w:rFonts w:eastAsia="Calibri"/>
          <w:szCs w:val="18"/>
        </w:rPr>
        <w:t>Xpert Flu XC US-IVD and Xpert RSV US-IVD assays have an Early Assay Termination (EAT) function that enables early</w:t>
      </w:r>
      <w:r>
        <w:rPr>
          <w:rFonts w:eastAsia="Calibri"/>
          <w:szCs w:val="18"/>
        </w:rPr>
        <w:t xml:space="preserve"> </w:t>
      </w:r>
      <w:r w:rsidRPr="00844A1A">
        <w:rPr>
          <w:rFonts w:eastAsia="Calibri"/>
          <w:szCs w:val="18"/>
        </w:rPr>
        <w:t>result reporting. EAT is activated when the pre-determined threshold for a positive test result is reached before the full 40 PCR</w:t>
      </w:r>
      <w:r w:rsidR="00CA7830">
        <w:rPr>
          <w:rFonts w:eastAsia="Calibri"/>
          <w:szCs w:val="18"/>
        </w:rPr>
        <w:t xml:space="preserve"> </w:t>
      </w:r>
      <w:r w:rsidRPr="00844A1A">
        <w:rPr>
          <w:rFonts w:eastAsia="Calibri"/>
          <w:szCs w:val="18"/>
        </w:rPr>
        <w:t>cycles (Ct) have been completed. When Flu A or Flu B viral titers are high enough to generate very early Cts with the Xpert Flu</w:t>
      </w:r>
      <w:r>
        <w:rPr>
          <w:rFonts w:eastAsia="Calibri"/>
          <w:szCs w:val="18"/>
        </w:rPr>
        <w:t xml:space="preserve"> </w:t>
      </w:r>
      <w:r w:rsidRPr="00844A1A">
        <w:rPr>
          <w:rFonts w:eastAsia="Calibri"/>
          <w:szCs w:val="18"/>
        </w:rPr>
        <w:t>XC US-IVD Assay, SPC amplification curves will not be seen and its results will not be reported. When RSV titers are high enough to generate very early Cts with the Xpert RSV US-IVD Assay, SPC amplification curves will not be seen and its results will not be reported.</w:t>
      </w:r>
    </w:p>
    <w:p w:rsidR="00D138D4" w:rsidRPr="00D138D4" w:rsidRDefault="00D138D4" w:rsidP="00D138D4">
      <w:pPr>
        <w:autoSpaceDE w:val="0"/>
        <w:autoSpaceDN w:val="0"/>
        <w:adjustRightInd w:val="0"/>
        <w:ind w:left="360"/>
      </w:pPr>
    </w:p>
    <w:p w:rsidR="00950AD2" w:rsidRPr="003332D8" w:rsidRDefault="00CF7A91" w:rsidP="003332D8">
      <w:pPr>
        <w:pStyle w:val="Heading1"/>
        <w:rPr>
          <w:rFonts w:eastAsia="Calibri"/>
          <w:sz w:val="28"/>
          <w:szCs w:val="28"/>
        </w:rPr>
      </w:pPr>
      <w:r w:rsidRPr="003332D8">
        <w:rPr>
          <w:sz w:val="28"/>
          <w:szCs w:val="28"/>
        </w:rPr>
        <w:t>Purpose</w:t>
      </w:r>
      <w:r w:rsidR="00950AD2" w:rsidRPr="003332D8">
        <w:rPr>
          <w:sz w:val="28"/>
          <w:szCs w:val="28"/>
        </w:rPr>
        <w:t>:</w:t>
      </w:r>
    </w:p>
    <w:p w:rsidR="005845DD" w:rsidRPr="005845DD" w:rsidRDefault="00950AD2" w:rsidP="003332D8">
      <w:pPr>
        <w:pStyle w:val="ListParagraph"/>
        <w:rPr>
          <w:rFonts w:eastAsia="Calibri"/>
        </w:rPr>
      </w:pPr>
      <w:r w:rsidRPr="00950AD2">
        <w:rPr>
          <w:rFonts w:eastAsia="Calibri"/>
        </w:rPr>
        <w:t>Influenza, or the flu, is a contagious viral infection of the respiratory tract. Transmission of influenza is primarily airborne (</w:t>
      </w:r>
      <w:r w:rsidR="00BD4C61" w:rsidRPr="00950AD2">
        <w:rPr>
          <w:rFonts w:eastAsia="Calibri"/>
        </w:rPr>
        <w:t>i.e., coughing</w:t>
      </w:r>
      <w:r w:rsidRPr="00950AD2">
        <w:rPr>
          <w:rFonts w:eastAsia="Calibri"/>
        </w:rPr>
        <w:t xml:space="preserve"> or sneezing); the peak of transmission usually occurs in the winter months. Symptoms commonly include fever, chills,</w:t>
      </w:r>
      <w:r w:rsidR="001F3C1E">
        <w:rPr>
          <w:rFonts w:eastAsia="Calibri"/>
        </w:rPr>
        <w:t xml:space="preserve"> </w:t>
      </w:r>
      <w:r w:rsidRPr="00950AD2">
        <w:rPr>
          <w:rFonts w:eastAsia="Calibri"/>
        </w:rPr>
        <w:t>headache, muscle aches, malaise, cough, and sinus congestion. Gastrointestinal symptoms (i.e., nausea, vomiting, or diarrhea)</w:t>
      </w:r>
      <w:r w:rsidR="001F3C1E">
        <w:rPr>
          <w:rFonts w:eastAsia="Calibri"/>
        </w:rPr>
        <w:t xml:space="preserve"> </w:t>
      </w:r>
      <w:r w:rsidRPr="00950AD2">
        <w:rPr>
          <w:rFonts w:eastAsia="Calibri"/>
        </w:rPr>
        <w:t>may also occur, primarily in children, but are less common in adults. Symptoms generally appear within two days of exposure to</w:t>
      </w:r>
      <w:r w:rsidR="001F3C1E">
        <w:rPr>
          <w:rFonts w:eastAsia="Calibri"/>
        </w:rPr>
        <w:t xml:space="preserve"> </w:t>
      </w:r>
      <w:r w:rsidRPr="00950AD2">
        <w:rPr>
          <w:rFonts w:eastAsia="Calibri"/>
        </w:rPr>
        <w:t>an infected person. Pneumonia may develop as a complication of influenza infection, causing increased morbidity and mortality</w:t>
      </w:r>
      <w:r w:rsidR="001F3C1E">
        <w:rPr>
          <w:rFonts w:eastAsia="Calibri"/>
        </w:rPr>
        <w:t xml:space="preserve"> </w:t>
      </w:r>
      <w:r w:rsidRPr="00950AD2">
        <w:rPr>
          <w:rFonts w:eastAsia="Calibri"/>
        </w:rPr>
        <w:t>in pediatric, elderly, and immunocompromised populations.</w:t>
      </w:r>
      <w:r w:rsidR="001F3C1E">
        <w:rPr>
          <w:rFonts w:eastAsia="Calibri"/>
        </w:rPr>
        <w:t xml:space="preserve"> </w:t>
      </w:r>
      <w:r w:rsidRPr="00950AD2">
        <w:rPr>
          <w:rFonts w:eastAsia="Calibri"/>
        </w:rPr>
        <w:t>Influenza viruses are classified into types A, B, and C, the former two of which cause most human infections. Influenza A is the</w:t>
      </w:r>
      <w:r w:rsidR="001F3C1E">
        <w:rPr>
          <w:rFonts w:eastAsia="Calibri"/>
        </w:rPr>
        <w:t xml:space="preserve"> </w:t>
      </w:r>
      <w:r w:rsidRPr="00950AD2">
        <w:rPr>
          <w:rFonts w:eastAsia="Calibri"/>
        </w:rPr>
        <w:t>most common type of influenza virus in humans, and is generally responsible for seasonal flu epidemics and occasionally for</w:t>
      </w:r>
      <w:r w:rsidR="001F3C1E">
        <w:rPr>
          <w:rFonts w:eastAsia="Calibri"/>
        </w:rPr>
        <w:t xml:space="preserve"> </w:t>
      </w:r>
      <w:r w:rsidRPr="00950AD2">
        <w:rPr>
          <w:rFonts w:eastAsia="Calibri"/>
        </w:rPr>
        <w:t>pandemics. Influenza A viruses can also infect animals such as birds, pigs, and horses. Infections with influenza B virus are</w:t>
      </w:r>
      <w:r w:rsidR="001F3C1E">
        <w:rPr>
          <w:rFonts w:eastAsia="Calibri"/>
        </w:rPr>
        <w:t xml:space="preserve"> </w:t>
      </w:r>
      <w:r w:rsidRPr="00950AD2">
        <w:rPr>
          <w:rFonts w:eastAsia="Calibri"/>
        </w:rPr>
        <w:t>generally restricted to humans and are less frequent causes of epidemics. Influenza A viruses are further divided into subtypes</w:t>
      </w:r>
      <w:r w:rsidR="001F3C1E">
        <w:rPr>
          <w:rFonts w:eastAsia="Calibri"/>
        </w:rPr>
        <w:t xml:space="preserve"> </w:t>
      </w:r>
      <w:r w:rsidRPr="00950AD2">
        <w:rPr>
          <w:rFonts w:eastAsia="Calibri"/>
        </w:rPr>
        <w:t>on the basis of two surface proteins: hemagglutinin (H) and neuraminidase (N). Seasonal flu is normally caused by subtypes H1,</w:t>
      </w:r>
      <w:r w:rsidR="001F3C1E">
        <w:rPr>
          <w:rFonts w:eastAsia="Calibri"/>
        </w:rPr>
        <w:t xml:space="preserve"> </w:t>
      </w:r>
      <w:r w:rsidRPr="00950AD2">
        <w:rPr>
          <w:rFonts w:eastAsia="Calibri"/>
        </w:rPr>
        <w:t>H2, H3, and N1 and N2. In addition to seasonal flu, a novel H1N1 strain was identified in humans in the United States in early</w:t>
      </w:r>
      <w:r w:rsidR="001F3C1E">
        <w:rPr>
          <w:rFonts w:eastAsia="Calibri"/>
        </w:rPr>
        <w:t xml:space="preserve"> 2009.</w:t>
      </w:r>
      <w:r w:rsidRPr="00950AD2">
        <w:rPr>
          <w:rFonts w:eastAsia="Calibri"/>
        </w:rPr>
        <w:t>Respiratory syncytial virus (RSV), a member of the Paramyxoviridae family consisting of two subgroups (subgroups A and B),</w:t>
      </w:r>
      <w:r w:rsidR="001F3C1E">
        <w:rPr>
          <w:rFonts w:eastAsia="Calibri"/>
        </w:rPr>
        <w:t xml:space="preserve"> </w:t>
      </w:r>
      <w:r w:rsidRPr="00950AD2">
        <w:rPr>
          <w:rFonts w:eastAsia="Calibri"/>
        </w:rPr>
        <w:t>is also the cause of a contagious disease that afflicts primarily infants and the elderly who are immunocompromised, e.g.,</w:t>
      </w:r>
      <w:r w:rsidR="001F3C1E">
        <w:rPr>
          <w:rFonts w:eastAsia="Calibri"/>
        </w:rPr>
        <w:t xml:space="preserve"> </w:t>
      </w:r>
      <w:r w:rsidRPr="00950AD2">
        <w:rPr>
          <w:rFonts w:eastAsia="Calibri"/>
        </w:rPr>
        <w:t>patients with chronic lung or heart disease or undergoing treatment for conditions that reduce the strength of their immune</w:t>
      </w:r>
      <w:r w:rsidR="001F3C1E">
        <w:rPr>
          <w:rFonts w:eastAsia="Calibri"/>
        </w:rPr>
        <w:t xml:space="preserve"> </w:t>
      </w:r>
      <w:r w:rsidRPr="00950AD2">
        <w:rPr>
          <w:rFonts w:eastAsia="Calibri"/>
        </w:rPr>
        <w:t>system.3 The virus can live for hours on countertops and toys and causes both upper respiratory infections, such as</w:t>
      </w:r>
      <w:r w:rsidR="001F3C1E">
        <w:rPr>
          <w:rFonts w:eastAsia="Calibri"/>
        </w:rPr>
        <w:t xml:space="preserve"> b</w:t>
      </w:r>
      <w:r w:rsidRPr="00950AD2">
        <w:rPr>
          <w:rFonts w:eastAsia="Calibri"/>
        </w:rPr>
        <w:t>racheobronchitis and lower respiratory infections manifesting as bronchiolitis and pneumonia. By the age of two, most children</w:t>
      </w:r>
      <w:r w:rsidR="001F3C1E">
        <w:rPr>
          <w:rFonts w:eastAsia="Calibri"/>
        </w:rPr>
        <w:t xml:space="preserve"> </w:t>
      </w:r>
      <w:r w:rsidRPr="00950AD2">
        <w:rPr>
          <w:rFonts w:eastAsia="Calibri"/>
        </w:rPr>
        <w:t>have already been infected by RSV, but because only weak immunity develops, both children and adults can become reinfected.Symptoms usually appear four to six days after infection. The disease is typically self-limiting, lasting about one to two weeks</w:t>
      </w:r>
      <w:r w:rsidR="001F3C1E">
        <w:rPr>
          <w:rFonts w:eastAsia="Calibri"/>
        </w:rPr>
        <w:t xml:space="preserve"> </w:t>
      </w:r>
      <w:r w:rsidRPr="00950AD2">
        <w:rPr>
          <w:rFonts w:eastAsia="Calibri"/>
        </w:rPr>
        <w:t>in infants. In adults, the infection lasts about five days and presents with symptoms consistent with a cold, such as rhinorrhea,</w:t>
      </w:r>
      <w:r w:rsidR="001F3C1E">
        <w:rPr>
          <w:rFonts w:eastAsia="Calibri"/>
        </w:rPr>
        <w:t xml:space="preserve"> </w:t>
      </w:r>
      <w:r w:rsidRPr="00950AD2">
        <w:rPr>
          <w:rFonts w:eastAsia="Calibri"/>
        </w:rPr>
        <w:t>fatigue, headache, and fever. The RSV season overlaps with influenza season somewhat as infections begin to rise during the</w:t>
      </w:r>
      <w:r w:rsidR="001F3C1E">
        <w:rPr>
          <w:rFonts w:eastAsia="Calibri"/>
        </w:rPr>
        <w:t xml:space="preserve"> </w:t>
      </w:r>
      <w:r w:rsidRPr="00950AD2">
        <w:rPr>
          <w:rFonts w:eastAsia="Calibri"/>
        </w:rPr>
        <w:t>fall and continues through early spring. RSV infections, however, also occur at other times of the year, alth</w:t>
      </w:r>
      <w:r w:rsidR="001F3C1E">
        <w:rPr>
          <w:rFonts w:eastAsia="Calibri"/>
        </w:rPr>
        <w:t>ough rarely</w:t>
      </w:r>
      <w:r w:rsidRPr="00950AD2">
        <w:t>:</w:t>
      </w:r>
      <w:r w:rsidR="005845DD" w:rsidRPr="005845DD">
        <w:rPr>
          <w:rFonts w:ascii="TimesNewRomanPSMT" w:eastAsia="Calibri" w:hAnsi="TimesNewRomanPSMT" w:cs="TimesNewRomanPSMT"/>
          <w:sz w:val="18"/>
          <w:szCs w:val="18"/>
        </w:rPr>
        <w:t xml:space="preserve"> </w:t>
      </w:r>
      <w:r w:rsidR="005845DD" w:rsidRPr="005845DD">
        <w:rPr>
          <w:rFonts w:eastAsia="Calibri"/>
        </w:rPr>
        <w:t>Active surveillance programs in conjunction with infection control precautions are important components for preventing</w:t>
      </w:r>
      <w:r w:rsidR="005845DD">
        <w:rPr>
          <w:rFonts w:eastAsia="Calibri"/>
        </w:rPr>
        <w:t xml:space="preserve"> </w:t>
      </w:r>
      <w:r w:rsidR="005845DD" w:rsidRPr="005845DD">
        <w:rPr>
          <w:rFonts w:eastAsia="Calibri"/>
        </w:rPr>
        <w:t>transmission of influenza and RSV. Identifying patients infected with these seasonal infections is also an important factor for</w:t>
      </w:r>
      <w:r w:rsidR="005845DD">
        <w:rPr>
          <w:rFonts w:eastAsia="Calibri"/>
        </w:rPr>
        <w:t xml:space="preserve"> </w:t>
      </w:r>
      <w:r w:rsidR="005845DD" w:rsidRPr="005845DD">
        <w:rPr>
          <w:rFonts w:eastAsia="Calibri"/>
        </w:rPr>
        <w:t>effective control, proper choice of treatment, and prevention of widespread outbreaks.</w:t>
      </w:r>
    </w:p>
    <w:p w:rsidR="00BB0B63" w:rsidRPr="005845DD" w:rsidRDefault="00BB0B63" w:rsidP="003332D8">
      <w:pPr>
        <w:pStyle w:val="ListParagraph"/>
      </w:pPr>
    </w:p>
    <w:p w:rsidR="00B36A55" w:rsidRPr="007D3137" w:rsidRDefault="00B36A55" w:rsidP="007D3137">
      <w:pPr>
        <w:autoSpaceDE w:val="0"/>
        <w:autoSpaceDN w:val="0"/>
        <w:adjustRightInd w:val="0"/>
        <w:ind w:left="360"/>
      </w:pPr>
    </w:p>
    <w:p w:rsidR="00CB3D59" w:rsidRPr="00CB3D59" w:rsidRDefault="00CF7A91" w:rsidP="00CB3D59">
      <w:pPr>
        <w:pStyle w:val="Heading1"/>
        <w:rPr>
          <w:sz w:val="28"/>
          <w:szCs w:val="28"/>
        </w:rPr>
      </w:pPr>
      <w:r w:rsidRPr="00CB3D59">
        <w:rPr>
          <w:sz w:val="28"/>
          <w:szCs w:val="28"/>
        </w:rPr>
        <w:t>Safety</w:t>
      </w:r>
      <w:r w:rsidR="00CB3D59" w:rsidRPr="00CB3D59">
        <w:rPr>
          <w:sz w:val="28"/>
          <w:szCs w:val="28"/>
        </w:rPr>
        <w:t>:</w:t>
      </w:r>
    </w:p>
    <w:p w:rsidR="00D57053" w:rsidRDefault="00CB3D59" w:rsidP="00023CEC">
      <w:pPr>
        <w:pStyle w:val="ListParagraph"/>
        <w:numPr>
          <w:ilvl w:val="0"/>
          <w:numId w:val="5"/>
        </w:numPr>
        <w:rPr>
          <w:rFonts w:eastAsia="Calibri"/>
        </w:rPr>
      </w:pPr>
      <w:r w:rsidRPr="00CB3D59">
        <w:rPr>
          <w:rFonts w:eastAsia="Calibri"/>
        </w:rPr>
        <w:t xml:space="preserve">Safety Data Sheets (SDS) </w:t>
      </w:r>
      <w:r w:rsidR="00BD4C61" w:rsidRPr="00CB3D59">
        <w:rPr>
          <w:rFonts w:eastAsia="Calibri"/>
        </w:rPr>
        <w:t>is</w:t>
      </w:r>
      <w:r w:rsidRPr="00CB3D59">
        <w:rPr>
          <w:rFonts w:eastAsia="Calibri"/>
        </w:rPr>
        <w:t xml:space="preserve"> available at </w:t>
      </w:r>
      <w:r w:rsidRPr="00CB3D59">
        <w:rPr>
          <w:rFonts w:eastAsia="Calibri"/>
          <w:color w:val="1E37FF"/>
        </w:rPr>
        <w:t xml:space="preserve">www.cepheid.com </w:t>
      </w:r>
      <w:r w:rsidRPr="00CB3D59">
        <w:rPr>
          <w:rFonts w:eastAsia="Calibri"/>
        </w:rPr>
        <w:t xml:space="preserve">or </w:t>
      </w:r>
      <w:r w:rsidRPr="00CB3D59">
        <w:rPr>
          <w:rFonts w:eastAsia="Calibri"/>
          <w:color w:val="1E37FF"/>
        </w:rPr>
        <w:t xml:space="preserve">www.cepheidinternational.com </w:t>
      </w:r>
      <w:r w:rsidRPr="00CB3D59">
        <w:rPr>
          <w:rFonts w:eastAsia="Calibri"/>
        </w:rPr>
        <w:t xml:space="preserve">under the </w:t>
      </w:r>
      <w:r w:rsidRPr="00CB3D59">
        <w:rPr>
          <w:rFonts w:eastAsia="Calibri"/>
          <w:b/>
          <w:bCs/>
        </w:rPr>
        <w:t xml:space="preserve">SUPPORT </w:t>
      </w:r>
      <w:r w:rsidRPr="00CB3D59">
        <w:rPr>
          <w:rFonts w:eastAsia="Calibri"/>
        </w:rPr>
        <w:t>tab</w:t>
      </w:r>
      <w:r>
        <w:rPr>
          <w:rFonts w:eastAsia="Calibri"/>
        </w:rPr>
        <w:t>.</w:t>
      </w:r>
      <w:r w:rsidR="005F1BB0">
        <w:rPr>
          <w:rFonts w:eastAsia="Calibri"/>
        </w:rPr>
        <w:t xml:space="preserve"> SDS sheets are on Steward Homepage.</w:t>
      </w:r>
    </w:p>
    <w:p w:rsidR="00D57053" w:rsidRPr="00D57053" w:rsidRDefault="00D57053" w:rsidP="00023CEC">
      <w:pPr>
        <w:pStyle w:val="ListParagraph"/>
        <w:numPr>
          <w:ilvl w:val="0"/>
          <w:numId w:val="5"/>
        </w:numPr>
        <w:rPr>
          <w:rFonts w:eastAsia="Calibri"/>
        </w:rPr>
      </w:pPr>
      <w:r w:rsidRPr="00D57053">
        <w:rPr>
          <w:rFonts w:eastAsia="Calibri"/>
        </w:rPr>
        <w:t xml:space="preserve"> Good laboratory practices, including changing gloves between handling patient specimens, are recommended to avoid contamination of specimens or reagents.</w:t>
      </w:r>
    </w:p>
    <w:p w:rsidR="00D57053" w:rsidRPr="00D57053" w:rsidRDefault="00D57053" w:rsidP="00023CEC">
      <w:pPr>
        <w:pStyle w:val="ListParagraph"/>
        <w:numPr>
          <w:ilvl w:val="0"/>
          <w:numId w:val="5"/>
        </w:numPr>
        <w:rPr>
          <w:rFonts w:eastAsia="Calibri"/>
        </w:rPr>
      </w:pPr>
      <w:r w:rsidRPr="00D57053">
        <w:rPr>
          <w:rFonts w:eastAsia="Calibri"/>
          <w:szCs w:val="18"/>
        </w:rPr>
        <w:t xml:space="preserve">Wear clean lab coats and gloves. In the event of contamination of the work area or equipment with samples or controls, </w:t>
      </w:r>
      <w:r w:rsidRPr="00D57053">
        <w:rPr>
          <w:rFonts w:eastAsia="Calibri"/>
        </w:rPr>
        <w:t>thoroughly clean the contaminated area with a 1:10 dilution of household chlorine bleach and then 70% denatured ethanol.</w:t>
      </w:r>
    </w:p>
    <w:p w:rsidR="00D57053" w:rsidRDefault="00D57053" w:rsidP="00023CEC">
      <w:pPr>
        <w:pStyle w:val="ListParagraph"/>
        <w:numPr>
          <w:ilvl w:val="0"/>
          <w:numId w:val="5"/>
        </w:numPr>
        <w:rPr>
          <w:rFonts w:eastAsia="Calibri"/>
        </w:rPr>
      </w:pPr>
      <w:r>
        <w:rPr>
          <w:rFonts w:eastAsia="Calibri"/>
        </w:rPr>
        <w:t>Wipe work surfaces dry completely before proceeding.</w:t>
      </w:r>
    </w:p>
    <w:p w:rsidR="00B36A55" w:rsidRPr="00B36A55" w:rsidRDefault="00B36A55" w:rsidP="00D57053">
      <w:pPr>
        <w:pStyle w:val="ListParagraph"/>
      </w:pPr>
    </w:p>
    <w:p w:rsidR="009B1A76" w:rsidRPr="009B1A76" w:rsidRDefault="00CF7A91" w:rsidP="009B1A76">
      <w:pPr>
        <w:pStyle w:val="Heading1"/>
        <w:rPr>
          <w:rFonts w:eastAsia="Calibri"/>
          <w:sz w:val="28"/>
          <w:szCs w:val="28"/>
        </w:rPr>
      </w:pPr>
      <w:r w:rsidRPr="009B1A76">
        <w:rPr>
          <w:sz w:val="28"/>
          <w:szCs w:val="28"/>
        </w:rPr>
        <w:t>Specimen Requirements</w:t>
      </w:r>
      <w:r w:rsidR="009B1A76">
        <w:rPr>
          <w:rFonts w:eastAsia="Calibri"/>
          <w:sz w:val="28"/>
          <w:szCs w:val="28"/>
        </w:rPr>
        <w:t>:</w:t>
      </w:r>
    </w:p>
    <w:p w:rsidR="009B1A76" w:rsidRPr="009B1A76" w:rsidRDefault="009B1A76" w:rsidP="00023CEC">
      <w:pPr>
        <w:pStyle w:val="ListParagraph"/>
        <w:numPr>
          <w:ilvl w:val="0"/>
          <w:numId w:val="4"/>
        </w:numPr>
        <w:rPr>
          <w:rFonts w:eastAsia="Calibri"/>
        </w:rPr>
      </w:pPr>
      <w:r w:rsidRPr="009B1A76">
        <w:rPr>
          <w:rFonts w:eastAsia="Calibri"/>
        </w:rPr>
        <w:t>Specimen collection and handling procedures require specific training and guidance.</w:t>
      </w:r>
    </w:p>
    <w:p w:rsidR="009B1A76" w:rsidRPr="00112EA2" w:rsidRDefault="009B1A76" w:rsidP="00023CEC">
      <w:pPr>
        <w:pStyle w:val="ListParagraph"/>
        <w:numPr>
          <w:ilvl w:val="0"/>
          <w:numId w:val="4"/>
        </w:numPr>
        <w:rPr>
          <w:rFonts w:eastAsia="Calibri"/>
        </w:rPr>
      </w:pPr>
      <w:r w:rsidRPr="00112EA2">
        <w:rPr>
          <w:rFonts w:eastAsia="Calibri"/>
        </w:rPr>
        <w:t>For collection and transport of nasopharyngeal swab specimens, use only Viral Transport Media</w:t>
      </w:r>
      <w:r w:rsidR="00112EA2">
        <w:rPr>
          <w:rFonts w:eastAsia="Calibri"/>
        </w:rPr>
        <w:t>,</w:t>
      </w:r>
      <w:r w:rsidRPr="00112EA2">
        <w:rPr>
          <w:rFonts w:eastAsia="Calibri"/>
        </w:rPr>
        <w:t xml:space="preserve"> before the expirat</w:t>
      </w:r>
      <w:r w:rsidR="00112EA2">
        <w:rPr>
          <w:rFonts w:eastAsia="Calibri"/>
        </w:rPr>
        <w:t>ion date of the</w:t>
      </w:r>
      <w:r w:rsidRPr="00112EA2">
        <w:rPr>
          <w:rFonts w:eastAsia="Calibri"/>
        </w:rPr>
        <w:t xml:space="preserve"> tube. </w:t>
      </w:r>
    </w:p>
    <w:p w:rsidR="009B1A76" w:rsidRPr="009B1A76" w:rsidRDefault="009B1A76" w:rsidP="00023CEC">
      <w:pPr>
        <w:pStyle w:val="ListParagraph"/>
        <w:numPr>
          <w:ilvl w:val="0"/>
          <w:numId w:val="4"/>
        </w:numPr>
        <w:rPr>
          <w:rFonts w:eastAsia="Calibri"/>
        </w:rPr>
      </w:pPr>
      <w:r w:rsidRPr="009B1A76">
        <w:rPr>
          <w:rFonts w:eastAsia="Calibri"/>
        </w:rPr>
        <w:t>Maintain proper storage conditions during specimen transport to ensure the integrity of the specimen</w:t>
      </w:r>
      <w:r>
        <w:rPr>
          <w:rFonts w:eastAsia="Calibri"/>
        </w:rPr>
        <w:t>.</w:t>
      </w:r>
    </w:p>
    <w:p w:rsidR="00112EA2" w:rsidRPr="00112EA2" w:rsidRDefault="00112EA2" w:rsidP="00023CEC">
      <w:pPr>
        <w:pStyle w:val="ListParagraph"/>
        <w:numPr>
          <w:ilvl w:val="0"/>
          <w:numId w:val="4"/>
        </w:numPr>
        <w:rPr>
          <w:rFonts w:eastAsia="Calibri"/>
        </w:rPr>
      </w:pPr>
      <w:r w:rsidRPr="00112EA2">
        <w:rPr>
          <w:rFonts w:eastAsia="Calibri"/>
        </w:rPr>
        <w:t>NA/W specimens and NP swab specimens can be collected following the standard FLU collection procedure and placed into VTM (3 mL tube with transport medium). Specimens should be transported at 2–8 °C.</w:t>
      </w:r>
    </w:p>
    <w:p w:rsidR="00112EA2" w:rsidRPr="00112EA2" w:rsidRDefault="00112EA2" w:rsidP="00023CEC">
      <w:pPr>
        <w:pStyle w:val="ListParagraph"/>
        <w:numPr>
          <w:ilvl w:val="0"/>
          <w:numId w:val="4"/>
        </w:numPr>
        <w:rPr>
          <w:rFonts w:eastAsia="Calibri"/>
        </w:rPr>
      </w:pPr>
      <w:r w:rsidRPr="00112EA2">
        <w:rPr>
          <w:rFonts w:eastAsia="Calibri"/>
        </w:rPr>
        <w:t>Specimens placed in transport medium following collection can be stored for up to 24 hours at 2–30 °C or up to seven days</w:t>
      </w:r>
      <w:r>
        <w:rPr>
          <w:rFonts w:eastAsia="Calibri"/>
        </w:rPr>
        <w:t xml:space="preserve"> </w:t>
      </w:r>
      <w:r w:rsidRPr="00112EA2">
        <w:rPr>
          <w:rFonts w:eastAsia="Calibri"/>
        </w:rPr>
        <w:t>at 2–8 °C prior to testing with the Xpert Flu/RSV XC Assay.</w:t>
      </w:r>
    </w:p>
    <w:p w:rsidR="00B36A55" w:rsidRPr="00B36A55" w:rsidRDefault="00B36A55" w:rsidP="00112EA2">
      <w:pPr>
        <w:pStyle w:val="ListParagraph"/>
      </w:pPr>
    </w:p>
    <w:p w:rsidR="00CE072B" w:rsidRPr="00CE072B" w:rsidRDefault="00CF7A91" w:rsidP="00CE072B">
      <w:pPr>
        <w:pStyle w:val="Heading1"/>
        <w:rPr>
          <w:rFonts w:ascii="Arial-BoldMT" w:eastAsia="Calibri" w:hAnsi="Arial-BoldMT" w:cs="Arial-BoldMT"/>
          <w:sz w:val="18"/>
          <w:szCs w:val="18"/>
        </w:rPr>
      </w:pPr>
      <w:r w:rsidRPr="00CE072B">
        <w:rPr>
          <w:sz w:val="28"/>
          <w:szCs w:val="28"/>
        </w:rPr>
        <w:t>Reagents, Equipment and Materials</w:t>
      </w:r>
      <w:r w:rsidR="00CE072B">
        <w:rPr>
          <w:sz w:val="28"/>
          <w:szCs w:val="28"/>
        </w:rPr>
        <w:t>:</w:t>
      </w:r>
    </w:p>
    <w:p w:rsidR="009B1A76" w:rsidRPr="00CE072B" w:rsidRDefault="009B1A76" w:rsidP="00CE072B">
      <w:pPr>
        <w:pStyle w:val="Heading1"/>
        <w:numPr>
          <w:ilvl w:val="0"/>
          <w:numId w:val="0"/>
        </w:numPr>
        <w:ind w:left="612"/>
        <w:rPr>
          <w:rFonts w:ascii="Arial-BoldMT" w:eastAsia="Calibri" w:hAnsi="Arial-BoldMT" w:cs="Arial-BoldMT"/>
          <w:sz w:val="18"/>
          <w:szCs w:val="18"/>
        </w:rPr>
      </w:pPr>
    </w:p>
    <w:p w:rsidR="0001571D" w:rsidRPr="005B14C4" w:rsidRDefault="009B1A76" w:rsidP="00023CEC">
      <w:pPr>
        <w:pStyle w:val="ListParagraph"/>
        <w:numPr>
          <w:ilvl w:val="0"/>
          <w:numId w:val="6"/>
        </w:numPr>
        <w:rPr>
          <w:rFonts w:eastAsia="Calibri"/>
        </w:rPr>
      </w:pPr>
      <w:r w:rsidRPr="005B14C4">
        <w:rPr>
          <w:rFonts w:eastAsia="Calibri"/>
          <w:szCs w:val="18"/>
        </w:rPr>
        <w:t>The Xpert Flu/RSV XC Assay kit contains sufficient reagents to process 10 specimens or quality control samples.</w:t>
      </w:r>
    </w:p>
    <w:p w:rsidR="009B1A76" w:rsidRPr="005B14C4" w:rsidRDefault="009B1A76" w:rsidP="005B14C4">
      <w:pPr>
        <w:ind w:left="1080"/>
        <w:rPr>
          <w:rFonts w:eastAsia="Calibri"/>
          <w:i/>
          <w:szCs w:val="18"/>
        </w:rPr>
      </w:pPr>
      <w:r w:rsidRPr="005B14C4">
        <w:rPr>
          <w:rFonts w:eastAsia="Calibri"/>
          <w:i/>
          <w:szCs w:val="18"/>
        </w:rPr>
        <w:t>The kit</w:t>
      </w:r>
      <w:r w:rsidR="000201B9" w:rsidRPr="005B14C4">
        <w:rPr>
          <w:rFonts w:eastAsia="Calibri"/>
          <w:i/>
        </w:rPr>
        <w:t xml:space="preserve"> </w:t>
      </w:r>
      <w:r w:rsidRPr="005B14C4">
        <w:rPr>
          <w:rFonts w:eastAsia="Calibri"/>
          <w:i/>
          <w:szCs w:val="18"/>
        </w:rPr>
        <w:t>contains the following:</w:t>
      </w:r>
    </w:p>
    <w:p w:rsidR="009B1A76" w:rsidRPr="005B14C4" w:rsidRDefault="009B1A76" w:rsidP="00023CEC">
      <w:pPr>
        <w:pStyle w:val="ListParagraph"/>
        <w:numPr>
          <w:ilvl w:val="0"/>
          <w:numId w:val="6"/>
        </w:numPr>
        <w:rPr>
          <w:rFonts w:eastAsia="Calibri"/>
          <w:szCs w:val="18"/>
        </w:rPr>
      </w:pPr>
      <w:r w:rsidRPr="005B14C4">
        <w:rPr>
          <w:rFonts w:eastAsia="Calibri"/>
          <w:szCs w:val="18"/>
        </w:rPr>
        <w:t>Xpert Flu/RSV XC Assay Cartridges w</w:t>
      </w:r>
      <w:r w:rsidR="0001571D" w:rsidRPr="005B14C4">
        <w:rPr>
          <w:rFonts w:eastAsia="Calibri"/>
        </w:rPr>
        <w:t xml:space="preserve">ith 10 Integrated Reaction Tubes </w:t>
      </w:r>
    </w:p>
    <w:p w:rsidR="009B1A76" w:rsidRPr="005B14C4" w:rsidRDefault="009B1A76" w:rsidP="00023CEC">
      <w:pPr>
        <w:pStyle w:val="ListParagraph"/>
        <w:numPr>
          <w:ilvl w:val="0"/>
          <w:numId w:val="6"/>
        </w:numPr>
        <w:rPr>
          <w:rFonts w:eastAsia="Calibri"/>
          <w:szCs w:val="18"/>
        </w:rPr>
      </w:pPr>
      <w:r w:rsidRPr="005B14C4">
        <w:rPr>
          <w:rFonts w:eastAsia="Calibri"/>
          <w:szCs w:val="18"/>
        </w:rPr>
        <w:t>Bead 1, Bead 2, and Bead 3 (freeze-dried) 1 of each per cartridge</w:t>
      </w:r>
    </w:p>
    <w:p w:rsidR="009B1A76" w:rsidRPr="005B14C4" w:rsidRDefault="009B1A76" w:rsidP="00023CEC">
      <w:pPr>
        <w:pStyle w:val="ListParagraph"/>
        <w:numPr>
          <w:ilvl w:val="0"/>
          <w:numId w:val="6"/>
        </w:numPr>
        <w:rPr>
          <w:rFonts w:eastAsia="Calibri"/>
          <w:szCs w:val="18"/>
        </w:rPr>
      </w:pPr>
      <w:r w:rsidRPr="005B14C4">
        <w:rPr>
          <w:rFonts w:eastAsia="Calibri"/>
          <w:szCs w:val="18"/>
        </w:rPr>
        <w:t>Lysis Reagent (Guanidinium Thiocyanate) 1.5 mL per cartridge</w:t>
      </w:r>
    </w:p>
    <w:p w:rsidR="009B1A76" w:rsidRPr="005B14C4" w:rsidRDefault="009B1A76" w:rsidP="00023CEC">
      <w:pPr>
        <w:pStyle w:val="ListParagraph"/>
        <w:numPr>
          <w:ilvl w:val="0"/>
          <w:numId w:val="6"/>
        </w:numPr>
        <w:rPr>
          <w:rFonts w:eastAsia="Calibri"/>
          <w:szCs w:val="18"/>
        </w:rPr>
      </w:pPr>
      <w:r w:rsidRPr="005B14C4">
        <w:rPr>
          <w:rFonts w:eastAsia="Calibri"/>
          <w:szCs w:val="18"/>
        </w:rPr>
        <w:t>Binding Reagent 1.5 mL per cartridge</w:t>
      </w:r>
    </w:p>
    <w:p w:rsidR="009B1A76" w:rsidRPr="005B14C4" w:rsidRDefault="009B1A76" w:rsidP="00023CEC">
      <w:pPr>
        <w:pStyle w:val="ListParagraph"/>
        <w:numPr>
          <w:ilvl w:val="0"/>
          <w:numId w:val="6"/>
        </w:numPr>
        <w:rPr>
          <w:rFonts w:eastAsia="Calibri"/>
          <w:szCs w:val="18"/>
        </w:rPr>
      </w:pPr>
      <w:r w:rsidRPr="005B14C4">
        <w:rPr>
          <w:rFonts w:eastAsia="Calibri"/>
          <w:szCs w:val="18"/>
        </w:rPr>
        <w:t>Elution Reagent 3.0 mL per cartridge</w:t>
      </w:r>
    </w:p>
    <w:p w:rsidR="009B1A76" w:rsidRPr="005B14C4" w:rsidRDefault="009B1A76" w:rsidP="00023CEC">
      <w:pPr>
        <w:pStyle w:val="ListParagraph"/>
        <w:numPr>
          <w:ilvl w:val="0"/>
          <w:numId w:val="6"/>
        </w:numPr>
        <w:rPr>
          <w:rFonts w:eastAsia="Calibri"/>
          <w:szCs w:val="18"/>
        </w:rPr>
      </w:pPr>
      <w:r w:rsidRPr="005B14C4">
        <w:rPr>
          <w:rFonts w:eastAsia="Calibri"/>
          <w:szCs w:val="18"/>
        </w:rPr>
        <w:t>Disposable 300 μL Transfer Pipettes 2 bags of 12 per kit</w:t>
      </w:r>
    </w:p>
    <w:p w:rsidR="009B1A76" w:rsidRPr="005B14C4" w:rsidRDefault="009B1A76" w:rsidP="00023CEC">
      <w:pPr>
        <w:pStyle w:val="ListParagraph"/>
        <w:numPr>
          <w:ilvl w:val="0"/>
          <w:numId w:val="6"/>
        </w:numPr>
        <w:rPr>
          <w:rFonts w:eastAsia="Calibri"/>
          <w:szCs w:val="18"/>
        </w:rPr>
      </w:pPr>
      <w:r w:rsidRPr="005B14C4">
        <w:rPr>
          <w:rFonts w:eastAsia="Calibri"/>
          <w:szCs w:val="18"/>
        </w:rPr>
        <w:t>CD 1 per kit</w:t>
      </w:r>
    </w:p>
    <w:p w:rsidR="009B1A76" w:rsidRPr="005B14C4" w:rsidRDefault="009B1A76" w:rsidP="00023CEC">
      <w:pPr>
        <w:pStyle w:val="ListParagraph"/>
        <w:numPr>
          <w:ilvl w:val="0"/>
          <w:numId w:val="6"/>
        </w:numPr>
        <w:rPr>
          <w:rFonts w:eastAsia="Calibri"/>
          <w:szCs w:val="18"/>
        </w:rPr>
      </w:pPr>
      <w:r w:rsidRPr="005B14C4">
        <w:rPr>
          <w:rFonts w:eastAsia="Calibri"/>
          <w:szCs w:val="18"/>
        </w:rPr>
        <w:t>Assay Definition Files (ADF)</w:t>
      </w:r>
    </w:p>
    <w:p w:rsidR="009B1A76" w:rsidRPr="005B14C4" w:rsidRDefault="009B1A76" w:rsidP="00023CEC">
      <w:pPr>
        <w:pStyle w:val="ListParagraph"/>
        <w:numPr>
          <w:ilvl w:val="0"/>
          <w:numId w:val="6"/>
        </w:numPr>
        <w:rPr>
          <w:rFonts w:eastAsia="Calibri"/>
          <w:szCs w:val="18"/>
        </w:rPr>
      </w:pPr>
      <w:r w:rsidRPr="005B14C4">
        <w:rPr>
          <w:rFonts w:eastAsia="Calibri"/>
          <w:szCs w:val="18"/>
        </w:rPr>
        <w:t>Instructions to import ADF into GeneXpert software</w:t>
      </w:r>
    </w:p>
    <w:p w:rsidR="009B1A76" w:rsidRDefault="009B1A76" w:rsidP="00023CEC">
      <w:pPr>
        <w:pStyle w:val="ListParagraph"/>
        <w:numPr>
          <w:ilvl w:val="0"/>
          <w:numId w:val="6"/>
        </w:numPr>
        <w:rPr>
          <w:rFonts w:eastAsia="Calibri"/>
          <w:szCs w:val="18"/>
        </w:rPr>
      </w:pPr>
      <w:r w:rsidRPr="005B14C4">
        <w:rPr>
          <w:rFonts w:eastAsia="Calibri"/>
          <w:szCs w:val="18"/>
        </w:rPr>
        <w:t>Package Insert</w:t>
      </w:r>
    </w:p>
    <w:p w:rsidR="005B14C4" w:rsidRPr="005B14C4" w:rsidRDefault="005B14C4" w:rsidP="005B14C4">
      <w:pPr>
        <w:pStyle w:val="ListParagraph"/>
        <w:ind w:left="1440"/>
        <w:rPr>
          <w:rFonts w:eastAsia="Calibri"/>
          <w:szCs w:val="18"/>
        </w:rPr>
      </w:pPr>
    </w:p>
    <w:p w:rsidR="005B14C4" w:rsidRPr="005B14C4" w:rsidRDefault="005B14C4" w:rsidP="00023CEC">
      <w:pPr>
        <w:pStyle w:val="ListParagraph"/>
        <w:numPr>
          <w:ilvl w:val="0"/>
          <w:numId w:val="6"/>
        </w:numPr>
        <w:rPr>
          <w:rFonts w:eastAsia="Calibri"/>
          <w:szCs w:val="18"/>
        </w:rPr>
      </w:pPr>
      <w:r w:rsidRPr="005B14C4">
        <w:rPr>
          <w:rFonts w:eastAsia="Calibri"/>
          <w:szCs w:val="18"/>
        </w:rPr>
        <w:t>The assay has been validated using Cepheid GeneXpert software version 4.3 or higher. Cepheid will validate future software versions for use with the Xpert Flu/RSV XC Assay.</w:t>
      </w:r>
    </w:p>
    <w:p w:rsidR="005B14C4" w:rsidRPr="005B14C4" w:rsidRDefault="005B14C4" w:rsidP="00023CEC">
      <w:pPr>
        <w:pStyle w:val="ListParagraph"/>
        <w:numPr>
          <w:ilvl w:val="0"/>
          <w:numId w:val="6"/>
        </w:numPr>
        <w:rPr>
          <w:rFonts w:eastAsia="Calibri"/>
          <w:szCs w:val="18"/>
        </w:rPr>
      </w:pPr>
      <w:r w:rsidRPr="005B14C4">
        <w:rPr>
          <w:rFonts w:eastAsia="Calibri"/>
          <w:szCs w:val="18"/>
        </w:rPr>
        <w:t>Performance may be impacted when using frozen specimens.</w:t>
      </w:r>
    </w:p>
    <w:p w:rsidR="005B14C4" w:rsidRPr="005B14C4" w:rsidRDefault="005B14C4" w:rsidP="00023CEC">
      <w:pPr>
        <w:pStyle w:val="ListParagraph"/>
        <w:numPr>
          <w:ilvl w:val="0"/>
          <w:numId w:val="6"/>
        </w:numPr>
        <w:rPr>
          <w:rFonts w:eastAsia="Calibri"/>
          <w:szCs w:val="18"/>
        </w:rPr>
      </w:pPr>
      <w:r w:rsidRPr="005B14C4">
        <w:rPr>
          <w:rFonts w:eastAsia="Calibri"/>
          <w:szCs w:val="18"/>
        </w:rPr>
        <w:t>Do not open the Xpert Flu/RSV XC Assay cartridge lid except when adding sample.</w:t>
      </w:r>
    </w:p>
    <w:p w:rsidR="005B14C4" w:rsidRPr="005B14C4" w:rsidRDefault="005B14C4" w:rsidP="00023CEC">
      <w:pPr>
        <w:pStyle w:val="ListParagraph"/>
        <w:numPr>
          <w:ilvl w:val="0"/>
          <w:numId w:val="6"/>
        </w:numPr>
        <w:rPr>
          <w:rFonts w:eastAsia="Calibri"/>
          <w:szCs w:val="18"/>
        </w:rPr>
      </w:pPr>
      <w:r w:rsidRPr="005B14C4">
        <w:rPr>
          <w:rFonts w:eastAsia="Calibri"/>
          <w:szCs w:val="18"/>
        </w:rPr>
        <w:t>Do not use a cartridge that has been dropped after removing it from the packaging.</w:t>
      </w:r>
    </w:p>
    <w:p w:rsidR="005B14C4" w:rsidRPr="005B14C4" w:rsidRDefault="005B14C4" w:rsidP="00023CEC">
      <w:pPr>
        <w:pStyle w:val="ListParagraph"/>
        <w:numPr>
          <w:ilvl w:val="0"/>
          <w:numId w:val="6"/>
        </w:numPr>
        <w:rPr>
          <w:rFonts w:eastAsia="Calibri"/>
          <w:szCs w:val="18"/>
        </w:rPr>
      </w:pPr>
      <w:r w:rsidRPr="005B14C4">
        <w:rPr>
          <w:rFonts w:eastAsia="Calibri"/>
          <w:szCs w:val="18"/>
        </w:rPr>
        <w:t>Do not shake the cartridge. Shaking or dropping the cartridge after opening the cartridge lid may yield invalid results.</w:t>
      </w:r>
    </w:p>
    <w:p w:rsidR="005B14C4" w:rsidRPr="005B14C4" w:rsidRDefault="005B14C4" w:rsidP="00023CEC">
      <w:pPr>
        <w:pStyle w:val="ListParagraph"/>
        <w:numPr>
          <w:ilvl w:val="0"/>
          <w:numId w:val="6"/>
        </w:numPr>
        <w:rPr>
          <w:rFonts w:eastAsia="Calibri"/>
          <w:szCs w:val="18"/>
        </w:rPr>
      </w:pPr>
      <w:r w:rsidRPr="005B14C4">
        <w:rPr>
          <w:rFonts w:eastAsia="Calibri"/>
          <w:szCs w:val="18"/>
        </w:rPr>
        <w:t>Do not place the sample ID label on the cartridge lid or on the barcode label.</w:t>
      </w:r>
    </w:p>
    <w:p w:rsidR="005B14C4" w:rsidRPr="005B14C4" w:rsidRDefault="005B14C4" w:rsidP="00023CEC">
      <w:pPr>
        <w:pStyle w:val="ListParagraph"/>
        <w:numPr>
          <w:ilvl w:val="0"/>
          <w:numId w:val="6"/>
        </w:numPr>
        <w:rPr>
          <w:rFonts w:eastAsia="Calibri"/>
          <w:szCs w:val="18"/>
        </w:rPr>
      </w:pPr>
      <w:r w:rsidRPr="005B14C4">
        <w:rPr>
          <w:rFonts w:eastAsia="Calibri"/>
          <w:szCs w:val="18"/>
        </w:rPr>
        <w:t>Do not use a cartridge that has a damaged reaction tube.</w:t>
      </w:r>
    </w:p>
    <w:p w:rsidR="005B14C4" w:rsidRPr="005B14C4" w:rsidRDefault="005B14C4" w:rsidP="00023CEC">
      <w:pPr>
        <w:pStyle w:val="ListParagraph"/>
        <w:numPr>
          <w:ilvl w:val="0"/>
          <w:numId w:val="6"/>
        </w:numPr>
        <w:rPr>
          <w:rFonts w:eastAsia="Calibri"/>
          <w:szCs w:val="18"/>
        </w:rPr>
      </w:pPr>
      <w:r w:rsidRPr="005B14C4">
        <w:rPr>
          <w:rFonts w:eastAsia="Calibri"/>
          <w:szCs w:val="18"/>
        </w:rPr>
        <w:t>Each single-use Xpert Flu/RSV XC Assay cartridge is used to process one test. Do not reuse spent cartridges.</w:t>
      </w:r>
    </w:p>
    <w:p w:rsidR="005B14C4" w:rsidRPr="005B14C4" w:rsidRDefault="005B14C4" w:rsidP="00023CEC">
      <w:pPr>
        <w:pStyle w:val="ListParagraph"/>
        <w:numPr>
          <w:ilvl w:val="0"/>
          <w:numId w:val="6"/>
        </w:numPr>
        <w:rPr>
          <w:rFonts w:eastAsia="Calibri"/>
          <w:szCs w:val="18"/>
        </w:rPr>
      </w:pPr>
      <w:r w:rsidRPr="005B14C4">
        <w:rPr>
          <w:rFonts w:eastAsia="Calibri"/>
          <w:szCs w:val="18"/>
        </w:rPr>
        <w:t>Each single-use disposable pipette is used to transfer one specimen. Do not reuse spent disposable pipettes, except when diluting N/A specimens.</w:t>
      </w:r>
    </w:p>
    <w:p w:rsidR="005B14C4" w:rsidRPr="005B14C4" w:rsidRDefault="005B14C4" w:rsidP="00023CEC">
      <w:pPr>
        <w:pStyle w:val="ListParagraph"/>
        <w:numPr>
          <w:ilvl w:val="0"/>
          <w:numId w:val="6"/>
        </w:numPr>
        <w:rPr>
          <w:rFonts w:eastAsia="Calibri"/>
          <w:szCs w:val="18"/>
        </w:rPr>
      </w:pPr>
      <w:r w:rsidRPr="005B14C4">
        <w:rPr>
          <w:rFonts w:eastAsia="Calibri"/>
          <w:szCs w:val="18"/>
        </w:rPr>
        <w:t>Do not use a cartridge if it appears wet or if the lid seal appears to have been broken.</w:t>
      </w:r>
    </w:p>
    <w:p w:rsidR="005B14C4" w:rsidRPr="005B14C4" w:rsidRDefault="005B14C4" w:rsidP="00023CEC">
      <w:pPr>
        <w:pStyle w:val="ListParagraph"/>
        <w:numPr>
          <w:ilvl w:val="0"/>
          <w:numId w:val="6"/>
        </w:numPr>
        <w:rPr>
          <w:rFonts w:eastAsia="Calibri"/>
          <w:szCs w:val="18"/>
        </w:rPr>
      </w:pPr>
      <w:r w:rsidRPr="005B14C4">
        <w:rPr>
          <w:rFonts w:eastAsia="Calibri"/>
          <w:szCs w:val="18"/>
        </w:rPr>
        <w:t>Good laboratory practices, including changing gloves between handling patient specimens, are recommended to avoid contamination of specimens or reagents.</w:t>
      </w:r>
    </w:p>
    <w:p w:rsidR="005B14C4" w:rsidRPr="005B14C4" w:rsidRDefault="005B14C4" w:rsidP="00023CEC">
      <w:pPr>
        <w:pStyle w:val="ListParagraph"/>
        <w:numPr>
          <w:ilvl w:val="0"/>
          <w:numId w:val="6"/>
        </w:numPr>
        <w:rPr>
          <w:rFonts w:eastAsia="Calibri"/>
          <w:szCs w:val="18"/>
        </w:rPr>
      </w:pPr>
      <w:r w:rsidRPr="005B14C4">
        <w:rPr>
          <w:rFonts w:eastAsia="Calibri"/>
          <w:szCs w:val="18"/>
        </w:rPr>
        <w:t>Wear clean lab coats and gloves. In the event of contamination of the work area or equipment with samples or controls, thoroughly clean the contaminated area with a 1:10 dilution of household chlorine bleach and then 70% denatured ethanol.</w:t>
      </w:r>
    </w:p>
    <w:p w:rsidR="005B14C4" w:rsidRPr="005B14C4" w:rsidRDefault="005B14C4" w:rsidP="00023CEC">
      <w:pPr>
        <w:pStyle w:val="ListParagraph"/>
        <w:numPr>
          <w:ilvl w:val="0"/>
          <w:numId w:val="6"/>
        </w:numPr>
        <w:rPr>
          <w:rFonts w:eastAsia="Calibri"/>
          <w:szCs w:val="18"/>
        </w:rPr>
      </w:pPr>
      <w:r w:rsidRPr="005B14C4">
        <w:rPr>
          <w:rFonts w:eastAsia="Calibri"/>
          <w:szCs w:val="18"/>
        </w:rPr>
        <w:t>Wipe work surfaces dry completely before proceeding.</w:t>
      </w:r>
    </w:p>
    <w:p w:rsidR="005B14C4" w:rsidRPr="005B14C4" w:rsidRDefault="005B14C4" w:rsidP="005B14C4">
      <w:pPr>
        <w:pStyle w:val="ListParagraph"/>
        <w:rPr>
          <w:rFonts w:eastAsia="Calibri"/>
          <w:szCs w:val="18"/>
        </w:rPr>
      </w:pPr>
    </w:p>
    <w:p w:rsidR="00BB0B63" w:rsidRDefault="00CF7A91" w:rsidP="00CB3D59">
      <w:pPr>
        <w:pStyle w:val="Heading1"/>
        <w:rPr>
          <w:sz w:val="28"/>
          <w:szCs w:val="28"/>
        </w:rPr>
      </w:pPr>
      <w:r w:rsidRPr="00555B72">
        <w:rPr>
          <w:sz w:val="28"/>
          <w:szCs w:val="28"/>
        </w:rPr>
        <w:t>Quality Control</w:t>
      </w:r>
      <w:r w:rsidR="00555B72">
        <w:rPr>
          <w:sz w:val="28"/>
          <w:szCs w:val="28"/>
        </w:rPr>
        <w:t>:</w:t>
      </w:r>
    </w:p>
    <w:p w:rsidR="008D3C5C" w:rsidRPr="00273C7B" w:rsidRDefault="008D3C5C" w:rsidP="00273C7B">
      <w:pPr>
        <w:ind w:left="1080"/>
        <w:rPr>
          <w:rFonts w:eastAsia="Calibri"/>
          <w:szCs w:val="18"/>
        </w:rPr>
      </w:pPr>
      <w:r w:rsidRPr="00273C7B">
        <w:rPr>
          <w:rFonts w:eastAsia="Calibri"/>
          <w:szCs w:val="18"/>
        </w:rPr>
        <w:t>Each test includes a Sample Processing Control (SPC) and a Probe Check Control (PCC).</w:t>
      </w:r>
    </w:p>
    <w:p w:rsidR="008D3C5C" w:rsidRPr="00273C7B" w:rsidRDefault="008D3C5C" w:rsidP="00023CEC">
      <w:pPr>
        <w:pStyle w:val="ListParagraph"/>
        <w:numPr>
          <w:ilvl w:val="0"/>
          <w:numId w:val="8"/>
        </w:numPr>
        <w:rPr>
          <w:rFonts w:eastAsia="Calibri"/>
        </w:rPr>
      </w:pPr>
      <w:r w:rsidRPr="00273C7B">
        <w:rPr>
          <w:rFonts w:eastAsia="Calibri"/>
          <w:b/>
          <w:szCs w:val="18"/>
        </w:rPr>
        <w:t>Sample Processing Control (SPC):</w:t>
      </w:r>
      <w:r w:rsidRPr="00273C7B">
        <w:rPr>
          <w:rFonts w:eastAsia="Calibri"/>
          <w:szCs w:val="18"/>
        </w:rPr>
        <w:t xml:space="preserve"> Ensures the sample was processed correctly. The SPC is an Armored RNA</w:t>
      </w:r>
      <w:r w:rsidR="00FE4DE3" w:rsidRPr="00273C7B">
        <w:rPr>
          <w:rFonts w:eastAsia="Calibri"/>
          <w:szCs w:val="14"/>
        </w:rPr>
        <w:t xml:space="preserve"> </w:t>
      </w:r>
      <w:r w:rsidRPr="00273C7B">
        <w:rPr>
          <w:rFonts w:eastAsia="Calibri"/>
          <w:szCs w:val="18"/>
        </w:rPr>
        <w:t>that is</w:t>
      </w:r>
      <w:r w:rsidR="00FE4DE3" w:rsidRPr="00273C7B">
        <w:rPr>
          <w:rFonts w:eastAsia="Calibri"/>
        </w:rPr>
        <w:t xml:space="preserve"> </w:t>
      </w:r>
      <w:r w:rsidRPr="00273C7B">
        <w:rPr>
          <w:rFonts w:eastAsia="Calibri"/>
          <w:szCs w:val="18"/>
        </w:rPr>
        <w:t>included in each cartridge to verify adequate processing of the sample. The SPC verifies that release of RNA from the</w:t>
      </w:r>
      <w:r w:rsidR="00FE4DE3" w:rsidRPr="00273C7B">
        <w:rPr>
          <w:rFonts w:eastAsia="Calibri"/>
        </w:rPr>
        <w:t xml:space="preserve"> </w:t>
      </w:r>
      <w:r w:rsidRPr="00273C7B">
        <w:rPr>
          <w:rFonts w:eastAsia="Calibri"/>
          <w:szCs w:val="18"/>
        </w:rPr>
        <w:t>influenza and RSV viruses has occurred if the organism is present and verifies that the specimen processing is adequate.</w:t>
      </w:r>
      <w:r w:rsidR="00FE4DE3" w:rsidRPr="00273C7B">
        <w:rPr>
          <w:rFonts w:eastAsia="Calibri"/>
          <w:szCs w:val="18"/>
        </w:rPr>
        <w:t xml:space="preserve"> </w:t>
      </w:r>
      <w:r w:rsidRPr="00273C7B">
        <w:rPr>
          <w:rFonts w:eastAsia="Calibri"/>
        </w:rPr>
        <w:t>Additionally, this control detects specimen-associated inhibition of the RT-PCR and PCR reactions. The SPC should be</w:t>
      </w:r>
      <w:r w:rsidR="00FE4DE3" w:rsidRPr="00273C7B">
        <w:rPr>
          <w:rFonts w:eastAsia="Calibri"/>
        </w:rPr>
        <w:t xml:space="preserve"> </w:t>
      </w:r>
      <w:r w:rsidRPr="00273C7B">
        <w:rPr>
          <w:rFonts w:eastAsia="Calibri"/>
        </w:rPr>
        <w:t>positive in a negative sample and can be negative or positive in a positive sample. The SPC passes if it meets the validated</w:t>
      </w:r>
      <w:r w:rsidR="00FE4DE3" w:rsidRPr="00273C7B">
        <w:rPr>
          <w:rFonts w:eastAsia="Calibri"/>
        </w:rPr>
        <w:t xml:space="preserve"> </w:t>
      </w:r>
      <w:r w:rsidRPr="00273C7B">
        <w:rPr>
          <w:rFonts w:eastAsia="Calibri"/>
        </w:rPr>
        <w:t>acceptance criteria.</w:t>
      </w:r>
    </w:p>
    <w:p w:rsidR="008D3C5C" w:rsidRPr="00273C7B" w:rsidRDefault="008D3C5C" w:rsidP="00273C7B">
      <w:pPr>
        <w:ind w:left="1080"/>
        <w:rPr>
          <w:rFonts w:eastAsia="Calibri"/>
          <w:b/>
          <w:i/>
        </w:rPr>
      </w:pPr>
      <w:r w:rsidRPr="00273C7B">
        <w:rPr>
          <w:rFonts w:eastAsia="Calibri"/>
          <w:b/>
          <w:i/>
        </w:rPr>
        <w:t>There are two exceptions in which SPC is ignored and the result is valid:</w:t>
      </w:r>
    </w:p>
    <w:p w:rsidR="00273C7B" w:rsidRPr="00273C7B" w:rsidRDefault="008D3C5C" w:rsidP="00023CEC">
      <w:pPr>
        <w:pStyle w:val="ListParagraph"/>
        <w:numPr>
          <w:ilvl w:val="0"/>
          <w:numId w:val="9"/>
        </w:numPr>
        <w:rPr>
          <w:rFonts w:eastAsia="Calibri"/>
          <w:szCs w:val="18"/>
        </w:rPr>
      </w:pPr>
      <w:r w:rsidRPr="00273C7B">
        <w:rPr>
          <w:rFonts w:eastAsia="Calibri"/>
          <w:szCs w:val="18"/>
        </w:rPr>
        <w:t>The SPC may be negative in a sample with a high titer of Flu A or Flu B when tested with the Xpert RSV US-IVD</w:t>
      </w:r>
      <w:r w:rsidR="00273C7B" w:rsidRPr="00273C7B">
        <w:rPr>
          <w:rFonts w:eastAsia="Calibri"/>
        </w:rPr>
        <w:t xml:space="preserve"> </w:t>
      </w:r>
      <w:r w:rsidRPr="00273C7B">
        <w:rPr>
          <w:rFonts w:eastAsia="Calibri"/>
          <w:szCs w:val="18"/>
        </w:rPr>
        <w:t>ADF.</w:t>
      </w:r>
      <w:r w:rsidR="00273C7B" w:rsidRPr="00273C7B">
        <w:rPr>
          <w:rFonts w:eastAsia="Calibri"/>
        </w:rPr>
        <w:t xml:space="preserve"> </w:t>
      </w:r>
    </w:p>
    <w:p w:rsidR="008D3C5C" w:rsidRDefault="00273C7B" w:rsidP="00023CEC">
      <w:pPr>
        <w:pStyle w:val="ListParagraph"/>
        <w:numPr>
          <w:ilvl w:val="0"/>
          <w:numId w:val="9"/>
        </w:numPr>
        <w:rPr>
          <w:rFonts w:eastAsia="Calibri"/>
          <w:szCs w:val="18"/>
        </w:rPr>
      </w:pPr>
      <w:r w:rsidRPr="00273C7B">
        <w:rPr>
          <w:rFonts w:eastAsia="Calibri"/>
        </w:rPr>
        <w:t>T</w:t>
      </w:r>
      <w:r w:rsidR="008D3C5C" w:rsidRPr="00273C7B">
        <w:rPr>
          <w:rFonts w:eastAsia="Calibri"/>
          <w:szCs w:val="18"/>
        </w:rPr>
        <w:t>he SPC may be negative in a sample with a hig</w:t>
      </w:r>
      <w:r w:rsidRPr="00273C7B">
        <w:rPr>
          <w:rFonts w:eastAsia="Calibri"/>
        </w:rPr>
        <w:t xml:space="preserve">h titer of RSV when tested with </w:t>
      </w:r>
      <w:r w:rsidR="008D3C5C" w:rsidRPr="00273C7B">
        <w:rPr>
          <w:rFonts w:eastAsia="Calibri"/>
          <w:szCs w:val="18"/>
        </w:rPr>
        <w:t>the Xpert Flu XC US-IVD ADF.</w:t>
      </w:r>
    </w:p>
    <w:p w:rsidR="00273C7B" w:rsidRPr="00273C7B" w:rsidRDefault="00273C7B" w:rsidP="00273C7B">
      <w:pPr>
        <w:pStyle w:val="ListParagraph"/>
        <w:ind w:left="1440"/>
        <w:rPr>
          <w:rFonts w:eastAsia="Calibri"/>
          <w:szCs w:val="18"/>
        </w:rPr>
      </w:pPr>
    </w:p>
    <w:p w:rsidR="008D3C5C" w:rsidRDefault="008D3C5C" w:rsidP="00023CEC">
      <w:pPr>
        <w:pStyle w:val="ListParagraph"/>
        <w:numPr>
          <w:ilvl w:val="0"/>
          <w:numId w:val="7"/>
        </w:numPr>
        <w:rPr>
          <w:rFonts w:eastAsia="Calibri"/>
        </w:rPr>
      </w:pPr>
      <w:r w:rsidRPr="00CA7830">
        <w:rPr>
          <w:rFonts w:ascii="TimesNewRomanPS-BoldMT" w:eastAsia="Calibri" w:hAnsi="TimesNewRomanPS-BoldMT" w:cs="TimesNewRomanPS-BoldMT"/>
          <w:b/>
          <w:bCs/>
        </w:rPr>
        <w:t xml:space="preserve">Probe Check Control (PCC, QC1, </w:t>
      </w:r>
      <w:r w:rsidR="00BD4C61" w:rsidRPr="00CA7830">
        <w:rPr>
          <w:rFonts w:ascii="TimesNewRomanPS-BoldMT" w:eastAsia="Calibri" w:hAnsi="TimesNewRomanPS-BoldMT" w:cs="TimesNewRomanPS-BoldMT"/>
          <w:b/>
          <w:bCs/>
        </w:rPr>
        <w:t>and QC2</w:t>
      </w:r>
      <w:r w:rsidRPr="00CA7830">
        <w:rPr>
          <w:rFonts w:ascii="TimesNewRomanPS-BoldMT" w:eastAsia="Calibri" w:hAnsi="TimesNewRomanPS-BoldMT" w:cs="TimesNewRomanPS-BoldMT"/>
          <w:b/>
          <w:bCs/>
        </w:rPr>
        <w:t xml:space="preserve">): </w:t>
      </w:r>
      <w:r w:rsidRPr="00CA7830">
        <w:rPr>
          <w:rFonts w:eastAsia="Calibri"/>
        </w:rPr>
        <w:t>Before the start of the PCR reaction, the GeneXpert Instrument System measures</w:t>
      </w:r>
      <w:r w:rsidR="00273C7B" w:rsidRPr="00CA7830">
        <w:rPr>
          <w:rFonts w:eastAsia="Calibri"/>
        </w:rPr>
        <w:t xml:space="preserve"> </w:t>
      </w:r>
      <w:r w:rsidRPr="00CA7830">
        <w:rPr>
          <w:rFonts w:eastAsia="Calibri"/>
        </w:rPr>
        <w:t>the fluorescence signal from the first PCC (QC1 and QC2) performed before the reverse transcription step. QC1 checks for</w:t>
      </w:r>
      <w:r w:rsidR="00273C7B" w:rsidRPr="00CA7830">
        <w:rPr>
          <w:rFonts w:eastAsia="Calibri"/>
        </w:rPr>
        <w:t xml:space="preserve"> </w:t>
      </w:r>
      <w:r w:rsidRPr="00CA7830">
        <w:rPr>
          <w:rFonts w:eastAsia="Calibri"/>
        </w:rPr>
        <w:t>the presence of the EZR bead and QC2 checks for the presence of the TSR bead. The second PCC (Flu A 1, Flu A 2, Flu B,</w:t>
      </w:r>
      <w:r w:rsidR="00273C7B" w:rsidRPr="00CA7830">
        <w:rPr>
          <w:rFonts w:eastAsia="Calibri"/>
        </w:rPr>
        <w:t xml:space="preserve"> </w:t>
      </w:r>
      <w:r w:rsidRPr="00CA7830">
        <w:rPr>
          <w:rFonts w:eastAsia="Calibri"/>
        </w:rPr>
        <w:t>RSV, and SPC) is performed after the reverse transcription step and before PCR begins. The Probe Check Control (PCC</w:t>
      </w:r>
      <w:r w:rsidR="00BD4C61" w:rsidRPr="00CA7830">
        <w:rPr>
          <w:rFonts w:eastAsia="Calibri"/>
        </w:rPr>
        <w:t>, QC1</w:t>
      </w:r>
      <w:r w:rsidRPr="00CA7830">
        <w:rPr>
          <w:rFonts w:eastAsia="Calibri"/>
        </w:rPr>
        <w:t xml:space="preserve"> and QC2) monitors bead rehydration, reaction tube filling, probe integrity, and dye stability. The PCC passes if it meets</w:t>
      </w:r>
      <w:r w:rsidR="00CA7830" w:rsidRPr="00CA7830">
        <w:rPr>
          <w:rFonts w:eastAsia="Calibri"/>
        </w:rPr>
        <w:t xml:space="preserve"> </w:t>
      </w:r>
      <w:r w:rsidRPr="00CA7830">
        <w:rPr>
          <w:rFonts w:eastAsia="Calibri"/>
        </w:rPr>
        <w:t>the validated acceptance criteria.</w:t>
      </w:r>
    </w:p>
    <w:p w:rsidR="00D7077B" w:rsidRDefault="00D7077B" w:rsidP="00D7077B">
      <w:pPr>
        <w:pStyle w:val="ListParagraph"/>
        <w:ind w:left="1440"/>
        <w:rPr>
          <w:rFonts w:eastAsia="Calibri"/>
        </w:rPr>
      </w:pPr>
    </w:p>
    <w:p w:rsidR="00D7077B" w:rsidRPr="00D7077B" w:rsidRDefault="00D7077B" w:rsidP="00023CEC">
      <w:pPr>
        <w:pStyle w:val="Heading1"/>
        <w:numPr>
          <w:ilvl w:val="0"/>
          <w:numId w:val="10"/>
        </w:numPr>
        <w:rPr>
          <w:rFonts w:eastAsia="Calibri"/>
          <w:sz w:val="28"/>
          <w:szCs w:val="28"/>
        </w:rPr>
      </w:pPr>
      <w:r w:rsidRPr="00D7077B">
        <w:rPr>
          <w:rFonts w:eastAsia="Calibri"/>
          <w:sz w:val="28"/>
          <w:szCs w:val="28"/>
        </w:rPr>
        <w:t>Procedure</w:t>
      </w:r>
      <w:r>
        <w:rPr>
          <w:rFonts w:eastAsia="Calibri"/>
          <w:sz w:val="28"/>
          <w:szCs w:val="28"/>
        </w:rPr>
        <w:t>:</w:t>
      </w:r>
    </w:p>
    <w:p w:rsidR="00D7077B" w:rsidRPr="00D7077B" w:rsidRDefault="00D7077B" w:rsidP="00D7077B">
      <w:pPr>
        <w:ind w:left="1080"/>
        <w:rPr>
          <w:rFonts w:eastAsia="Calibri"/>
          <w:i/>
        </w:rPr>
      </w:pPr>
      <w:r w:rsidRPr="00D7077B">
        <w:rPr>
          <w:rFonts w:eastAsia="Calibri"/>
          <w:i/>
        </w:rPr>
        <w:t>Preparing the Cartridge</w:t>
      </w:r>
    </w:p>
    <w:p w:rsidR="00D7077B" w:rsidRPr="00D7077B" w:rsidRDefault="00D7077B" w:rsidP="00D7077B">
      <w:pPr>
        <w:ind w:left="1080"/>
        <w:rPr>
          <w:rFonts w:eastAsia="Calibri"/>
          <w:i/>
        </w:rPr>
      </w:pPr>
      <w:r w:rsidRPr="00D7077B">
        <w:rPr>
          <w:rFonts w:eastAsia="Calibri"/>
          <w:i/>
        </w:rPr>
        <w:t>For NP Swab Specimens:</w:t>
      </w:r>
    </w:p>
    <w:p w:rsidR="00D7077B" w:rsidRPr="00D7077B" w:rsidRDefault="00D7077B" w:rsidP="00023CEC">
      <w:pPr>
        <w:pStyle w:val="ListParagraph"/>
        <w:numPr>
          <w:ilvl w:val="0"/>
          <w:numId w:val="11"/>
        </w:numPr>
        <w:rPr>
          <w:rFonts w:eastAsia="Calibri"/>
        </w:rPr>
      </w:pPr>
      <w:r w:rsidRPr="00D7077B">
        <w:rPr>
          <w:rFonts w:eastAsia="Calibri"/>
        </w:rPr>
        <w:t>Remove a cartridge from the package.</w:t>
      </w:r>
    </w:p>
    <w:p w:rsidR="00D7077B" w:rsidRPr="00D7077B" w:rsidRDefault="00D7077B" w:rsidP="00023CEC">
      <w:pPr>
        <w:pStyle w:val="ListParagraph"/>
        <w:numPr>
          <w:ilvl w:val="0"/>
          <w:numId w:val="11"/>
        </w:numPr>
        <w:rPr>
          <w:rFonts w:eastAsia="Calibri"/>
        </w:rPr>
      </w:pPr>
      <w:r w:rsidRPr="00D7077B">
        <w:rPr>
          <w:rFonts w:eastAsia="Calibri"/>
        </w:rPr>
        <w:t>Mix</w:t>
      </w:r>
      <w:r w:rsidR="007A0724">
        <w:rPr>
          <w:rFonts w:eastAsia="Calibri"/>
        </w:rPr>
        <w:t xml:space="preserve"> specimen by inverting the</w:t>
      </w:r>
      <w:r w:rsidRPr="00D7077B">
        <w:rPr>
          <w:rFonts w:eastAsia="Calibri"/>
        </w:rPr>
        <w:t xml:space="preserve"> Viral Transport Medium tube five times.</w:t>
      </w:r>
    </w:p>
    <w:p w:rsidR="00D7077B" w:rsidRPr="00D7077B" w:rsidRDefault="00D7077B" w:rsidP="00023CEC">
      <w:pPr>
        <w:pStyle w:val="ListParagraph"/>
        <w:numPr>
          <w:ilvl w:val="0"/>
          <w:numId w:val="11"/>
        </w:numPr>
        <w:rPr>
          <w:rFonts w:eastAsia="Calibri"/>
        </w:rPr>
      </w:pPr>
      <w:r w:rsidRPr="00D7077B">
        <w:rPr>
          <w:rFonts w:eastAsia="Calibri"/>
        </w:rPr>
        <w:t>Open the cartridge lid. Using a clean 300 μL transfer pipette (supplied), transfer 300 μL (one draw) of the specimen from the transport medium tube to the sample chamber with large open</w:t>
      </w:r>
      <w:r>
        <w:rPr>
          <w:rFonts w:eastAsia="Calibri"/>
        </w:rPr>
        <w:t>ing in the cartridge.</w:t>
      </w:r>
    </w:p>
    <w:p w:rsidR="00D7077B" w:rsidRPr="00D7077B" w:rsidRDefault="00D7077B" w:rsidP="00023CEC">
      <w:pPr>
        <w:pStyle w:val="ListParagraph"/>
        <w:numPr>
          <w:ilvl w:val="0"/>
          <w:numId w:val="11"/>
        </w:numPr>
        <w:rPr>
          <w:rFonts w:eastAsia="Calibri"/>
        </w:rPr>
      </w:pPr>
      <w:r w:rsidRPr="00D7077B">
        <w:rPr>
          <w:rFonts w:eastAsia="Calibri"/>
        </w:rPr>
        <w:t>Close the cartridge lid.</w:t>
      </w:r>
    </w:p>
    <w:p w:rsidR="00D7077B" w:rsidRPr="00D7077B" w:rsidRDefault="00D7077B" w:rsidP="00D7077B">
      <w:pPr>
        <w:ind w:left="1080"/>
        <w:rPr>
          <w:rFonts w:eastAsia="Calibri"/>
          <w:i/>
        </w:rPr>
      </w:pPr>
      <w:r w:rsidRPr="00D7077B">
        <w:rPr>
          <w:rFonts w:eastAsia="Calibri"/>
          <w:i/>
        </w:rPr>
        <w:t>For NA/W Specimens:</w:t>
      </w:r>
    </w:p>
    <w:p w:rsidR="00D7077B" w:rsidRPr="00D7077B" w:rsidRDefault="00D7077B" w:rsidP="00023CEC">
      <w:pPr>
        <w:pStyle w:val="ListParagraph"/>
        <w:numPr>
          <w:ilvl w:val="0"/>
          <w:numId w:val="11"/>
        </w:numPr>
        <w:rPr>
          <w:rFonts w:eastAsia="Calibri"/>
        </w:rPr>
      </w:pPr>
      <w:r w:rsidRPr="00D7077B">
        <w:rPr>
          <w:rFonts w:eastAsia="Calibri"/>
        </w:rPr>
        <w:t>Using a clean 300 μL transfer pipette (supplied), transfer 600 μL of the sample (two draws, using the same transfer pipette) into the 3 mL Xpert Viral Transport Medium tube and then cap the tube.</w:t>
      </w:r>
    </w:p>
    <w:p w:rsidR="00D7077B" w:rsidRPr="00D7077B" w:rsidRDefault="00D7077B" w:rsidP="00023CEC">
      <w:pPr>
        <w:pStyle w:val="ListParagraph"/>
        <w:numPr>
          <w:ilvl w:val="0"/>
          <w:numId w:val="11"/>
        </w:numPr>
        <w:rPr>
          <w:rFonts w:eastAsia="Calibri"/>
        </w:rPr>
      </w:pPr>
      <w:r w:rsidRPr="00D7077B">
        <w:rPr>
          <w:rFonts w:eastAsia="Calibri"/>
        </w:rPr>
        <w:t>Mix specimen by inverting the transport medium tube five times.</w:t>
      </w:r>
    </w:p>
    <w:p w:rsidR="00D7077B" w:rsidRPr="00D7077B" w:rsidRDefault="00D7077B" w:rsidP="00023CEC">
      <w:pPr>
        <w:pStyle w:val="ListParagraph"/>
        <w:numPr>
          <w:ilvl w:val="0"/>
          <w:numId w:val="11"/>
        </w:numPr>
        <w:rPr>
          <w:rFonts w:eastAsia="Calibri"/>
        </w:rPr>
      </w:pPr>
      <w:r w:rsidRPr="00D7077B">
        <w:rPr>
          <w:rFonts w:eastAsia="Calibri"/>
        </w:rPr>
        <w:t>Remove the cartridge from the package.</w:t>
      </w:r>
    </w:p>
    <w:p w:rsidR="00D7077B" w:rsidRPr="00D7077B" w:rsidRDefault="00D7077B" w:rsidP="00023CEC">
      <w:pPr>
        <w:pStyle w:val="ListParagraph"/>
        <w:numPr>
          <w:ilvl w:val="0"/>
          <w:numId w:val="11"/>
        </w:numPr>
        <w:rPr>
          <w:rFonts w:eastAsia="Calibri"/>
        </w:rPr>
      </w:pPr>
      <w:r w:rsidRPr="00D7077B">
        <w:rPr>
          <w:rFonts w:eastAsia="Calibri"/>
        </w:rPr>
        <w:t>Open the cartridge lid. Using a clean 300 μL transfer pipette (supplied), transfer 300 μL (one draw) of the diluted specimen to the sample chamber with the large ope</w:t>
      </w:r>
      <w:r w:rsidR="005276A5">
        <w:rPr>
          <w:rFonts w:eastAsia="Calibri"/>
        </w:rPr>
        <w:t>ning in the cartridge</w:t>
      </w:r>
      <w:r w:rsidRPr="00D7077B">
        <w:rPr>
          <w:rFonts w:eastAsia="Calibri"/>
        </w:rPr>
        <w:t>.</w:t>
      </w:r>
    </w:p>
    <w:p w:rsidR="00D7077B" w:rsidRDefault="00D7077B" w:rsidP="00023CEC">
      <w:pPr>
        <w:pStyle w:val="ListParagraph"/>
        <w:numPr>
          <w:ilvl w:val="0"/>
          <w:numId w:val="11"/>
        </w:numPr>
        <w:rPr>
          <w:rFonts w:eastAsia="Calibri"/>
        </w:rPr>
      </w:pPr>
      <w:r w:rsidRPr="00D7077B">
        <w:rPr>
          <w:rFonts w:eastAsia="Calibri"/>
        </w:rPr>
        <w:t>Close the cartridge lid.</w:t>
      </w:r>
    </w:p>
    <w:p w:rsidR="00D7077B" w:rsidRPr="00D7077B" w:rsidRDefault="00D7077B" w:rsidP="00D7077B">
      <w:pPr>
        <w:pStyle w:val="ListParagraph"/>
        <w:ind w:left="1440"/>
        <w:rPr>
          <w:rFonts w:eastAsia="Calibri"/>
        </w:rPr>
      </w:pPr>
    </w:p>
    <w:p w:rsidR="00D7077B" w:rsidRPr="00D7077B" w:rsidRDefault="00D7077B" w:rsidP="00D7077B">
      <w:pPr>
        <w:ind w:left="1080"/>
        <w:rPr>
          <w:rFonts w:eastAsia="Calibri"/>
          <w:i/>
        </w:rPr>
      </w:pPr>
      <w:r w:rsidRPr="00D7077B">
        <w:rPr>
          <w:rFonts w:eastAsia="Calibri"/>
        </w:rPr>
        <w:t xml:space="preserve"> </w:t>
      </w:r>
      <w:r w:rsidRPr="00D7077B">
        <w:rPr>
          <w:rFonts w:eastAsia="Calibri"/>
          <w:i/>
        </w:rPr>
        <w:t>Starting the Test</w:t>
      </w:r>
      <w:r>
        <w:rPr>
          <w:rFonts w:eastAsia="Calibri"/>
          <w:i/>
        </w:rPr>
        <w:t>:</w:t>
      </w:r>
    </w:p>
    <w:p w:rsidR="00D7077B" w:rsidRPr="00D7077B" w:rsidRDefault="00D7077B" w:rsidP="00023CEC">
      <w:pPr>
        <w:pStyle w:val="ListParagraph"/>
        <w:numPr>
          <w:ilvl w:val="0"/>
          <w:numId w:val="11"/>
        </w:numPr>
        <w:rPr>
          <w:rFonts w:eastAsia="Calibri"/>
        </w:rPr>
      </w:pPr>
      <w:r w:rsidRPr="00D7077B">
        <w:rPr>
          <w:rFonts w:eastAsia="Calibri"/>
        </w:rPr>
        <w:t>Turn on the GeneXpert instrument:</w:t>
      </w:r>
    </w:p>
    <w:p w:rsidR="00D7077B" w:rsidRDefault="00D7077B" w:rsidP="00023CEC">
      <w:pPr>
        <w:pStyle w:val="ListParagraph"/>
        <w:numPr>
          <w:ilvl w:val="0"/>
          <w:numId w:val="11"/>
        </w:numPr>
        <w:rPr>
          <w:rFonts w:eastAsia="Calibri"/>
        </w:rPr>
      </w:pPr>
      <w:r w:rsidRPr="00D7077B">
        <w:rPr>
          <w:rFonts w:eastAsia="Calibri"/>
        </w:rPr>
        <w:t xml:space="preserve"> Log on to the GeneXpert Instrument System software using your user name and password.</w:t>
      </w:r>
    </w:p>
    <w:p w:rsidR="00907CD2" w:rsidRPr="00907CD2" w:rsidRDefault="00D7077B" w:rsidP="00023CEC">
      <w:pPr>
        <w:pStyle w:val="ListParagraph"/>
        <w:numPr>
          <w:ilvl w:val="0"/>
          <w:numId w:val="12"/>
        </w:numPr>
        <w:rPr>
          <w:rFonts w:eastAsia="Calibri"/>
        </w:rPr>
      </w:pPr>
      <w:r w:rsidRPr="00907CD2">
        <w:rPr>
          <w:rFonts w:eastAsia="Calibri"/>
        </w:rPr>
        <w:t>In the GeneXpert System window, click Create Test.</w:t>
      </w:r>
    </w:p>
    <w:p w:rsidR="00023CEC" w:rsidRDefault="00D7077B" w:rsidP="00023CEC">
      <w:pPr>
        <w:pStyle w:val="ListParagraph"/>
        <w:numPr>
          <w:ilvl w:val="0"/>
          <w:numId w:val="12"/>
        </w:numPr>
        <w:autoSpaceDE w:val="0"/>
        <w:autoSpaceDN w:val="0"/>
        <w:adjustRightInd w:val="0"/>
        <w:rPr>
          <w:rFonts w:eastAsia="Calibri"/>
        </w:rPr>
      </w:pPr>
      <w:r w:rsidRPr="00023CEC">
        <w:rPr>
          <w:rFonts w:eastAsia="Calibri"/>
        </w:rPr>
        <w:t>Scan (or ty</w:t>
      </w:r>
      <w:r w:rsidR="00907CD2" w:rsidRPr="00023CEC">
        <w:rPr>
          <w:rFonts w:eastAsia="Calibri"/>
        </w:rPr>
        <w:t>pe in) the Sample ID (Meditech barcode)</w:t>
      </w:r>
      <w:r w:rsidR="00023CEC" w:rsidRPr="00023CEC">
        <w:rPr>
          <w:rFonts w:eastAsia="Calibri"/>
        </w:rPr>
        <w:t>.</w:t>
      </w:r>
      <w:r w:rsidR="00023CEC" w:rsidRPr="00023CEC">
        <w:rPr>
          <w:rFonts w:ascii="TimesNewRomanPSMT" w:eastAsia="Calibri" w:hAnsi="TimesNewRomanPSMT" w:cs="TimesNewRomanPSMT"/>
          <w:sz w:val="18"/>
          <w:szCs w:val="18"/>
        </w:rPr>
        <w:t xml:space="preserve"> </w:t>
      </w:r>
      <w:r w:rsidR="00023CEC" w:rsidRPr="00023CEC">
        <w:rPr>
          <w:rFonts w:eastAsia="Calibri"/>
        </w:rPr>
        <w:t>Using the barcode information, the software automatically fills in the boxes for the following fields: Reagent Lot ID, Cartridge SN, and Expiration Date.</w:t>
      </w:r>
    </w:p>
    <w:p w:rsidR="00023CEC" w:rsidRDefault="00023CEC" w:rsidP="00023CEC">
      <w:pPr>
        <w:pStyle w:val="ListParagraph"/>
        <w:numPr>
          <w:ilvl w:val="0"/>
          <w:numId w:val="12"/>
        </w:numPr>
        <w:autoSpaceDE w:val="0"/>
        <w:autoSpaceDN w:val="0"/>
        <w:adjustRightInd w:val="0"/>
        <w:rPr>
          <w:rFonts w:eastAsia="Calibri"/>
        </w:rPr>
      </w:pPr>
      <w:r w:rsidRPr="00023CEC">
        <w:rPr>
          <w:rFonts w:eastAsia="Calibri"/>
        </w:rPr>
        <w:t xml:space="preserve">Open the instrument module door with the blinking green light and load the cartridge. </w:t>
      </w:r>
    </w:p>
    <w:p w:rsidR="00023CEC" w:rsidRDefault="00023CEC" w:rsidP="00023CEC">
      <w:pPr>
        <w:pStyle w:val="ListParagraph"/>
        <w:numPr>
          <w:ilvl w:val="0"/>
          <w:numId w:val="12"/>
        </w:numPr>
        <w:autoSpaceDE w:val="0"/>
        <w:autoSpaceDN w:val="0"/>
        <w:adjustRightInd w:val="0"/>
        <w:rPr>
          <w:rFonts w:eastAsia="Calibri"/>
        </w:rPr>
      </w:pPr>
      <w:r w:rsidRPr="00023CEC">
        <w:rPr>
          <w:rFonts w:eastAsia="Calibri"/>
        </w:rPr>
        <w:t xml:space="preserve">Close the door. The test starts and the green light stops blinking. When the test is finished, the light turns off. </w:t>
      </w:r>
    </w:p>
    <w:p w:rsidR="00023CEC" w:rsidRDefault="00023CEC" w:rsidP="00023CEC">
      <w:pPr>
        <w:pStyle w:val="ListParagraph"/>
        <w:numPr>
          <w:ilvl w:val="0"/>
          <w:numId w:val="12"/>
        </w:numPr>
        <w:autoSpaceDE w:val="0"/>
        <w:autoSpaceDN w:val="0"/>
        <w:adjustRightInd w:val="0"/>
        <w:rPr>
          <w:rFonts w:eastAsia="Calibri"/>
        </w:rPr>
      </w:pPr>
      <w:r w:rsidRPr="00023CEC">
        <w:rPr>
          <w:rFonts w:eastAsia="Calibri"/>
        </w:rPr>
        <w:t xml:space="preserve">Wait until the system releases the door lock before opening the module door and removing the cartridge. </w:t>
      </w:r>
    </w:p>
    <w:p w:rsidR="00023CEC" w:rsidRPr="00023CEC" w:rsidRDefault="00023CEC" w:rsidP="00023CEC">
      <w:pPr>
        <w:pStyle w:val="ListParagraph"/>
        <w:numPr>
          <w:ilvl w:val="0"/>
          <w:numId w:val="12"/>
        </w:numPr>
        <w:autoSpaceDE w:val="0"/>
        <w:autoSpaceDN w:val="0"/>
        <w:adjustRightInd w:val="0"/>
        <w:rPr>
          <w:rFonts w:eastAsia="Calibri"/>
        </w:rPr>
      </w:pPr>
      <w:r w:rsidRPr="00023CEC">
        <w:rPr>
          <w:rFonts w:eastAsia="Calibri"/>
        </w:rPr>
        <w:t>The used cartridges should be disposed in the appropriate biohazard waste container.</w:t>
      </w:r>
    </w:p>
    <w:p w:rsidR="00023CEC" w:rsidRPr="00907CD2" w:rsidRDefault="00023CEC" w:rsidP="00023CEC">
      <w:pPr>
        <w:pStyle w:val="ListParagraph"/>
      </w:pPr>
    </w:p>
    <w:p w:rsidR="00D7077B" w:rsidRPr="00D7077B" w:rsidRDefault="00D7077B" w:rsidP="00D7077B"/>
    <w:p w:rsidR="00CA39F5" w:rsidRDefault="00CA39F5" w:rsidP="00CA39F5">
      <w:pPr>
        <w:autoSpaceDE w:val="0"/>
        <w:autoSpaceDN w:val="0"/>
        <w:adjustRightInd w:val="0"/>
        <w:ind w:left="1080"/>
        <w:rPr>
          <w:b/>
        </w:rPr>
      </w:pPr>
    </w:p>
    <w:p w:rsidR="001A26A3" w:rsidRDefault="001A26A3" w:rsidP="001A26A3">
      <w:pPr>
        <w:pStyle w:val="ListParagraph"/>
        <w:rPr>
          <w:b/>
        </w:rPr>
      </w:pPr>
    </w:p>
    <w:p w:rsidR="00C15001" w:rsidRPr="00F2647E" w:rsidRDefault="00CF7A91" w:rsidP="00CB3D59">
      <w:pPr>
        <w:pStyle w:val="Heading1"/>
        <w:rPr>
          <w:sz w:val="28"/>
          <w:szCs w:val="28"/>
        </w:rPr>
      </w:pPr>
      <w:r w:rsidRPr="00F2647E">
        <w:rPr>
          <w:sz w:val="28"/>
          <w:szCs w:val="28"/>
        </w:rPr>
        <w:t>Limitations/ Interferences</w:t>
      </w:r>
      <w:r w:rsidR="00B569DD" w:rsidRPr="00F2647E">
        <w:rPr>
          <w:sz w:val="28"/>
          <w:szCs w:val="28"/>
        </w:rPr>
        <w:t>:</w:t>
      </w:r>
    </w:p>
    <w:p w:rsidR="00CA39F5" w:rsidRPr="00B569DD" w:rsidRDefault="00CA39F5" w:rsidP="00CA39F5">
      <w:pPr>
        <w:autoSpaceDE w:val="0"/>
        <w:autoSpaceDN w:val="0"/>
        <w:adjustRightInd w:val="0"/>
        <w:ind w:left="1080"/>
        <w:rPr>
          <w:b/>
        </w:rPr>
      </w:pPr>
    </w:p>
    <w:p w:rsidR="00B569DD" w:rsidRPr="00035CF6" w:rsidRDefault="00B569DD" w:rsidP="00035CF6">
      <w:pPr>
        <w:pStyle w:val="ListParagraph"/>
        <w:numPr>
          <w:ilvl w:val="0"/>
          <w:numId w:val="14"/>
        </w:numPr>
        <w:rPr>
          <w:rFonts w:eastAsia="Calibri"/>
          <w:szCs w:val="18"/>
        </w:rPr>
      </w:pPr>
      <w:r w:rsidRPr="00035CF6">
        <w:rPr>
          <w:rFonts w:eastAsia="Calibri"/>
          <w:szCs w:val="18"/>
        </w:rPr>
        <w:t>The performance of the Xpert Flu/RSV XC Assay was validated using the procedures provided in this package insert only.</w:t>
      </w:r>
    </w:p>
    <w:p w:rsidR="00B569DD" w:rsidRPr="00035CF6" w:rsidRDefault="00B569DD" w:rsidP="00035CF6">
      <w:pPr>
        <w:pStyle w:val="ListParagraph"/>
        <w:numPr>
          <w:ilvl w:val="0"/>
          <w:numId w:val="14"/>
        </w:numPr>
        <w:rPr>
          <w:rFonts w:eastAsia="Calibri"/>
          <w:szCs w:val="18"/>
        </w:rPr>
      </w:pPr>
      <w:r w:rsidRPr="00035CF6">
        <w:rPr>
          <w:rFonts w:eastAsia="Calibri"/>
          <w:szCs w:val="18"/>
        </w:rPr>
        <w:t>Modifications to these procedures may alter the performance of the test.</w:t>
      </w:r>
      <w:r w:rsidR="00D90F40" w:rsidRPr="00035CF6">
        <w:rPr>
          <w:rFonts w:eastAsia="Calibri"/>
        </w:rPr>
        <w:t xml:space="preserve"> </w:t>
      </w:r>
      <w:r w:rsidRPr="00035CF6">
        <w:rPr>
          <w:rFonts w:eastAsia="Calibri"/>
          <w:szCs w:val="18"/>
        </w:rPr>
        <w:t>Results from the Xpert Flu/RSV XC Assay should be interpreted with other laboratory and clinical data available to the</w:t>
      </w:r>
      <w:r w:rsidRPr="00035CF6">
        <w:rPr>
          <w:rFonts w:eastAsia="Calibri"/>
        </w:rPr>
        <w:t xml:space="preserve"> </w:t>
      </w:r>
      <w:r w:rsidRPr="00035CF6">
        <w:rPr>
          <w:rFonts w:eastAsia="Calibri"/>
          <w:szCs w:val="18"/>
        </w:rPr>
        <w:t>clinician.</w:t>
      </w:r>
    </w:p>
    <w:p w:rsidR="00B569DD" w:rsidRPr="00040A8E" w:rsidRDefault="00B569DD" w:rsidP="00035CF6">
      <w:pPr>
        <w:pStyle w:val="ListParagraph"/>
        <w:numPr>
          <w:ilvl w:val="0"/>
          <w:numId w:val="14"/>
        </w:numPr>
        <w:rPr>
          <w:rFonts w:eastAsia="Calibri"/>
          <w:szCs w:val="18"/>
        </w:rPr>
      </w:pPr>
      <w:r w:rsidRPr="00040A8E">
        <w:rPr>
          <w:rFonts w:eastAsia="Calibri"/>
          <w:szCs w:val="18"/>
        </w:rPr>
        <w:t>Erroneous test results might occur from improper specimen collection, failure to follow the recommended sample collection,</w:t>
      </w:r>
      <w:r w:rsidR="00040A8E" w:rsidRPr="00040A8E">
        <w:rPr>
          <w:rFonts w:eastAsia="Calibri"/>
          <w:szCs w:val="18"/>
        </w:rPr>
        <w:t xml:space="preserve"> </w:t>
      </w:r>
      <w:r w:rsidRPr="00040A8E">
        <w:rPr>
          <w:rFonts w:eastAsia="Calibri"/>
          <w:szCs w:val="18"/>
        </w:rPr>
        <w:t>handling and storage procedures, technical error, sample mix-up, or because the number of organisms in the specimen is too</w:t>
      </w:r>
      <w:r w:rsidR="00040A8E" w:rsidRPr="00040A8E">
        <w:rPr>
          <w:rFonts w:eastAsia="Calibri"/>
          <w:szCs w:val="18"/>
        </w:rPr>
        <w:t xml:space="preserve"> </w:t>
      </w:r>
      <w:r w:rsidRPr="00040A8E">
        <w:rPr>
          <w:rFonts w:eastAsia="Calibri"/>
          <w:szCs w:val="18"/>
        </w:rPr>
        <w:t>low to be detected by the test. Careful compliance with the instructions in this insert is necessary to avoid erroneous results.</w:t>
      </w:r>
    </w:p>
    <w:p w:rsidR="00B569DD" w:rsidRPr="00035CF6" w:rsidRDefault="00B569DD" w:rsidP="00035CF6">
      <w:pPr>
        <w:pStyle w:val="ListParagraph"/>
        <w:numPr>
          <w:ilvl w:val="0"/>
          <w:numId w:val="14"/>
        </w:numPr>
        <w:rPr>
          <w:rFonts w:eastAsia="Calibri"/>
          <w:szCs w:val="18"/>
        </w:rPr>
      </w:pPr>
      <w:r w:rsidRPr="00035CF6">
        <w:rPr>
          <w:rFonts w:eastAsia="Calibri"/>
          <w:szCs w:val="18"/>
        </w:rPr>
        <w:t>False negative results may occur if virus is present at levels below the analytical limit of detection.</w:t>
      </w:r>
    </w:p>
    <w:p w:rsidR="00B569DD" w:rsidRPr="00040A8E" w:rsidRDefault="00B569DD" w:rsidP="00035CF6">
      <w:pPr>
        <w:pStyle w:val="ListParagraph"/>
        <w:numPr>
          <w:ilvl w:val="0"/>
          <w:numId w:val="14"/>
        </w:numPr>
        <w:rPr>
          <w:rFonts w:eastAsia="Calibri"/>
          <w:szCs w:val="18"/>
        </w:rPr>
      </w:pPr>
      <w:r w:rsidRPr="00040A8E">
        <w:rPr>
          <w:rFonts w:eastAsia="Calibri"/>
          <w:szCs w:val="18"/>
        </w:rPr>
        <w:t>Negative results do not preclude influenza virus or RSV infection and should not be used as the sole basis for treatment or</w:t>
      </w:r>
      <w:r w:rsidR="00040A8E" w:rsidRPr="00040A8E">
        <w:rPr>
          <w:rFonts w:eastAsia="Calibri"/>
          <w:szCs w:val="18"/>
        </w:rPr>
        <w:t xml:space="preserve"> </w:t>
      </w:r>
      <w:r w:rsidRPr="00040A8E">
        <w:rPr>
          <w:rFonts w:eastAsia="Calibri"/>
          <w:szCs w:val="18"/>
        </w:rPr>
        <w:t>other patient management decisions.</w:t>
      </w:r>
    </w:p>
    <w:p w:rsidR="00B569DD" w:rsidRPr="00040A8E" w:rsidRDefault="00B569DD" w:rsidP="00035CF6">
      <w:pPr>
        <w:pStyle w:val="ListParagraph"/>
        <w:numPr>
          <w:ilvl w:val="0"/>
          <w:numId w:val="14"/>
        </w:numPr>
        <w:rPr>
          <w:rFonts w:eastAsia="Calibri"/>
          <w:szCs w:val="18"/>
        </w:rPr>
      </w:pPr>
      <w:r w:rsidRPr="00040A8E">
        <w:rPr>
          <w:rFonts w:eastAsia="Calibri"/>
          <w:szCs w:val="18"/>
        </w:rPr>
        <w:t>Results from the Xpert Flu/RSV XC Assay should be correlated with the clinical history, epidemiological data, and other</w:t>
      </w:r>
      <w:r w:rsidR="00040A8E" w:rsidRPr="00040A8E">
        <w:rPr>
          <w:rFonts w:eastAsia="Calibri"/>
          <w:szCs w:val="18"/>
        </w:rPr>
        <w:t xml:space="preserve"> </w:t>
      </w:r>
      <w:r w:rsidRPr="00040A8E">
        <w:rPr>
          <w:rFonts w:eastAsia="Calibri"/>
          <w:szCs w:val="18"/>
        </w:rPr>
        <w:t>data available to the clinician evaluating the patient.</w:t>
      </w:r>
    </w:p>
    <w:p w:rsidR="00B569DD" w:rsidRPr="00040A8E" w:rsidRDefault="00B569DD" w:rsidP="00035CF6">
      <w:pPr>
        <w:pStyle w:val="ListParagraph"/>
        <w:numPr>
          <w:ilvl w:val="0"/>
          <w:numId w:val="14"/>
        </w:numPr>
        <w:rPr>
          <w:rFonts w:eastAsia="Calibri"/>
          <w:szCs w:val="18"/>
        </w:rPr>
      </w:pPr>
      <w:r w:rsidRPr="00040A8E">
        <w:rPr>
          <w:rFonts w:eastAsia="Calibri"/>
          <w:szCs w:val="18"/>
        </w:rPr>
        <w:t>Viral nucleic acid may persist in vivo, independent of virus viability. Detection of analyte target(s) does not imply that the</w:t>
      </w:r>
      <w:r w:rsidR="00040A8E" w:rsidRPr="00040A8E">
        <w:rPr>
          <w:rFonts w:eastAsia="Calibri"/>
          <w:szCs w:val="18"/>
        </w:rPr>
        <w:t xml:space="preserve"> </w:t>
      </w:r>
      <w:r w:rsidRPr="00040A8E">
        <w:rPr>
          <w:rFonts w:eastAsia="Calibri"/>
          <w:szCs w:val="18"/>
        </w:rPr>
        <w:t xml:space="preserve">corresponding </w:t>
      </w:r>
      <w:r w:rsidR="00BD4C61" w:rsidRPr="00040A8E">
        <w:rPr>
          <w:rFonts w:eastAsia="Calibri"/>
          <w:szCs w:val="18"/>
        </w:rPr>
        <w:t>viruses (es) are</w:t>
      </w:r>
      <w:r w:rsidRPr="00040A8E">
        <w:rPr>
          <w:rFonts w:eastAsia="Calibri"/>
          <w:szCs w:val="18"/>
        </w:rPr>
        <w:t xml:space="preserve"> infectious </w:t>
      </w:r>
      <w:r w:rsidR="00BD4C61" w:rsidRPr="00040A8E">
        <w:rPr>
          <w:rFonts w:eastAsia="Calibri"/>
          <w:szCs w:val="18"/>
        </w:rPr>
        <w:t>nor</w:t>
      </w:r>
      <w:r w:rsidRPr="00040A8E">
        <w:rPr>
          <w:rFonts w:eastAsia="Calibri"/>
          <w:szCs w:val="18"/>
        </w:rPr>
        <w:t xml:space="preserve"> are the causative agents for clinical symptoms.</w:t>
      </w:r>
    </w:p>
    <w:p w:rsidR="00B569DD" w:rsidRPr="00035CF6" w:rsidRDefault="00B569DD" w:rsidP="00035CF6">
      <w:pPr>
        <w:pStyle w:val="ListParagraph"/>
        <w:numPr>
          <w:ilvl w:val="0"/>
          <w:numId w:val="14"/>
        </w:numPr>
        <w:rPr>
          <w:rFonts w:eastAsia="Calibri"/>
          <w:szCs w:val="18"/>
        </w:rPr>
      </w:pPr>
      <w:r w:rsidRPr="00035CF6">
        <w:rPr>
          <w:rFonts w:eastAsia="Calibri"/>
          <w:szCs w:val="18"/>
        </w:rPr>
        <w:t>This test has been evaluated for use with human specimen material only.</w:t>
      </w:r>
    </w:p>
    <w:p w:rsidR="00B569DD" w:rsidRPr="00035CF6" w:rsidRDefault="00B569DD" w:rsidP="00035CF6">
      <w:pPr>
        <w:pStyle w:val="ListParagraph"/>
        <w:numPr>
          <w:ilvl w:val="0"/>
          <w:numId w:val="14"/>
        </w:numPr>
        <w:rPr>
          <w:rFonts w:eastAsia="Calibri"/>
          <w:szCs w:val="18"/>
        </w:rPr>
      </w:pPr>
      <w:r w:rsidRPr="00035CF6">
        <w:rPr>
          <w:rFonts w:eastAsia="Calibri"/>
          <w:szCs w:val="18"/>
        </w:rPr>
        <w:t>If the virus mutates in the target region, influenza virus and/or RSV may not be detected or may be detected less predictably.</w:t>
      </w:r>
    </w:p>
    <w:p w:rsidR="00B569DD" w:rsidRPr="00607C4C" w:rsidRDefault="00B569DD" w:rsidP="00035CF6">
      <w:pPr>
        <w:pStyle w:val="ListParagraph"/>
        <w:numPr>
          <w:ilvl w:val="0"/>
          <w:numId w:val="14"/>
        </w:numPr>
        <w:rPr>
          <w:rFonts w:eastAsia="Calibri"/>
          <w:szCs w:val="18"/>
        </w:rPr>
      </w:pPr>
      <w:r w:rsidRPr="00607C4C">
        <w:rPr>
          <w:rFonts w:eastAsia="Calibri"/>
          <w:szCs w:val="18"/>
        </w:rPr>
        <w:t>Positive and negative predictive values are highly dependent on prevalence. The assay performance was established during</w:t>
      </w:r>
      <w:r w:rsidR="00607C4C" w:rsidRPr="00607C4C">
        <w:rPr>
          <w:rFonts w:eastAsia="Calibri"/>
          <w:szCs w:val="18"/>
        </w:rPr>
        <w:t xml:space="preserve"> </w:t>
      </w:r>
      <w:r w:rsidRPr="00607C4C">
        <w:rPr>
          <w:rFonts w:eastAsia="Calibri"/>
          <w:szCs w:val="18"/>
        </w:rPr>
        <w:t>the 2013-2014 influenza season. The performance may vary depending on the prevalence and population tested.</w:t>
      </w:r>
    </w:p>
    <w:p w:rsidR="00B569DD" w:rsidRPr="00035CF6" w:rsidRDefault="00B569DD" w:rsidP="00035CF6">
      <w:pPr>
        <w:pStyle w:val="ListParagraph"/>
        <w:numPr>
          <w:ilvl w:val="0"/>
          <w:numId w:val="14"/>
        </w:numPr>
        <w:rPr>
          <w:rFonts w:eastAsia="Calibri"/>
          <w:szCs w:val="18"/>
        </w:rPr>
      </w:pPr>
      <w:r w:rsidRPr="00035CF6">
        <w:rPr>
          <w:rFonts w:eastAsia="Calibri"/>
          <w:szCs w:val="18"/>
        </w:rPr>
        <w:t>This test is a qualitative test and does not provide the quantitative value of detected organism present.</w:t>
      </w:r>
    </w:p>
    <w:p w:rsidR="00B569DD" w:rsidRPr="00035CF6" w:rsidRDefault="00B569DD" w:rsidP="00035CF6">
      <w:pPr>
        <w:pStyle w:val="ListParagraph"/>
        <w:numPr>
          <w:ilvl w:val="0"/>
          <w:numId w:val="14"/>
        </w:numPr>
        <w:rPr>
          <w:rFonts w:eastAsia="Calibri"/>
          <w:szCs w:val="18"/>
        </w:rPr>
      </w:pPr>
      <w:r w:rsidRPr="00035CF6">
        <w:rPr>
          <w:rFonts w:eastAsia="Calibri"/>
          <w:szCs w:val="18"/>
        </w:rPr>
        <w:t>This test has not been evaluated for patients without signs and symptoms of influenza or RSV infection.</w:t>
      </w:r>
    </w:p>
    <w:p w:rsidR="00B569DD" w:rsidRPr="00035CF6" w:rsidRDefault="00B569DD" w:rsidP="00035CF6">
      <w:pPr>
        <w:pStyle w:val="ListParagraph"/>
        <w:numPr>
          <w:ilvl w:val="0"/>
          <w:numId w:val="14"/>
        </w:numPr>
        <w:rPr>
          <w:rFonts w:eastAsia="Calibri"/>
          <w:szCs w:val="18"/>
        </w:rPr>
      </w:pPr>
      <w:r w:rsidRPr="00035CF6">
        <w:rPr>
          <w:rFonts w:eastAsia="Calibri"/>
          <w:szCs w:val="18"/>
        </w:rPr>
        <w:t>This test has not been evaluated for monitoring treatment of influenza or RSV infection.</w:t>
      </w:r>
    </w:p>
    <w:p w:rsidR="00B569DD" w:rsidRPr="00035CF6" w:rsidRDefault="00B569DD" w:rsidP="00035CF6">
      <w:pPr>
        <w:pStyle w:val="ListParagraph"/>
        <w:numPr>
          <w:ilvl w:val="0"/>
          <w:numId w:val="14"/>
        </w:numPr>
        <w:rPr>
          <w:rFonts w:eastAsia="Calibri"/>
          <w:szCs w:val="18"/>
        </w:rPr>
      </w:pPr>
      <w:r w:rsidRPr="00035CF6">
        <w:rPr>
          <w:rFonts w:eastAsia="Calibri"/>
          <w:szCs w:val="18"/>
        </w:rPr>
        <w:t>This test has not been evaluated for screening of blood or blood products for the presence of influenza or RSV.</w:t>
      </w:r>
    </w:p>
    <w:p w:rsidR="00CA39F5" w:rsidRPr="006A55C4" w:rsidRDefault="006A55C4" w:rsidP="00035CF6">
      <w:pPr>
        <w:pStyle w:val="ListParagraph"/>
        <w:numPr>
          <w:ilvl w:val="0"/>
          <w:numId w:val="14"/>
        </w:numPr>
      </w:pPr>
      <w:r w:rsidRPr="006A55C4">
        <w:rPr>
          <w:rFonts w:eastAsia="Calibri"/>
        </w:rPr>
        <w:t>This test cannot rule out diseases caused by other bacterial or viral pathogens.</w:t>
      </w:r>
    </w:p>
    <w:p w:rsidR="00D15A8E" w:rsidRPr="00D15A8E" w:rsidRDefault="00D15A8E" w:rsidP="00D15A8E">
      <w:pPr>
        <w:pStyle w:val="ListParagraph"/>
        <w:numPr>
          <w:ilvl w:val="0"/>
          <w:numId w:val="14"/>
        </w:numPr>
        <w:autoSpaceDE w:val="0"/>
        <w:autoSpaceDN w:val="0"/>
        <w:adjustRightInd w:val="0"/>
        <w:rPr>
          <w:rFonts w:eastAsia="Calibri"/>
        </w:rPr>
      </w:pPr>
      <w:r w:rsidRPr="00D15A8E">
        <w:rPr>
          <w:rFonts w:eastAsia="Calibri"/>
        </w:rPr>
        <w:t>The effect of interfering substances has only been evaluated for those listed within the labeling. Interference by substances other than those described can lead to erroneous results.</w:t>
      </w:r>
    </w:p>
    <w:p w:rsidR="00D15A8E" w:rsidRPr="00D15A8E" w:rsidRDefault="00D15A8E" w:rsidP="00D15A8E">
      <w:pPr>
        <w:pStyle w:val="ListParagraph"/>
        <w:numPr>
          <w:ilvl w:val="0"/>
          <w:numId w:val="14"/>
        </w:numPr>
        <w:autoSpaceDE w:val="0"/>
        <w:autoSpaceDN w:val="0"/>
        <w:adjustRightInd w:val="0"/>
        <w:rPr>
          <w:rFonts w:eastAsia="Calibri"/>
        </w:rPr>
      </w:pPr>
      <w:r w:rsidRPr="00D15A8E">
        <w:rPr>
          <w:rFonts w:eastAsia="Calibri"/>
        </w:rPr>
        <w:t xml:space="preserve"> Cross-reactivity with respiratory tract organisms other than those described herein can lead to erroneous results.</w:t>
      </w:r>
    </w:p>
    <w:p w:rsidR="00D15A8E" w:rsidRPr="00D15A8E" w:rsidRDefault="00D15A8E" w:rsidP="00D15A8E">
      <w:pPr>
        <w:pStyle w:val="ListParagraph"/>
        <w:numPr>
          <w:ilvl w:val="0"/>
          <w:numId w:val="14"/>
        </w:numPr>
        <w:autoSpaceDE w:val="0"/>
        <w:autoSpaceDN w:val="0"/>
        <w:adjustRightInd w:val="0"/>
        <w:rPr>
          <w:rFonts w:eastAsia="Calibri"/>
        </w:rPr>
      </w:pPr>
      <w:r w:rsidRPr="00D15A8E">
        <w:rPr>
          <w:rFonts w:eastAsia="Calibri"/>
        </w:rPr>
        <w:t xml:space="preserve"> This assay has not been evaluated for immunocompromised individuals.</w:t>
      </w:r>
    </w:p>
    <w:p w:rsidR="00D15A8E" w:rsidRPr="00D15A8E" w:rsidRDefault="00D15A8E" w:rsidP="00D15A8E">
      <w:pPr>
        <w:pStyle w:val="ListParagraph"/>
        <w:numPr>
          <w:ilvl w:val="0"/>
          <w:numId w:val="14"/>
        </w:numPr>
        <w:autoSpaceDE w:val="0"/>
        <w:autoSpaceDN w:val="0"/>
        <w:adjustRightInd w:val="0"/>
        <w:rPr>
          <w:rFonts w:eastAsia="Calibri"/>
        </w:rPr>
      </w:pPr>
      <w:r w:rsidRPr="00D15A8E">
        <w:rPr>
          <w:rFonts w:eastAsia="Calibri"/>
        </w:rPr>
        <w:t xml:space="preserve"> Recent patient exposure to FluMist or other live attenuated influenza vaccines may cause inaccurate positive results.</w:t>
      </w:r>
    </w:p>
    <w:p w:rsidR="00D15A8E" w:rsidRDefault="00D15A8E" w:rsidP="00FF2659">
      <w:pPr>
        <w:pStyle w:val="ListParagraph"/>
        <w:numPr>
          <w:ilvl w:val="0"/>
          <w:numId w:val="16"/>
        </w:numPr>
        <w:rPr>
          <w:rFonts w:eastAsia="Calibri"/>
          <w:szCs w:val="18"/>
        </w:rPr>
      </w:pPr>
      <w:r w:rsidRPr="00FF2659">
        <w:rPr>
          <w:rFonts w:eastAsia="Calibri"/>
          <w:szCs w:val="18"/>
        </w:rPr>
        <w:t>Although this test has been shown to detect A/H1N1 (pre-2009 pandemic), /H7N9 (detected in China in 2013) and A/H3N2v viruses cultured from positive human respiratory specimens, the performance characteristics of this device with</w:t>
      </w:r>
      <w:r w:rsidR="00FF2659" w:rsidRPr="00FF2659">
        <w:rPr>
          <w:rFonts w:eastAsia="Calibri"/>
        </w:rPr>
        <w:t xml:space="preserve"> </w:t>
      </w:r>
      <w:r w:rsidRPr="00FF2659">
        <w:rPr>
          <w:rFonts w:eastAsia="Calibri"/>
          <w:szCs w:val="18"/>
        </w:rPr>
        <w:t>clinical specimens that are positive for the A/H1N1 (pre-2009 pan</w:t>
      </w:r>
      <w:r w:rsidR="00FF2659" w:rsidRPr="00FF2659">
        <w:rPr>
          <w:rFonts w:eastAsia="Calibri"/>
        </w:rPr>
        <w:t xml:space="preserve">demic) </w:t>
      </w:r>
      <w:r w:rsidRPr="00FF2659">
        <w:rPr>
          <w:rFonts w:eastAsia="Calibri"/>
          <w:szCs w:val="18"/>
        </w:rPr>
        <w:t xml:space="preserve">/H7N9 </w:t>
      </w:r>
      <w:r w:rsidR="00FF2659" w:rsidRPr="00FF2659">
        <w:rPr>
          <w:rFonts w:eastAsia="Calibri"/>
        </w:rPr>
        <w:t xml:space="preserve"> </w:t>
      </w:r>
      <w:r w:rsidRPr="00FF2659">
        <w:rPr>
          <w:rFonts w:eastAsia="Calibri"/>
          <w:szCs w:val="18"/>
        </w:rPr>
        <w:t>(detected in China in 2013) and A/H3N2v viruses have not been established.</w:t>
      </w:r>
    </w:p>
    <w:p w:rsidR="00D15A8E" w:rsidRDefault="00D15A8E" w:rsidP="00FF2659">
      <w:pPr>
        <w:pStyle w:val="ListParagraph"/>
        <w:numPr>
          <w:ilvl w:val="0"/>
          <w:numId w:val="16"/>
        </w:numPr>
        <w:rPr>
          <w:rFonts w:eastAsia="Calibri"/>
          <w:szCs w:val="18"/>
        </w:rPr>
      </w:pPr>
      <w:r w:rsidRPr="00FF2659">
        <w:rPr>
          <w:rFonts w:eastAsia="Calibri"/>
          <w:szCs w:val="18"/>
        </w:rPr>
        <w:t>This test is not intended to differentiate Influenza A subtypes or Influenza B lineages. If differentiation of specific influenza</w:t>
      </w:r>
      <w:r w:rsidR="00FF2659" w:rsidRPr="00FF2659">
        <w:rPr>
          <w:rFonts w:eastAsia="Calibri"/>
        </w:rPr>
        <w:t xml:space="preserve"> </w:t>
      </w:r>
      <w:r w:rsidRPr="00FF2659">
        <w:rPr>
          <w:rFonts w:eastAsia="Calibri"/>
          <w:szCs w:val="18"/>
        </w:rPr>
        <w:t>subtypes and strains is needed, additional testing, in consultation with state or local public health departments, is required.</w:t>
      </w:r>
    </w:p>
    <w:p w:rsidR="00D15A8E" w:rsidRDefault="00D15A8E" w:rsidP="00FF2659">
      <w:pPr>
        <w:pStyle w:val="ListParagraph"/>
        <w:numPr>
          <w:ilvl w:val="0"/>
          <w:numId w:val="16"/>
        </w:numPr>
        <w:rPr>
          <w:rFonts w:eastAsia="Calibri"/>
          <w:szCs w:val="18"/>
        </w:rPr>
      </w:pPr>
      <w:r w:rsidRPr="00FF2659">
        <w:rPr>
          <w:rFonts w:eastAsia="Calibri"/>
          <w:szCs w:val="18"/>
        </w:rPr>
        <w:t>The test is a qualitative test and does not provide the quantitative value of detected organism present.</w:t>
      </w:r>
    </w:p>
    <w:p w:rsidR="00FF2659" w:rsidRPr="00FF2659" w:rsidRDefault="00FF2659" w:rsidP="00FF2659">
      <w:pPr>
        <w:rPr>
          <w:rFonts w:eastAsia="Calibri"/>
          <w:szCs w:val="18"/>
        </w:rPr>
      </w:pPr>
    </w:p>
    <w:p w:rsidR="00F2647E" w:rsidRDefault="00CF7A91" w:rsidP="00F2647E">
      <w:pPr>
        <w:pStyle w:val="Heading1"/>
        <w:rPr>
          <w:rFonts w:eastAsia="Calibri"/>
          <w:sz w:val="28"/>
          <w:szCs w:val="28"/>
        </w:rPr>
      </w:pPr>
      <w:r w:rsidRPr="00F2647E">
        <w:rPr>
          <w:sz w:val="28"/>
          <w:szCs w:val="28"/>
        </w:rPr>
        <w:t>Expected Results and Reporting</w:t>
      </w:r>
      <w:r w:rsidR="00F2647E">
        <w:rPr>
          <w:rFonts w:eastAsia="Calibri"/>
          <w:sz w:val="28"/>
          <w:szCs w:val="28"/>
        </w:rPr>
        <w:t>:</w:t>
      </w:r>
    </w:p>
    <w:p w:rsidR="00F2647E" w:rsidRPr="00F2647E" w:rsidRDefault="00F2647E" w:rsidP="00F2647E">
      <w:pPr>
        <w:rPr>
          <w:rFonts w:eastAsia="Calibri"/>
        </w:rPr>
      </w:pPr>
    </w:p>
    <w:p w:rsidR="002E2996" w:rsidRDefault="00A55752" w:rsidP="002E2996">
      <w:pPr>
        <w:pStyle w:val="ListParagraph"/>
        <w:numPr>
          <w:ilvl w:val="0"/>
          <w:numId w:val="18"/>
        </w:numPr>
        <w:rPr>
          <w:rFonts w:eastAsia="Calibri"/>
        </w:rPr>
      </w:pPr>
      <w:r w:rsidRPr="002E2996">
        <w:rPr>
          <w:rFonts w:eastAsia="Calibri"/>
        </w:rPr>
        <w:t>The Xpert Flu/RSV XC Assay has two channels (Flu A 1 and Flu A 2) to detect most influenza A strains. The primers and</w:t>
      </w:r>
      <w:r w:rsidR="002E2996" w:rsidRPr="002E2996">
        <w:rPr>
          <w:rFonts w:eastAsia="Calibri"/>
        </w:rPr>
        <w:t xml:space="preserve"> </w:t>
      </w:r>
      <w:r w:rsidRPr="002E2996">
        <w:rPr>
          <w:rFonts w:eastAsia="Calibri"/>
        </w:rPr>
        <w:t>probes in the Flu A 1 channel have 100% homology to human influenza A strains.</w:t>
      </w:r>
    </w:p>
    <w:p w:rsidR="002E2996" w:rsidRDefault="00A55752" w:rsidP="002E2996">
      <w:pPr>
        <w:pStyle w:val="ListParagraph"/>
        <w:numPr>
          <w:ilvl w:val="0"/>
          <w:numId w:val="18"/>
        </w:numPr>
        <w:rPr>
          <w:rFonts w:eastAsia="Calibri"/>
        </w:rPr>
      </w:pPr>
      <w:r w:rsidRPr="002E2996">
        <w:rPr>
          <w:rFonts w:eastAsia="Calibri"/>
        </w:rPr>
        <w:t xml:space="preserve"> The primers and probes in the Flu A 2</w:t>
      </w:r>
      <w:r w:rsidR="002E2996" w:rsidRPr="002E2996">
        <w:rPr>
          <w:rFonts w:eastAsia="Calibri"/>
        </w:rPr>
        <w:t xml:space="preserve"> </w:t>
      </w:r>
      <w:r w:rsidRPr="002E2996">
        <w:rPr>
          <w:rFonts w:eastAsia="Calibri"/>
        </w:rPr>
        <w:t xml:space="preserve">channel have approximately 80% homology to human influenza A strains. </w:t>
      </w:r>
    </w:p>
    <w:p w:rsidR="00A55752" w:rsidRPr="002E2996" w:rsidRDefault="00A55752" w:rsidP="002E2996">
      <w:pPr>
        <w:pStyle w:val="ListParagraph"/>
        <w:numPr>
          <w:ilvl w:val="0"/>
          <w:numId w:val="18"/>
        </w:numPr>
        <w:rPr>
          <w:rFonts w:eastAsia="Calibri"/>
        </w:rPr>
      </w:pPr>
      <w:r w:rsidRPr="002E2996">
        <w:rPr>
          <w:rFonts w:eastAsia="Calibri"/>
        </w:rPr>
        <w:t>All influenza A strains detected by the Xpert</w:t>
      </w:r>
      <w:r w:rsidR="002E2996" w:rsidRPr="002E2996">
        <w:rPr>
          <w:rFonts w:eastAsia="Calibri"/>
        </w:rPr>
        <w:t xml:space="preserve"> </w:t>
      </w:r>
      <w:r w:rsidRPr="002E2996">
        <w:rPr>
          <w:rFonts w:eastAsia="Calibri"/>
        </w:rPr>
        <w:t xml:space="preserve">Flu/RSV XC Assay </w:t>
      </w:r>
      <w:r w:rsidR="00DB3CA2" w:rsidRPr="002E2996">
        <w:rPr>
          <w:rFonts w:eastAsia="Calibri"/>
        </w:rPr>
        <w:t>is</w:t>
      </w:r>
      <w:r w:rsidRPr="002E2996">
        <w:rPr>
          <w:rFonts w:eastAsia="Calibri"/>
        </w:rPr>
        <w:t xml:space="preserve"> reported as </w:t>
      </w:r>
      <w:r w:rsidRPr="002E2996">
        <w:rPr>
          <w:rFonts w:ascii="ArialNarrow-Bold" w:eastAsia="Calibri" w:hAnsi="ArialNarrow-Bold" w:cs="ArialNarrow-Bold"/>
          <w:b/>
          <w:bCs/>
          <w:sz w:val="19"/>
          <w:szCs w:val="19"/>
        </w:rPr>
        <w:t>Flu A POSITIVE</w:t>
      </w:r>
      <w:r w:rsidRPr="002E2996">
        <w:rPr>
          <w:rFonts w:eastAsia="Calibri"/>
        </w:rPr>
        <w:t>.</w:t>
      </w:r>
    </w:p>
    <w:p w:rsidR="002E2996" w:rsidRDefault="00A55752" w:rsidP="002E2996">
      <w:pPr>
        <w:pStyle w:val="ListParagraph"/>
        <w:numPr>
          <w:ilvl w:val="0"/>
          <w:numId w:val="18"/>
        </w:numPr>
        <w:rPr>
          <w:rFonts w:eastAsia="Calibri"/>
        </w:rPr>
      </w:pPr>
      <w:r w:rsidRPr="002E2996">
        <w:rPr>
          <w:rFonts w:eastAsia="Calibri"/>
        </w:rPr>
        <w:t>The results are interpreted by the GeneXpert Instrument System from measured fluorescent signals and embedded calculation</w:t>
      </w:r>
      <w:r w:rsidR="002E2996" w:rsidRPr="002E2996">
        <w:rPr>
          <w:rFonts w:eastAsia="Calibri"/>
        </w:rPr>
        <w:t xml:space="preserve"> </w:t>
      </w:r>
      <w:r w:rsidRPr="002E2996">
        <w:rPr>
          <w:rFonts w:eastAsia="Calibri"/>
        </w:rPr>
        <w:t xml:space="preserve">algorithms and will be shown in the View Results window. </w:t>
      </w:r>
    </w:p>
    <w:p w:rsidR="00C47DB5" w:rsidRPr="00C47DB5" w:rsidRDefault="00A55752" w:rsidP="002E2996">
      <w:pPr>
        <w:pStyle w:val="ListParagraph"/>
        <w:numPr>
          <w:ilvl w:val="0"/>
          <w:numId w:val="18"/>
        </w:numPr>
        <w:rPr>
          <w:rFonts w:ascii="ArialNarrow-Bold" w:eastAsia="Calibri" w:hAnsi="ArialNarrow-Bold" w:cs="ArialNarrow-Bold"/>
          <w:b/>
          <w:bCs/>
          <w:sz w:val="19"/>
          <w:szCs w:val="19"/>
        </w:rPr>
      </w:pPr>
      <w:r w:rsidRPr="002E2996">
        <w:rPr>
          <w:rFonts w:eastAsia="Calibri"/>
        </w:rPr>
        <w:t>A</w:t>
      </w:r>
      <w:r w:rsidR="002E2996">
        <w:rPr>
          <w:rFonts w:eastAsia="Calibri"/>
        </w:rPr>
        <w:t xml:space="preserve"> </w:t>
      </w:r>
      <w:r w:rsidRPr="002E2996">
        <w:rPr>
          <w:rFonts w:eastAsia="Calibri"/>
        </w:rPr>
        <w:t xml:space="preserve"> Flu A result in the Xpert Flu/RSV XC Assay requires either the</w:t>
      </w:r>
      <w:r w:rsidR="002E2996" w:rsidRPr="002E2996">
        <w:rPr>
          <w:rFonts w:eastAsia="Calibri"/>
        </w:rPr>
        <w:t xml:space="preserve"> </w:t>
      </w:r>
      <w:r w:rsidRPr="002E2996">
        <w:rPr>
          <w:rFonts w:eastAsia="Calibri"/>
        </w:rPr>
        <w:t xml:space="preserve">Flu A 1 or Flu A 2 channel to be positive in order for a </w:t>
      </w:r>
      <w:r w:rsidRPr="002E2996">
        <w:rPr>
          <w:rFonts w:ascii="ArialNarrow-Bold" w:eastAsia="Calibri" w:hAnsi="ArialNarrow-Bold" w:cs="ArialNarrow-Bold"/>
          <w:b/>
          <w:bCs/>
          <w:sz w:val="19"/>
          <w:szCs w:val="19"/>
        </w:rPr>
        <w:t xml:space="preserve">Flu A POSITIVE </w:t>
      </w:r>
      <w:r w:rsidRPr="002E2996">
        <w:rPr>
          <w:rFonts w:eastAsia="Calibri"/>
        </w:rPr>
        <w:t>test result to be reported.</w:t>
      </w:r>
      <w:r w:rsidR="00C47DB5" w:rsidRPr="00C47DB5">
        <w:rPr>
          <w:rFonts w:ascii="ArialMT" w:eastAsia="Calibri" w:hAnsi="ArialMT" w:cs="ArialMT"/>
          <w:sz w:val="18"/>
          <w:szCs w:val="18"/>
        </w:rPr>
        <w:t xml:space="preserve"> </w:t>
      </w:r>
      <w:r w:rsidR="00C47DB5">
        <w:rPr>
          <w:rFonts w:ascii="ArialMT" w:eastAsia="Calibri" w:hAnsi="ArialMT" w:cs="ArialMT"/>
          <w:sz w:val="18"/>
          <w:szCs w:val="18"/>
        </w:rPr>
        <w:t>•</w:t>
      </w:r>
    </w:p>
    <w:p w:rsidR="00C47DB5" w:rsidRPr="00C47DB5" w:rsidRDefault="00C47DB5" w:rsidP="002E2996">
      <w:pPr>
        <w:pStyle w:val="ListParagraph"/>
        <w:numPr>
          <w:ilvl w:val="0"/>
          <w:numId w:val="18"/>
        </w:numPr>
        <w:rPr>
          <w:rFonts w:eastAsia="Calibri"/>
          <w:b/>
          <w:bCs/>
        </w:rPr>
      </w:pPr>
      <w:r w:rsidRPr="00C47DB5">
        <w:rPr>
          <w:rFonts w:eastAsia="Calibri"/>
        </w:rPr>
        <w:t>Probe Check: PASS; all probe check results pass.</w:t>
      </w:r>
    </w:p>
    <w:p w:rsidR="002E2996" w:rsidRPr="00C47DB5" w:rsidRDefault="00C47DB5" w:rsidP="00C47DB5">
      <w:pPr>
        <w:pStyle w:val="ListParagraph"/>
        <w:ind w:left="1440"/>
        <w:rPr>
          <w:rFonts w:ascii="ArialNarrow-Bold" w:eastAsia="Calibri" w:hAnsi="ArialNarrow-Bold" w:cs="ArialNarrow-Bold"/>
          <w:b/>
          <w:bCs/>
          <w:sz w:val="19"/>
          <w:szCs w:val="19"/>
        </w:rPr>
      </w:pPr>
      <w:r>
        <w:rPr>
          <w:rFonts w:ascii="ArialMT" w:eastAsia="Calibri" w:hAnsi="ArialMT" w:cs="ArialMT"/>
          <w:noProof/>
          <w:sz w:val="18"/>
          <w:szCs w:val="18"/>
        </w:rPr>
        <w:drawing>
          <wp:inline distT="0" distB="0" distL="0" distR="0">
            <wp:extent cx="5943600" cy="76982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7698295"/>
                    </a:xfrm>
                    <a:prstGeom prst="rect">
                      <a:avLst/>
                    </a:prstGeom>
                    <a:noFill/>
                    <a:ln w="9525">
                      <a:noFill/>
                      <a:miter lim="800000"/>
                      <a:headEnd/>
                      <a:tailEnd/>
                    </a:ln>
                  </pic:spPr>
                </pic:pic>
              </a:graphicData>
            </a:graphic>
          </wp:inline>
        </w:drawing>
      </w:r>
    </w:p>
    <w:p w:rsidR="00C47DB5" w:rsidRDefault="00C47DB5" w:rsidP="00C47DB5">
      <w:pPr>
        <w:rPr>
          <w:rFonts w:ascii="ArialNarrow-Bold" w:eastAsia="Calibri" w:hAnsi="ArialNarrow-Bold" w:cs="ArialNarrow-Bold"/>
          <w:b/>
          <w:bCs/>
          <w:sz w:val="19"/>
          <w:szCs w:val="19"/>
        </w:rPr>
      </w:pPr>
    </w:p>
    <w:p w:rsidR="00C47DB5" w:rsidRDefault="00C47DB5" w:rsidP="00C47DB5">
      <w:pPr>
        <w:rPr>
          <w:rFonts w:ascii="ArialNarrow-Bold" w:eastAsia="Calibri" w:hAnsi="ArialNarrow-Bold" w:cs="ArialNarrow-Bold"/>
          <w:b/>
          <w:bCs/>
          <w:sz w:val="19"/>
          <w:szCs w:val="19"/>
        </w:rPr>
      </w:pPr>
    </w:p>
    <w:p w:rsidR="00C47DB5" w:rsidRDefault="00C47DB5" w:rsidP="00C47DB5">
      <w:pPr>
        <w:rPr>
          <w:rFonts w:ascii="ArialNarrow-Bold" w:eastAsia="Calibri" w:hAnsi="ArialNarrow-Bold" w:cs="ArialNarrow-Bold"/>
          <w:b/>
          <w:bCs/>
          <w:sz w:val="19"/>
          <w:szCs w:val="19"/>
        </w:rPr>
      </w:pPr>
    </w:p>
    <w:p w:rsidR="00C47DB5" w:rsidRPr="00C47DB5" w:rsidRDefault="00C47DB5" w:rsidP="00C47DB5">
      <w:pPr>
        <w:rPr>
          <w:rFonts w:ascii="ArialNarrow-Bold" w:eastAsia="Calibri" w:hAnsi="ArialNarrow-Bold" w:cs="ArialNarrow-Bold"/>
          <w:b/>
          <w:bCs/>
          <w:sz w:val="19"/>
          <w:szCs w:val="19"/>
        </w:rPr>
      </w:pPr>
    </w:p>
    <w:p w:rsidR="002E2996" w:rsidRPr="002E2996" w:rsidRDefault="008074B0" w:rsidP="002E2996">
      <w:pPr>
        <w:rPr>
          <w:rFonts w:ascii="ArialNarrow-Bold" w:eastAsia="Calibri" w:hAnsi="ArialNarrow-Bold" w:cs="ArialNarrow-Bold"/>
          <w:b/>
          <w:bCs/>
          <w:sz w:val="19"/>
          <w:szCs w:val="19"/>
        </w:rPr>
      </w:pPr>
      <w:r>
        <w:rPr>
          <w:rFonts w:ascii="ArialNarrow-Bold" w:eastAsia="Calibri" w:hAnsi="ArialNarrow-Bold" w:cs="ArialNarrow-Bold"/>
          <w:b/>
          <w:bCs/>
          <w:noProof/>
          <w:sz w:val="19"/>
          <w:szCs w:val="19"/>
        </w:rPr>
        <w:drawing>
          <wp:inline distT="0" distB="0" distL="0" distR="0">
            <wp:extent cx="5943600" cy="76982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3600" cy="7698295"/>
                    </a:xfrm>
                    <a:prstGeom prst="rect">
                      <a:avLst/>
                    </a:prstGeom>
                    <a:noFill/>
                    <a:ln w="9525">
                      <a:noFill/>
                      <a:miter lim="800000"/>
                      <a:headEnd/>
                      <a:tailEnd/>
                    </a:ln>
                  </pic:spPr>
                </pic:pic>
              </a:graphicData>
            </a:graphic>
          </wp:inline>
        </w:drawing>
      </w:r>
    </w:p>
    <w:p w:rsidR="00633EE9" w:rsidRDefault="007F233F" w:rsidP="00633EE9">
      <w:pPr>
        <w:pStyle w:val="Heading1"/>
        <w:numPr>
          <w:ilvl w:val="0"/>
          <w:numId w:val="0"/>
        </w:numPr>
        <w:ind w:left="630"/>
      </w:pPr>
      <w:r>
        <w:rPr>
          <w:noProof/>
        </w:rPr>
        <w:drawing>
          <wp:inline distT="0" distB="0" distL="0" distR="0">
            <wp:extent cx="5943600" cy="769829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943600" cy="7698295"/>
                    </a:xfrm>
                    <a:prstGeom prst="rect">
                      <a:avLst/>
                    </a:prstGeom>
                    <a:noFill/>
                    <a:ln w="9525">
                      <a:noFill/>
                      <a:miter lim="800000"/>
                      <a:headEnd/>
                      <a:tailEnd/>
                    </a:ln>
                  </pic:spPr>
                </pic:pic>
              </a:graphicData>
            </a:graphic>
          </wp:inline>
        </w:drawing>
      </w:r>
    </w:p>
    <w:p w:rsidR="00633EE9" w:rsidRDefault="00633EE9" w:rsidP="00633EE9">
      <w:pPr>
        <w:pStyle w:val="Heading1"/>
        <w:numPr>
          <w:ilvl w:val="0"/>
          <w:numId w:val="0"/>
        </w:numPr>
        <w:ind w:left="630"/>
      </w:pPr>
    </w:p>
    <w:p w:rsidR="00633EE9" w:rsidRDefault="00633EE9" w:rsidP="00633EE9">
      <w:pPr>
        <w:pStyle w:val="Heading1"/>
        <w:numPr>
          <w:ilvl w:val="0"/>
          <w:numId w:val="0"/>
        </w:numPr>
        <w:ind w:left="630"/>
      </w:pPr>
    </w:p>
    <w:p w:rsidR="00633EE9" w:rsidRDefault="00633EE9" w:rsidP="00633EE9">
      <w:pPr>
        <w:pStyle w:val="Heading1"/>
        <w:numPr>
          <w:ilvl w:val="0"/>
          <w:numId w:val="0"/>
        </w:numPr>
        <w:ind w:left="630"/>
      </w:pPr>
    </w:p>
    <w:p w:rsidR="00633EE9" w:rsidRDefault="00633EE9" w:rsidP="00633EE9">
      <w:pPr>
        <w:pStyle w:val="Heading1"/>
        <w:numPr>
          <w:ilvl w:val="0"/>
          <w:numId w:val="0"/>
        </w:numPr>
        <w:ind w:left="630"/>
      </w:pPr>
    </w:p>
    <w:p w:rsidR="00633EE9" w:rsidRDefault="007F233F" w:rsidP="00633EE9">
      <w:pPr>
        <w:pStyle w:val="Heading1"/>
        <w:numPr>
          <w:ilvl w:val="0"/>
          <w:numId w:val="0"/>
        </w:numPr>
        <w:ind w:left="630"/>
      </w:pPr>
      <w:r>
        <w:rPr>
          <w:noProof/>
        </w:rPr>
        <w:drawing>
          <wp:inline distT="0" distB="0" distL="0" distR="0">
            <wp:extent cx="5943600" cy="769829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943600" cy="7698295"/>
                    </a:xfrm>
                    <a:prstGeom prst="rect">
                      <a:avLst/>
                    </a:prstGeom>
                    <a:noFill/>
                    <a:ln w="9525">
                      <a:noFill/>
                      <a:miter lim="800000"/>
                      <a:headEnd/>
                      <a:tailEnd/>
                    </a:ln>
                  </pic:spPr>
                </pic:pic>
              </a:graphicData>
            </a:graphic>
          </wp:inline>
        </w:drawing>
      </w:r>
    </w:p>
    <w:p w:rsidR="00633EE9" w:rsidRDefault="00633EE9" w:rsidP="00633EE9">
      <w:pPr>
        <w:pStyle w:val="Heading1"/>
        <w:numPr>
          <w:ilvl w:val="0"/>
          <w:numId w:val="0"/>
        </w:numPr>
        <w:ind w:left="630"/>
      </w:pPr>
    </w:p>
    <w:p w:rsidR="00633EE9" w:rsidRDefault="00633EE9" w:rsidP="00633EE9">
      <w:pPr>
        <w:pStyle w:val="Heading1"/>
        <w:numPr>
          <w:ilvl w:val="0"/>
          <w:numId w:val="0"/>
        </w:numPr>
        <w:ind w:left="630"/>
      </w:pPr>
    </w:p>
    <w:p w:rsidR="00633EE9" w:rsidRDefault="00633EE9" w:rsidP="00633EE9">
      <w:pPr>
        <w:pStyle w:val="Heading1"/>
        <w:numPr>
          <w:ilvl w:val="0"/>
          <w:numId w:val="0"/>
        </w:numPr>
        <w:ind w:left="630"/>
      </w:pPr>
    </w:p>
    <w:p w:rsidR="00633EE9" w:rsidRDefault="007F233F" w:rsidP="00633EE9">
      <w:pPr>
        <w:pStyle w:val="Heading1"/>
        <w:numPr>
          <w:ilvl w:val="0"/>
          <w:numId w:val="0"/>
        </w:numPr>
        <w:ind w:left="630"/>
      </w:pPr>
      <w:r>
        <w:rPr>
          <w:noProof/>
        </w:rPr>
        <w:drawing>
          <wp:inline distT="0" distB="0" distL="0" distR="0">
            <wp:extent cx="5943600" cy="769829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943600" cy="7698295"/>
                    </a:xfrm>
                    <a:prstGeom prst="rect">
                      <a:avLst/>
                    </a:prstGeom>
                    <a:noFill/>
                    <a:ln w="9525">
                      <a:noFill/>
                      <a:miter lim="800000"/>
                      <a:headEnd/>
                      <a:tailEnd/>
                    </a:ln>
                  </pic:spPr>
                </pic:pic>
              </a:graphicData>
            </a:graphic>
          </wp:inline>
        </w:drawing>
      </w:r>
    </w:p>
    <w:p w:rsidR="007F233F" w:rsidRDefault="007F233F" w:rsidP="00633EE9">
      <w:pPr>
        <w:pStyle w:val="Heading1"/>
        <w:numPr>
          <w:ilvl w:val="0"/>
          <w:numId w:val="0"/>
        </w:numPr>
        <w:ind w:left="630"/>
      </w:pPr>
    </w:p>
    <w:p w:rsidR="007F233F" w:rsidRDefault="007F233F" w:rsidP="00633EE9">
      <w:pPr>
        <w:pStyle w:val="Heading1"/>
        <w:numPr>
          <w:ilvl w:val="0"/>
          <w:numId w:val="0"/>
        </w:numPr>
        <w:ind w:left="630"/>
      </w:pPr>
    </w:p>
    <w:p w:rsidR="00A25C1F" w:rsidRDefault="00A25C1F" w:rsidP="00633EE9">
      <w:pPr>
        <w:pStyle w:val="Heading1"/>
        <w:numPr>
          <w:ilvl w:val="0"/>
          <w:numId w:val="0"/>
        </w:numPr>
        <w:ind w:left="630"/>
      </w:pPr>
    </w:p>
    <w:p w:rsidR="00A25C1F" w:rsidRDefault="00E90ED4" w:rsidP="00633EE9">
      <w:pPr>
        <w:pStyle w:val="Heading1"/>
        <w:numPr>
          <w:ilvl w:val="0"/>
          <w:numId w:val="0"/>
        </w:numPr>
        <w:ind w:left="630"/>
      </w:pPr>
      <w:r w:rsidRPr="00E90ED4">
        <w:rPr>
          <w:noProof/>
        </w:rPr>
        <w:drawing>
          <wp:inline distT="0" distB="0" distL="0" distR="0">
            <wp:extent cx="5943600" cy="7698295"/>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943600" cy="7698295"/>
                    </a:xfrm>
                    <a:prstGeom prst="rect">
                      <a:avLst/>
                    </a:prstGeom>
                    <a:noFill/>
                    <a:ln w="9525">
                      <a:noFill/>
                      <a:miter lim="800000"/>
                      <a:headEnd/>
                      <a:tailEnd/>
                    </a:ln>
                  </pic:spPr>
                </pic:pic>
              </a:graphicData>
            </a:graphic>
          </wp:inline>
        </w:drawing>
      </w:r>
    </w:p>
    <w:p w:rsidR="00A25C1F" w:rsidRDefault="00A25C1F" w:rsidP="00633EE9">
      <w:pPr>
        <w:pStyle w:val="Heading1"/>
        <w:numPr>
          <w:ilvl w:val="0"/>
          <w:numId w:val="0"/>
        </w:numPr>
        <w:ind w:left="630"/>
      </w:pPr>
    </w:p>
    <w:p w:rsidR="00A25C1F" w:rsidRDefault="00A25C1F" w:rsidP="00633EE9">
      <w:pPr>
        <w:pStyle w:val="Heading1"/>
        <w:numPr>
          <w:ilvl w:val="0"/>
          <w:numId w:val="0"/>
        </w:numPr>
        <w:ind w:left="630"/>
      </w:pPr>
    </w:p>
    <w:p w:rsidR="00A25C1F" w:rsidRDefault="00A25C1F" w:rsidP="00633EE9">
      <w:pPr>
        <w:pStyle w:val="Heading1"/>
        <w:numPr>
          <w:ilvl w:val="0"/>
          <w:numId w:val="0"/>
        </w:numPr>
        <w:ind w:left="630"/>
      </w:pPr>
    </w:p>
    <w:p w:rsidR="00A25C1F" w:rsidRDefault="00A25C1F" w:rsidP="00633EE9">
      <w:pPr>
        <w:pStyle w:val="Heading1"/>
        <w:numPr>
          <w:ilvl w:val="0"/>
          <w:numId w:val="0"/>
        </w:numPr>
        <w:ind w:left="630"/>
      </w:pPr>
    </w:p>
    <w:p w:rsidR="00A25C1F" w:rsidRDefault="00E90ED4" w:rsidP="00633EE9">
      <w:pPr>
        <w:pStyle w:val="Heading1"/>
        <w:numPr>
          <w:ilvl w:val="0"/>
          <w:numId w:val="0"/>
        </w:numPr>
        <w:ind w:left="630"/>
      </w:pPr>
      <w:r w:rsidRPr="00E90ED4">
        <w:rPr>
          <w:noProof/>
        </w:rPr>
        <w:drawing>
          <wp:inline distT="0" distB="0" distL="0" distR="0">
            <wp:extent cx="5943600" cy="7698295"/>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943600" cy="7698295"/>
                    </a:xfrm>
                    <a:prstGeom prst="rect">
                      <a:avLst/>
                    </a:prstGeom>
                    <a:noFill/>
                    <a:ln w="9525">
                      <a:noFill/>
                      <a:miter lim="800000"/>
                      <a:headEnd/>
                      <a:tailEnd/>
                    </a:ln>
                  </pic:spPr>
                </pic:pic>
              </a:graphicData>
            </a:graphic>
          </wp:inline>
        </w:drawing>
      </w:r>
    </w:p>
    <w:p w:rsidR="00A25C1F" w:rsidRDefault="00A25C1F" w:rsidP="00633EE9">
      <w:pPr>
        <w:pStyle w:val="Heading1"/>
        <w:numPr>
          <w:ilvl w:val="0"/>
          <w:numId w:val="0"/>
        </w:numPr>
        <w:ind w:left="630"/>
      </w:pPr>
    </w:p>
    <w:p w:rsidR="00A25C1F" w:rsidRDefault="00A25C1F" w:rsidP="00633EE9">
      <w:pPr>
        <w:pStyle w:val="Heading1"/>
        <w:numPr>
          <w:ilvl w:val="0"/>
          <w:numId w:val="0"/>
        </w:numPr>
        <w:ind w:left="630"/>
      </w:pPr>
    </w:p>
    <w:p w:rsidR="00A25C1F" w:rsidRDefault="00A25C1F" w:rsidP="00633EE9">
      <w:pPr>
        <w:pStyle w:val="Heading1"/>
        <w:numPr>
          <w:ilvl w:val="0"/>
          <w:numId w:val="0"/>
        </w:numPr>
        <w:ind w:left="630"/>
      </w:pPr>
    </w:p>
    <w:p w:rsidR="00A25C1F" w:rsidRDefault="001829F6" w:rsidP="00633EE9">
      <w:pPr>
        <w:pStyle w:val="Heading1"/>
        <w:numPr>
          <w:ilvl w:val="0"/>
          <w:numId w:val="0"/>
        </w:numPr>
        <w:ind w:left="630"/>
      </w:pPr>
      <w:r>
        <w:rPr>
          <w:noProof/>
        </w:rPr>
        <w:drawing>
          <wp:inline distT="0" distB="0" distL="0" distR="0">
            <wp:extent cx="5943600" cy="7698295"/>
            <wp:effectExtent l="1905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5943600" cy="7698295"/>
                    </a:xfrm>
                    <a:prstGeom prst="rect">
                      <a:avLst/>
                    </a:prstGeom>
                    <a:noFill/>
                    <a:ln w="9525">
                      <a:noFill/>
                      <a:miter lim="800000"/>
                      <a:headEnd/>
                      <a:tailEnd/>
                    </a:ln>
                  </pic:spPr>
                </pic:pic>
              </a:graphicData>
            </a:graphic>
          </wp:inline>
        </w:drawing>
      </w:r>
    </w:p>
    <w:p w:rsidR="00A25C1F" w:rsidRDefault="00A25C1F" w:rsidP="00633EE9">
      <w:pPr>
        <w:pStyle w:val="Heading1"/>
        <w:numPr>
          <w:ilvl w:val="0"/>
          <w:numId w:val="0"/>
        </w:numPr>
        <w:ind w:left="630"/>
      </w:pPr>
    </w:p>
    <w:p w:rsidR="00A25C1F" w:rsidRDefault="001829F6" w:rsidP="00633EE9">
      <w:pPr>
        <w:pStyle w:val="Heading1"/>
        <w:numPr>
          <w:ilvl w:val="0"/>
          <w:numId w:val="0"/>
        </w:numPr>
        <w:ind w:left="630"/>
      </w:pPr>
      <w:r>
        <w:rPr>
          <w:noProof/>
        </w:rPr>
        <w:drawing>
          <wp:inline distT="0" distB="0" distL="0" distR="0">
            <wp:extent cx="5943600" cy="7698295"/>
            <wp:effectExtent l="1905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5943600" cy="7698295"/>
                    </a:xfrm>
                    <a:prstGeom prst="rect">
                      <a:avLst/>
                    </a:prstGeom>
                    <a:noFill/>
                    <a:ln w="9525">
                      <a:noFill/>
                      <a:miter lim="800000"/>
                      <a:headEnd/>
                      <a:tailEnd/>
                    </a:ln>
                  </pic:spPr>
                </pic:pic>
              </a:graphicData>
            </a:graphic>
          </wp:inline>
        </w:drawing>
      </w:r>
    </w:p>
    <w:p w:rsidR="001829F6" w:rsidRDefault="001829F6" w:rsidP="00633EE9">
      <w:pPr>
        <w:pStyle w:val="Heading1"/>
        <w:numPr>
          <w:ilvl w:val="0"/>
          <w:numId w:val="0"/>
        </w:numPr>
        <w:ind w:left="630"/>
      </w:pPr>
    </w:p>
    <w:p w:rsidR="001829F6" w:rsidRDefault="001829F6" w:rsidP="00633EE9">
      <w:pPr>
        <w:pStyle w:val="Heading1"/>
        <w:numPr>
          <w:ilvl w:val="0"/>
          <w:numId w:val="0"/>
        </w:numPr>
        <w:ind w:left="630"/>
      </w:pPr>
    </w:p>
    <w:p w:rsidR="001829F6" w:rsidRDefault="001829F6" w:rsidP="00633EE9">
      <w:pPr>
        <w:pStyle w:val="Heading1"/>
        <w:numPr>
          <w:ilvl w:val="0"/>
          <w:numId w:val="0"/>
        </w:numPr>
        <w:ind w:left="630"/>
      </w:pPr>
    </w:p>
    <w:p w:rsidR="00DE4EE5" w:rsidRPr="00836079" w:rsidRDefault="00DE4EE5" w:rsidP="00AF0ADF">
      <w:pPr>
        <w:pStyle w:val="ListParagraph"/>
        <w:rPr>
          <w:rFonts w:eastAsia="Calibri"/>
          <w:i/>
          <w:sz w:val="28"/>
          <w:szCs w:val="28"/>
        </w:rPr>
      </w:pPr>
      <w:r w:rsidRPr="00836079">
        <w:rPr>
          <w:rFonts w:eastAsia="Calibri"/>
          <w:i/>
          <w:sz w:val="28"/>
          <w:szCs w:val="28"/>
        </w:rPr>
        <w:t>Reasons to Repeat the Assay</w:t>
      </w:r>
    </w:p>
    <w:p w:rsidR="00DE4EE5" w:rsidRPr="00AF0ADF" w:rsidRDefault="00DE4EE5" w:rsidP="00AF0ADF">
      <w:pPr>
        <w:pStyle w:val="ListParagraph"/>
        <w:numPr>
          <w:ilvl w:val="0"/>
          <w:numId w:val="25"/>
        </w:numPr>
        <w:rPr>
          <w:rFonts w:eastAsia="Calibri"/>
          <w:szCs w:val="18"/>
        </w:rPr>
      </w:pPr>
      <w:r w:rsidRPr="00AF0ADF">
        <w:rPr>
          <w:rFonts w:eastAsia="Calibri"/>
          <w:szCs w:val="18"/>
        </w:rPr>
        <w:t>If any of the test results mentioned below occur, repeat the test according to t</w:t>
      </w:r>
      <w:r w:rsidR="00AF0ADF" w:rsidRPr="00AF0ADF">
        <w:rPr>
          <w:rFonts w:eastAsia="Calibri"/>
        </w:rPr>
        <w:t>he instructions in</w:t>
      </w:r>
      <w:r w:rsidRPr="00AF0ADF">
        <w:rPr>
          <w:rFonts w:eastAsia="Calibri"/>
          <w:szCs w:val="18"/>
        </w:rPr>
        <w:t xml:space="preserve"> Retest Procedure.</w:t>
      </w:r>
    </w:p>
    <w:p w:rsidR="00DE4EE5" w:rsidRPr="00AF0ADF" w:rsidRDefault="00DE4EE5" w:rsidP="00AF0ADF">
      <w:pPr>
        <w:pStyle w:val="ListParagraph"/>
        <w:numPr>
          <w:ilvl w:val="0"/>
          <w:numId w:val="25"/>
        </w:numPr>
        <w:rPr>
          <w:rFonts w:eastAsia="Calibri"/>
          <w:szCs w:val="18"/>
        </w:rPr>
      </w:pPr>
      <w:r w:rsidRPr="00AF0ADF">
        <w:rPr>
          <w:rFonts w:eastAsia="Calibri"/>
          <w:szCs w:val="18"/>
        </w:rPr>
        <w:t xml:space="preserve">An </w:t>
      </w:r>
      <w:r w:rsidRPr="00836079">
        <w:rPr>
          <w:rFonts w:eastAsia="Calibri"/>
          <w:b/>
          <w:szCs w:val="19"/>
        </w:rPr>
        <w:t>INVALID</w:t>
      </w:r>
      <w:r w:rsidRPr="00AF0ADF">
        <w:rPr>
          <w:rFonts w:eastAsia="Calibri"/>
          <w:szCs w:val="19"/>
        </w:rPr>
        <w:t xml:space="preserve"> </w:t>
      </w:r>
      <w:r w:rsidRPr="00AF0ADF">
        <w:rPr>
          <w:rFonts w:eastAsia="Calibri"/>
          <w:szCs w:val="18"/>
        </w:rPr>
        <w:t>result indicates that the control SPC failed. The sample was not properly processed, PCR is inhibited or the</w:t>
      </w:r>
    </w:p>
    <w:p w:rsidR="00DE4EE5" w:rsidRPr="00AF0ADF" w:rsidRDefault="00DE4EE5" w:rsidP="00AF0ADF">
      <w:pPr>
        <w:pStyle w:val="ListParagraph"/>
        <w:numPr>
          <w:ilvl w:val="0"/>
          <w:numId w:val="25"/>
        </w:numPr>
        <w:rPr>
          <w:rFonts w:eastAsia="Calibri"/>
          <w:szCs w:val="18"/>
        </w:rPr>
      </w:pPr>
      <w:r w:rsidRPr="00AF0ADF">
        <w:rPr>
          <w:rFonts w:eastAsia="Calibri"/>
          <w:szCs w:val="18"/>
        </w:rPr>
        <w:t>sample was not properly collected.</w:t>
      </w:r>
    </w:p>
    <w:p w:rsidR="00DE4EE5" w:rsidRPr="00AF0ADF" w:rsidRDefault="00DE4EE5" w:rsidP="00AF0ADF">
      <w:pPr>
        <w:pStyle w:val="ListParagraph"/>
        <w:numPr>
          <w:ilvl w:val="0"/>
          <w:numId w:val="25"/>
        </w:numPr>
        <w:rPr>
          <w:rFonts w:eastAsia="Calibri"/>
          <w:szCs w:val="18"/>
        </w:rPr>
      </w:pPr>
      <w:r w:rsidRPr="00AF0ADF">
        <w:rPr>
          <w:rFonts w:eastAsia="Calibri"/>
          <w:szCs w:val="18"/>
        </w:rPr>
        <w:t xml:space="preserve">An </w:t>
      </w:r>
      <w:r w:rsidRPr="00836079">
        <w:rPr>
          <w:rFonts w:eastAsia="Calibri"/>
          <w:b/>
          <w:szCs w:val="19"/>
        </w:rPr>
        <w:t>ERROR</w:t>
      </w:r>
      <w:r w:rsidRPr="00AF0ADF">
        <w:rPr>
          <w:rFonts w:eastAsia="Calibri"/>
          <w:szCs w:val="19"/>
        </w:rPr>
        <w:t xml:space="preserve"> </w:t>
      </w:r>
      <w:r w:rsidRPr="00AF0ADF">
        <w:rPr>
          <w:rFonts w:eastAsia="Calibri"/>
          <w:szCs w:val="18"/>
        </w:rPr>
        <w:t>result could be due to, but not limited to, Probe Check Control failed or the maximum pressure limits were</w:t>
      </w:r>
      <w:r w:rsidR="00AF0ADF" w:rsidRPr="00AF0ADF">
        <w:rPr>
          <w:rFonts w:eastAsia="Calibri"/>
        </w:rPr>
        <w:t xml:space="preserve"> </w:t>
      </w:r>
      <w:r w:rsidRPr="00AF0ADF">
        <w:rPr>
          <w:rFonts w:eastAsia="Calibri"/>
          <w:szCs w:val="18"/>
        </w:rPr>
        <w:t>exceeded.</w:t>
      </w:r>
    </w:p>
    <w:p w:rsidR="00DE4EE5" w:rsidRPr="00AF0ADF" w:rsidRDefault="00DE4EE5" w:rsidP="00AF0ADF">
      <w:pPr>
        <w:pStyle w:val="ListParagraph"/>
        <w:numPr>
          <w:ilvl w:val="0"/>
          <w:numId w:val="25"/>
        </w:numPr>
        <w:rPr>
          <w:rFonts w:eastAsia="Calibri"/>
          <w:szCs w:val="18"/>
        </w:rPr>
      </w:pPr>
      <w:r w:rsidRPr="00AF0ADF">
        <w:rPr>
          <w:rFonts w:eastAsia="Calibri"/>
          <w:szCs w:val="18"/>
        </w:rPr>
        <w:t xml:space="preserve">A </w:t>
      </w:r>
      <w:r w:rsidRPr="00836079">
        <w:rPr>
          <w:rFonts w:eastAsia="Calibri"/>
          <w:b/>
          <w:szCs w:val="19"/>
        </w:rPr>
        <w:t>NO RESULT</w:t>
      </w:r>
      <w:r w:rsidRPr="00AF0ADF">
        <w:rPr>
          <w:rFonts w:eastAsia="Calibri"/>
          <w:szCs w:val="19"/>
        </w:rPr>
        <w:t xml:space="preserve"> </w:t>
      </w:r>
      <w:r w:rsidRPr="00AF0ADF">
        <w:rPr>
          <w:rFonts w:eastAsia="Calibri"/>
          <w:szCs w:val="18"/>
        </w:rPr>
        <w:t>indicates that insufficient data were collected. For example, the operator stopped a test that was in progress,</w:t>
      </w:r>
      <w:r w:rsidR="00AF0ADF" w:rsidRPr="00AF0ADF">
        <w:rPr>
          <w:rFonts w:eastAsia="Calibri"/>
        </w:rPr>
        <w:t xml:space="preserve"> </w:t>
      </w:r>
      <w:r w:rsidRPr="00AF0ADF">
        <w:rPr>
          <w:rFonts w:eastAsia="Calibri"/>
          <w:szCs w:val="18"/>
        </w:rPr>
        <w:t>or a power failure occurred.</w:t>
      </w:r>
    </w:p>
    <w:p w:rsidR="00DE4EE5" w:rsidRPr="00AF0ADF" w:rsidRDefault="00DE4EE5" w:rsidP="00AF0ADF">
      <w:pPr>
        <w:pStyle w:val="ListParagraph"/>
        <w:numPr>
          <w:ilvl w:val="0"/>
          <w:numId w:val="25"/>
        </w:numPr>
        <w:rPr>
          <w:rFonts w:eastAsia="Calibri"/>
        </w:rPr>
      </w:pPr>
      <w:r w:rsidRPr="00AF0ADF">
        <w:rPr>
          <w:rFonts w:eastAsia="Calibri"/>
          <w:szCs w:val="18"/>
        </w:rPr>
        <w:t>Because the incidence of co-infection with two or more viruses (Influenza A, Influenza B, and RSV) is low, it is</w:t>
      </w:r>
      <w:r w:rsidR="00AF0ADF" w:rsidRPr="00AF0ADF">
        <w:rPr>
          <w:rFonts w:eastAsia="Calibri"/>
        </w:rPr>
        <w:t xml:space="preserve"> </w:t>
      </w:r>
      <w:r w:rsidRPr="00AF0ADF">
        <w:rPr>
          <w:rFonts w:eastAsia="Calibri"/>
          <w:szCs w:val="18"/>
        </w:rPr>
        <w:t>recommended that specimens undergo repeat testing if nucleic acids from two or more analytes are detected in a single</w:t>
      </w:r>
      <w:r w:rsidR="00AF0ADF" w:rsidRPr="00AF0ADF">
        <w:rPr>
          <w:rFonts w:eastAsia="Calibri"/>
        </w:rPr>
        <w:t xml:space="preserve"> </w:t>
      </w:r>
      <w:r w:rsidRPr="00AF0ADF">
        <w:rPr>
          <w:rFonts w:eastAsia="Calibri"/>
          <w:szCs w:val="18"/>
        </w:rPr>
        <w:t>specimen. Repeat test according to t</w:t>
      </w:r>
      <w:r w:rsidR="00AF0ADF" w:rsidRPr="00AF0ADF">
        <w:rPr>
          <w:rFonts w:eastAsia="Calibri"/>
        </w:rPr>
        <w:t>he instructions in</w:t>
      </w:r>
      <w:r w:rsidRPr="00AF0ADF">
        <w:rPr>
          <w:rFonts w:eastAsia="Calibri"/>
          <w:szCs w:val="18"/>
        </w:rPr>
        <w:t xml:space="preserve"> Retest Procedure below.</w:t>
      </w:r>
    </w:p>
    <w:p w:rsidR="00AF0ADF" w:rsidRPr="00AF0ADF" w:rsidRDefault="00AF0ADF" w:rsidP="00AF0ADF">
      <w:pPr>
        <w:pStyle w:val="ListParagraph"/>
        <w:rPr>
          <w:rFonts w:eastAsia="Calibri"/>
        </w:rPr>
      </w:pPr>
    </w:p>
    <w:p w:rsidR="00DE4EE5" w:rsidRPr="00836079" w:rsidRDefault="00DE4EE5" w:rsidP="00AF0ADF">
      <w:pPr>
        <w:pStyle w:val="ListParagraph"/>
        <w:rPr>
          <w:rFonts w:eastAsia="Calibri"/>
          <w:b/>
          <w:i/>
          <w:sz w:val="28"/>
          <w:szCs w:val="28"/>
        </w:rPr>
      </w:pPr>
      <w:r w:rsidRPr="00836079">
        <w:rPr>
          <w:rFonts w:eastAsia="Calibri"/>
          <w:i/>
          <w:sz w:val="28"/>
          <w:szCs w:val="28"/>
        </w:rPr>
        <w:t xml:space="preserve"> </w:t>
      </w:r>
      <w:r w:rsidRPr="00836079">
        <w:rPr>
          <w:rFonts w:eastAsia="Calibri"/>
          <w:b/>
          <w:i/>
          <w:sz w:val="28"/>
          <w:szCs w:val="28"/>
        </w:rPr>
        <w:t>Retest Procedure</w:t>
      </w:r>
    </w:p>
    <w:p w:rsidR="00DE4EE5" w:rsidRPr="00AF0ADF" w:rsidRDefault="00DE4EE5" w:rsidP="00AF0ADF">
      <w:pPr>
        <w:pStyle w:val="ListParagraph"/>
        <w:numPr>
          <w:ilvl w:val="0"/>
          <w:numId w:val="23"/>
        </w:numPr>
        <w:rPr>
          <w:rFonts w:eastAsia="Calibri"/>
        </w:rPr>
      </w:pPr>
      <w:r w:rsidRPr="00AF0ADF">
        <w:rPr>
          <w:rFonts w:eastAsia="Calibri"/>
        </w:rPr>
        <w:t>For retest of an indeterminate result, use a new cartridge (do not re-use the cartridge).</w:t>
      </w:r>
    </w:p>
    <w:p w:rsidR="00DE4EE5" w:rsidRPr="00AF0ADF" w:rsidRDefault="00DE4EE5" w:rsidP="00AF0ADF">
      <w:pPr>
        <w:pStyle w:val="ListParagraph"/>
        <w:numPr>
          <w:ilvl w:val="0"/>
          <w:numId w:val="23"/>
        </w:numPr>
        <w:rPr>
          <w:rFonts w:eastAsia="Calibri"/>
        </w:rPr>
      </w:pPr>
      <w:r w:rsidRPr="00AF0ADF">
        <w:rPr>
          <w:rFonts w:eastAsia="Calibri"/>
        </w:rPr>
        <w:t>For NP swab specimens, use 300 μL of the leftover specimen from the original transport medium tube.</w:t>
      </w:r>
    </w:p>
    <w:p w:rsidR="00DE4EE5" w:rsidRPr="00AF0ADF" w:rsidRDefault="00DE4EE5" w:rsidP="00AF0ADF">
      <w:pPr>
        <w:pStyle w:val="ListParagraph"/>
        <w:numPr>
          <w:ilvl w:val="0"/>
          <w:numId w:val="23"/>
        </w:numPr>
        <w:rPr>
          <w:rFonts w:eastAsia="Calibri"/>
        </w:rPr>
      </w:pPr>
      <w:r w:rsidRPr="00AF0ADF">
        <w:rPr>
          <w:rFonts w:eastAsia="Calibri"/>
        </w:rPr>
        <w:t>For NA/W specimens, use 300 μL of the leftover diluted specimen from the 3 mL transport medium tube.</w:t>
      </w:r>
    </w:p>
    <w:p w:rsidR="00DE4EE5" w:rsidRPr="00AF0ADF" w:rsidRDefault="00DE4EE5" w:rsidP="00AF0ADF">
      <w:pPr>
        <w:pStyle w:val="ListParagraph"/>
        <w:numPr>
          <w:ilvl w:val="0"/>
          <w:numId w:val="23"/>
        </w:numPr>
        <w:rPr>
          <w:rFonts w:eastAsia="Calibri"/>
        </w:rPr>
      </w:pPr>
      <w:r w:rsidRPr="00AF0ADF">
        <w:rPr>
          <w:rFonts w:eastAsia="Calibri"/>
        </w:rPr>
        <w:t>Remove a new cartridge from the kit.</w:t>
      </w:r>
    </w:p>
    <w:p w:rsidR="00DE4EE5" w:rsidRPr="00AF0ADF" w:rsidRDefault="00DE4EE5" w:rsidP="00AF0ADF">
      <w:pPr>
        <w:pStyle w:val="ListParagraph"/>
        <w:numPr>
          <w:ilvl w:val="0"/>
          <w:numId w:val="23"/>
        </w:numPr>
        <w:rPr>
          <w:rFonts w:eastAsia="Calibri"/>
        </w:rPr>
      </w:pPr>
      <w:r w:rsidRPr="00AF0ADF">
        <w:rPr>
          <w:rFonts w:eastAsia="Calibri"/>
        </w:rPr>
        <w:t>Mix the</w:t>
      </w:r>
      <w:r w:rsidR="00683157" w:rsidRPr="00AF0ADF">
        <w:rPr>
          <w:rFonts w:eastAsia="Calibri"/>
        </w:rPr>
        <w:t xml:space="preserve"> specimen by inverting the</w:t>
      </w:r>
      <w:r w:rsidRPr="00AF0ADF">
        <w:rPr>
          <w:rFonts w:eastAsia="Calibri"/>
        </w:rPr>
        <w:t xml:space="preserve"> Viral Transport Medium tube five times.</w:t>
      </w:r>
    </w:p>
    <w:p w:rsidR="00DE4EE5" w:rsidRPr="00961769" w:rsidRDefault="00DE4EE5" w:rsidP="00AF0ADF">
      <w:pPr>
        <w:pStyle w:val="ListParagraph"/>
        <w:numPr>
          <w:ilvl w:val="0"/>
          <w:numId w:val="23"/>
        </w:numPr>
        <w:rPr>
          <w:rFonts w:eastAsia="Calibri"/>
        </w:rPr>
      </w:pPr>
      <w:r w:rsidRPr="00961769">
        <w:rPr>
          <w:rFonts w:eastAsia="Calibri"/>
        </w:rPr>
        <w:t>Open the cartridge lid. Use a clean 300 μL transfer pipette (supplied) to transfer 300 μL (one draw) of the specimen from the</w:t>
      </w:r>
      <w:r w:rsidR="00961769" w:rsidRPr="00961769">
        <w:rPr>
          <w:rFonts w:eastAsia="Calibri"/>
        </w:rPr>
        <w:t xml:space="preserve"> </w:t>
      </w:r>
      <w:r w:rsidRPr="00961769">
        <w:rPr>
          <w:rFonts w:eastAsia="Calibri"/>
        </w:rPr>
        <w:t>transport medium tube to the sample chamber with large open</w:t>
      </w:r>
      <w:r w:rsidR="00961769">
        <w:rPr>
          <w:rFonts w:eastAsia="Calibri"/>
        </w:rPr>
        <w:t>ing in the cartridge.</w:t>
      </w:r>
    </w:p>
    <w:p w:rsidR="00DE4EE5" w:rsidRPr="00AF0ADF" w:rsidRDefault="00DE4EE5" w:rsidP="00AF0ADF">
      <w:pPr>
        <w:pStyle w:val="ListParagraph"/>
        <w:numPr>
          <w:ilvl w:val="0"/>
          <w:numId w:val="23"/>
        </w:numPr>
        <w:rPr>
          <w:rFonts w:eastAsia="Calibri"/>
        </w:rPr>
      </w:pPr>
      <w:r w:rsidRPr="00AF0ADF">
        <w:rPr>
          <w:rFonts w:eastAsia="Calibri"/>
        </w:rPr>
        <w:t>Close the cartridge lid.</w:t>
      </w:r>
    </w:p>
    <w:p w:rsidR="00DE4EE5" w:rsidRPr="00AF0ADF" w:rsidRDefault="00DE4EE5" w:rsidP="00AF0ADF">
      <w:pPr>
        <w:pStyle w:val="ListParagraph"/>
        <w:numPr>
          <w:ilvl w:val="0"/>
          <w:numId w:val="23"/>
        </w:numPr>
        <w:rPr>
          <w:rFonts w:eastAsia="Calibri"/>
        </w:rPr>
      </w:pPr>
      <w:r w:rsidRPr="00AF0ADF">
        <w:rPr>
          <w:rFonts w:eastAsia="Calibri"/>
        </w:rPr>
        <w:t>Follo</w:t>
      </w:r>
      <w:r w:rsidR="0067454C" w:rsidRPr="00AF0ADF">
        <w:rPr>
          <w:rFonts w:eastAsia="Calibri"/>
        </w:rPr>
        <w:t xml:space="preserve">w the procedure in </w:t>
      </w:r>
      <w:r w:rsidRPr="00AF0ADF">
        <w:rPr>
          <w:rFonts w:eastAsia="Calibri"/>
        </w:rPr>
        <w:t>Starting the Test.</w:t>
      </w:r>
    </w:p>
    <w:p w:rsidR="00DE4EE5" w:rsidRDefault="00DE4EE5" w:rsidP="00AF0ADF">
      <w:pPr>
        <w:pStyle w:val="ListParagraph"/>
      </w:pPr>
    </w:p>
    <w:p w:rsidR="00DE4EE5" w:rsidRDefault="00DE4EE5" w:rsidP="00AF0ADF">
      <w:pPr>
        <w:pStyle w:val="ListParagraph"/>
      </w:pPr>
    </w:p>
    <w:p w:rsidR="00DE4EE5" w:rsidRDefault="00DE4EE5" w:rsidP="00AF0ADF">
      <w:pPr>
        <w:pStyle w:val="ListParagraph"/>
      </w:pPr>
    </w:p>
    <w:p w:rsidR="00FB4387" w:rsidRPr="00156028" w:rsidRDefault="00CF7A91" w:rsidP="00435AF3">
      <w:pPr>
        <w:pStyle w:val="Heading1"/>
      </w:pPr>
      <w:r w:rsidRPr="00435AF3">
        <w:rPr>
          <w:sz w:val="28"/>
          <w:szCs w:val="28"/>
        </w:rPr>
        <w:t>Staff Education and Competency</w:t>
      </w:r>
      <w:r w:rsidR="00156028" w:rsidRPr="00156028">
        <w:t>:</w:t>
      </w:r>
    </w:p>
    <w:p w:rsidR="00B835AD" w:rsidRDefault="00B835AD" w:rsidP="00156028">
      <w:pPr>
        <w:pStyle w:val="ListParagraph"/>
      </w:pPr>
      <w:r>
        <w:t>Training activities will</w:t>
      </w:r>
      <w:r w:rsidR="00435AF3">
        <w:t xml:space="preserve"> be documented on the Microbiology</w:t>
      </w:r>
      <w:r>
        <w:t xml:space="preserve"> Training Checklist form and maintained on file in the laboratory. Competency will be maintained by continuing education as necessary, participation in CAP surveys documented annually on the Training and Competency Checklist.</w:t>
      </w:r>
    </w:p>
    <w:p w:rsidR="00FB4387" w:rsidRDefault="00FB4387" w:rsidP="001172E8">
      <w:pPr>
        <w:rPr>
          <w:b/>
        </w:rPr>
      </w:pPr>
    </w:p>
    <w:p w:rsidR="00FB4387" w:rsidRDefault="00FB4387" w:rsidP="001172E8">
      <w:pPr>
        <w:rPr>
          <w:b/>
        </w:rPr>
      </w:pPr>
    </w:p>
    <w:p w:rsidR="00FB4387" w:rsidRDefault="00DB3CA2" w:rsidP="00DB3CA2">
      <w:pPr>
        <w:pStyle w:val="Heading1"/>
        <w:rPr>
          <w:sz w:val="28"/>
          <w:szCs w:val="28"/>
        </w:rPr>
      </w:pPr>
      <w:r w:rsidRPr="00DB3CA2">
        <w:rPr>
          <w:sz w:val="28"/>
          <w:szCs w:val="28"/>
        </w:rPr>
        <w:t>References:</w:t>
      </w:r>
    </w:p>
    <w:p w:rsidR="00DB3CA2" w:rsidRPr="00DB3CA2" w:rsidRDefault="005F1BB0" w:rsidP="00DB3CA2">
      <w:pPr>
        <w:pStyle w:val="ListParagraph"/>
        <w:numPr>
          <w:ilvl w:val="0"/>
          <w:numId w:val="26"/>
        </w:numPr>
      </w:pPr>
      <w:r w:rsidRPr="00DB3CA2">
        <w:rPr>
          <w:rFonts w:eastAsia="Calibri"/>
          <w:bCs/>
        </w:rPr>
        <w:t xml:space="preserve">Xpert </w:t>
      </w:r>
      <w:r w:rsidRPr="00DB3CA2">
        <w:rPr>
          <w:bCs/>
        </w:rPr>
        <w:t>Flu</w:t>
      </w:r>
      <w:r w:rsidR="00DB3CA2" w:rsidRPr="00DB3CA2">
        <w:rPr>
          <w:rFonts w:eastAsia="Calibri"/>
          <w:bCs/>
        </w:rPr>
        <w:t xml:space="preserve">/RSV </w:t>
      </w:r>
      <w:r w:rsidRPr="00DB3CA2">
        <w:rPr>
          <w:rFonts w:eastAsia="Calibri"/>
          <w:bCs/>
        </w:rPr>
        <w:t>XC</w:t>
      </w:r>
      <w:r w:rsidRPr="00DB3CA2">
        <w:rPr>
          <w:bCs/>
        </w:rPr>
        <w:t>, Package</w:t>
      </w:r>
      <w:r w:rsidR="00DB3CA2" w:rsidRPr="00DB3CA2">
        <w:rPr>
          <w:bCs/>
        </w:rPr>
        <w:t xml:space="preserve"> insert</w:t>
      </w:r>
      <w:r w:rsidR="00DB3CA2">
        <w:rPr>
          <w:bCs/>
        </w:rPr>
        <w:t xml:space="preserve"> 2016,</w:t>
      </w:r>
      <w:r w:rsidR="00DB3CA2" w:rsidRPr="00DB3CA2">
        <w:rPr>
          <w:bCs/>
        </w:rPr>
        <w:t xml:space="preserve"> Cepheid.      </w:t>
      </w:r>
    </w:p>
    <w:p w:rsidR="00FB4387" w:rsidRDefault="00FB4387" w:rsidP="001172E8">
      <w:pPr>
        <w:rPr>
          <w:b/>
        </w:rPr>
      </w:pPr>
    </w:p>
    <w:p w:rsidR="00FB4387" w:rsidRDefault="00FB4387" w:rsidP="001172E8">
      <w:pPr>
        <w:rPr>
          <w:b/>
        </w:rPr>
      </w:pPr>
    </w:p>
    <w:p w:rsidR="00FB4387" w:rsidRDefault="00FB4387" w:rsidP="001172E8">
      <w:pPr>
        <w:rPr>
          <w:b/>
        </w:rPr>
      </w:pPr>
    </w:p>
    <w:p w:rsidR="00FB4387" w:rsidRDefault="00FB4387" w:rsidP="001172E8">
      <w:pPr>
        <w:rPr>
          <w:b/>
        </w:rPr>
      </w:pPr>
    </w:p>
    <w:p w:rsidR="00FB4387" w:rsidRDefault="00FB4387" w:rsidP="001172E8">
      <w:pPr>
        <w:rPr>
          <w:b/>
        </w:rPr>
      </w:pPr>
    </w:p>
    <w:p w:rsidR="001A26A3" w:rsidRDefault="001A26A3" w:rsidP="008D3222">
      <w:pPr>
        <w:jc w:val="center"/>
      </w:pPr>
    </w:p>
    <w:p w:rsidR="00CF7A91" w:rsidRDefault="00CF7A91" w:rsidP="008D3222">
      <w:pPr>
        <w:jc w:val="center"/>
        <w:rPr>
          <w:b/>
          <w:sz w:val="28"/>
        </w:rPr>
      </w:pPr>
      <w:r>
        <w:rPr>
          <w:b/>
          <w:sz w:val="28"/>
        </w:rPr>
        <w:t xml:space="preserve">St. Elizabeth’s </w:t>
      </w:r>
      <w:smartTag w:uri="urn:schemas-microsoft-com:office:smarttags" w:element="place">
        <w:smartTag w:uri="urn:schemas-microsoft-com:office:smarttags" w:element="PlaceName">
          <w:r>
            <w:rPr>
              <w:b/>
              <w:sz w:val="28"/>
            </w:rPr>
            <w:t>Medical</w:t>
          </w:r>
        </w:smartTag>
        <w:r>
          <w:rPr>
            <w:b/>
            <w:sz w:val="28"/>
          </w:rPr>
          <w:t xml:space="preserve"> </w:t>
        </w:r>
        <w:smartTag w:uri="urn:schemas-microsoft-com:office:smarttags" w:element="PlaceType">
          <w:r>
            <w:rPr>
              <w:b/>
              <w:sz w:val="28"/>
            </w:rPr>
            <w:t>Center</w:t>
          </w:r>
        </w:smartTag>
      </w:smartTag>
    </w:p>
    <w:p w:rsidR="00CF7A91" w:rsidRDefault="00CF7A91" w:rsidP="00CF7A91">
      <w:pPr>
        <w:jc w:val="center"/>
        <w:rPr>
          <w:b/>
          <w:sz w:val="28"/>
        </w:rPr>
      </w:pPr>
      <w:r>
        <w:rPr>
          <w:b/>
          <w:sz w:val="28"/>
        </w:rPr>
        <w:t>Clinical Laboratory</w:t>
      </w:r>
    </w:p>
    <w:p w:rsidR="00CF7A91" w:rsidRDefault="00CF7A91" w:rsidP="00CF7A9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8"/>
        <w:gridCol w:w="3960"/>
      </w:tblGrid>
      <w:tr w:rsidR="00CF7A91" w:rsidTr="008E7A82">
        <w:tc>
          <w:tcPr>
            <w:tcW w:w="5868" w:type="dxa"/>
          </w:tcPr>
          <w:p w:rsidR="00CF7A91" w:rsidRDefault="00CF7A91" w:rsidP="00D231CB">
            <w:r>
              <w:t>Standard Operating P</w:t>
            </w:r>
            <w:r w:rsidR="008D3222">
              <w:t xml:space="preserve">rocedure File #: </w:t>
            </w:r>
            <w:r w:rsidR="008E0624">
              <w:rPr>
                <w:b/>
                <w:bCs/>
              </w:rPr>
              <w:t>SE.MIC.02.0054.01</w:t>
            </w:r>
          </w:p>
        </w:tc>
        <w:tc>
          <w:tcPr>
            <w:tcW w:w="3960" w:type="dxa"/>
          </w:tcPr>
          <w:p w:rsidR="00CF7A91" w:rsidRDefault="00CF7A91" w:rsidP="00D231CB">
            <w:pPr>
              <w:pStyle w:val="Heading1"/>
              <w:numPr>
                <w:ilvl w:val="0"/>
                <w:numId w:val="0"/>
              </w:numPr>
              <w:rPr>
                <w:b w:val="0"/>
              </w:rPr>
            </w:pPr>
            <w:r>
              <w:rPr>
                <w:b w:val="0"/>
              </w:rPr>
              <w:t>File Name</w:t>
            </w:r>
            <w:r w:rsidR="00BD4C61">
              <w:rPr>
                <w:b w:val="0"/>
              </w:rPr>
              <w:t>: .</w:t>
            </w:r>
            <w:r>
              <w:rPr>
                <w:b w:val="0"/>
              </w:rPr>
              <w:t>doc</w:t>
            </w:r>
            <w:r w:rsidR="00F81128" w:rsidRPr="005568D7">
              <w:rPr>
                <w:rFonts w:eastAsia="Calibri"/>
                <w:b w:val="0"/>
                <w:bCs w:val="0"/>
              </w:rPr>
              <w:t xml:space="preserve"> Xpert </w:t>
            </w:r>
            <w:r w:rsidR="00F81128" w:rsidRPr="005568D7">
              <w:rPr>
                <w:b w:val="0"/>
                <w:bCs w:val="0"/>
              </w:rPr>
              <w:t xml:space="preserve"> </w:t>
            </w:r>
            <w:r w:rsidR="00F81128" w:rsidRPr="005568D7">
              <w:rPr>
                <w:rFonts w:eastAsia="Calibri"/>
                <w:b w:val="0"/>
                <w:bCs w:val="0"/>
              </w:rPr>
              <w:t>Flu/RSV XC</w:t>
            </w:r>
            <w:r w:rsidR="00F81128">
              <w:rPr>
                <w:b w:val="0"/>
                <w:bCs w:val="0"/>
              </w:rPr>
              <w:t xml:space="preserve">         </w:t>
            </w:r>
          </w:p>
        </w:tc>
      </w:tr>
      <w:tr w:rsidR="00CF7A91" w:rsidTr="008E7A82">
        <w:tc>
          <w:tcPr>
            <w:tcW w:w="9828" w:type="dxa"/>
            <w:gridSpan w:val="2"/>
          </w:tcPr>
          <w:p w:rsidR="00CF7A91" w:rsidRDefault="00CF7A91" w:rsidP="00D231CB">
            <w:pPr>
              <w:spacing w:before="120" w:after="120"/>
              <w:rPr>
                <w:b/>
              </w:rPr>
            </w:pPr>
            <w:r>
              <w:t xml:space="preserve">Title of Procedure: </w:t>
            </w:r>
            <w:r w:rsidR="00F81128" w:rsidRPr="005568D7">
              <w:rPr>
                <w:rFonts w:eastAsia="Calibri"/>
                <w:b/>
                <w:bCs/>
              </w:rPr>
              <w:t xml:space="preserve">Xpert </w:t>
            </w:r>
            <w:r w:rsidR="00F81128" w:rsidRPr="005568D7">
              <w:rPr>
                <w:b/>
                <w:bCs/>
              </w:rPr>
              <w:t xml:space="preserve"> </w:t>
            </w:r>
            <w:r w:rsidR="00F81128" w:rsidRPr="005568D7">
              <w:rPr>
                <w:rFonts w:eastAsia="Calibri"/>
                <w:b/>
                <w:bCs/>
              </w:rPr>
              <w:t>Flu/RSV XC</w:t>
            </w:r>
            <w:r w:rsidR="00F81128">
              <w:rPr>
                <w:b/>
                <w:bCs/>
              </w:rPr>
              <w:t xml:space="preserve">         </w:t>
            </w:r>
          </w:p>
        </w:tc>
      </w:tr>
    </w:tbl>
    <w:p w:rsidR="00CF7A91" w:rsidRDefault="00CF7A91" w:rsidP="00CF7A91">
      <w:pPr>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CF7A91" w:rsidTr="00973898">
        <w:tc>
          <w:tcPr>
            <w:tcW w:w="9828" w:type="dxa"/>
          </w:tcPr>
          <w:p w:rsidR="00CF7A91" w:rsidRDefault="00CF7A91" w:rsidP="008E7A82">
            <w:pPr>
              <w:pStyle w:val="Heading2"/>
              <w:spacing w:before="120" w:after="120"/>
              <w:rPr>
                <w:sz w:val="24"/>
              </w:rPr>
            </w:pPr>
            <w:r>
              <w:rPr>
                <w:sz w:val="24"/>
              </w:rPr>
              <w:t>Standard Operating Procedure Historical Record</w:t>
            </w:r>
          </w:p>
        </w:tc>
      </w:tr>
    </w:tbl>
    <w:p w:rsidR="00CF7A91" w:rsidRDefault="00CF7A91" w:rsidP="00CF7A91">
      <w:pPr>
        <w:jc w:val="center"/>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3510"/>
        <w:gridCol w:w="2034"/>
        <w:gridCol w:w="2394"/>
        <w:gridCol w:w="245"/>
      </w:tblGrid>
      <w:tr w:rsidR="00CF7A91" w:rsidTr="008E7A82">
        <w:tc>
          <w:tcPr>
            <w:tcW w:w="1638" w:type="dxa"/>
          </w:tcPr>
          <w:p w:rsidR="00CF7A91" w:rsidRDefault="00CF7A91" w:rsidP="008E7A82">
            <w:r>
              <w:t>Review Date</w:t>
            </w:r>
          </w:p>
        </w:tc>
        <w:tc>
          <w:tcPr>
            <w:tcW w:w="3510" w:type="dxa"/>
          </w:tcPr>
          <w:p w:rsidR="00CF7A91" w:rsidRDefault="00CF7A91" w:rsidP="008E7A82">
            <w:r>
              <w:t>Annual Review/</w:t>
            </w:r>
          </w:p>
          <w:p w:rsidR="00CF7A91" w:rsidRDefault="00CF7A91" w:rsidP="008E7A82">
            <w:r>
              <w:t>Revision Summary</w:t>
            </w:r>
          </w:p>
        </w:tc>
        <w:tc>
          <w:tcPr>
            <w:tcW w:w="2034" w:type="dxa"/>
          </w:tcPr>
          <w:p w:rsidR="00CF7A91" w:rsidRDefault="00CF7A91" w:rsidP="008E7A82">
            <w:r>
              <w:t>Supervisor Review</w:t>
            </w:r>
          </w:p>
        </w:tc>
        <w:tc>
          <w:tcPr>
            <w:tcW w:w="2639" w:type="dxa"/>
            <w:gridSpan w:val="2"/>
          </w:tcPr>
          <w:p w:rsidR="00CF7A91" w:rsidRDefault="00CF7A91" w:rsidP="008E7A82">
            <w:r>
              <w:t>Laboratory Director/Approval</w:t>
            </w:r>
          </w:p>
        </w:tc>
      </w:tr>
      <w:tr w:rsidR="00CF7A91" w:rsidTr="008E7A82">
        <w:tc>
          <w:tcPr>
            <w:tcW w:w="1638" w:type="dxa"/>
          </w:tcPr>
          <w:p w:rsidR="00CF7A91" w:rsidRPr="005F7EBF" w:rsidRDefault="00CF7A91" w:rsidP="008E7A82">
            <w:pPr>
              <w:spacing w:before="60" w:after="60"/>
              <w:rPr>
                <w:sz w:val="22"/>
                <w:szCs w:val="22"/>
              </w:rPr>
            </w:pPr>
          </w:p>
        </w:tc>
        <w:tc>
          <w:tcPr>
            <w:tcW w:w="3510" w:type="dxa"/>
          </w:tcPr>
          <w:p w:rsidR="00CF7A91" w:rsidRDefault="00CF7A91" w:rsidP="008E7A82">
            <w:pPr>
              <w:spacing w:before="60" w:after="60"/>
            </w:pPr>
          </w:p>
        </w:tc>
        <w:tc>
          <w:tcPr>
            <w:tcW w:w="2034" w:type="dxa"/>
          </w:tcPr>
          <w:p w:rsidR="00CF7A91" w:rsidRDefault="00CF7A91" w:rsidP="008E7A82">
            <w:pPr>
              <w:spacing w:before="60" w:after="60"/>
            </w:pPr>
          </w:p>
        </w:tc>
        <w:tc>
          <w:tcPr>
            <w:tcW w:w="2394" w:type="dxa"/>
          </w:tcPr>
          <w:p w:rsidR="00CF7A91" w:rsidRDefault="00CF7A91" w:rsidP="008E7A82">
            <w:pPr>
              <w:spacing w:before="60" w:after="60"/>
            </w:pPr>
          </w:p>
        </w:tc>
        <w:tc>
          <w:tcPr>
            <w:tcW w:w="245" w:type="dxa"/>
          </w:tcPr>
          <w:p w:rsidR="00CF7A91" w:rsidRDefault="00CF7A91" w:rsidP="008E7A82">
            <w:pPr>
              <w:spacing w:before="60" w:after="60"/>
              <w:jc w:val="center"/>
            </w:pPr>
          </w:p>
        </w:tc>
      </w:tr>
      <w:tr w:rsidR="00CF7A91" w:rsidTr="008E7A82">
        <w:tc>
          <w:tcPr>
            <w:tcW w:w="1638" w:type="dxa"/>
          </w:tcPr>
          <w:p w:rsidR="00CF7A91" w:rsidRPr="005F7EBF" w:rsidRDefault="00CF7A91" w:rsidP="008E7A82">
            <w:pPr>
              <w:spacing w:before="60" w:after="60"/>
              <w:rPr>
                <w:sz w:val="22"/>
                <w:szCs w:val="22"/>
              </w:rPr>
            </w:pPr>
          </w:p>
        </w:tc>
        <w:tc>
          <w:tcPr>
            <w:tcW w:w="3510" w:type="dxa"/>
          </w:tcPr>
          <w:p w:rsidR="00CF7A91" w:rsidRPr="005F7EBF" w:rsidRDefault="00CF7A91" w:rsidP="008E7A82">
            <w:pPr>
              <w:spacing w:before="60" w:after="60"/>
              <w:rPr>
                <w:sz w:val="22"/>
                <w:szCs w:val="22"/>
              </w:rPr>
            </w:pPr>
          </w:p>
        </w:tc>
        <w:tc>
          <w:tcPr>
            <w:tcW w:w="2034" w:type="dxa"/>
          </w:tcPr>
          <w:p w:rsidR="00CF7A91" w:rsidRDefault="00CF7A91" w:rsidP="008E7A82">
            <w:pPr>
              <w:spacing w:before="60" w:after="60"/>
            </w:pPr>
          </w:p>
        </w:tc>
        <w:tc>
          <w:tcPr>
            <w:tcW w:w="2394" w:type="dxa"/>
          </w:tcPr>
          <w:p w:rsidR="00CF7A91" w:rsidRDefault="00CF7A91" w:rsidP="008E7A82">
            <w:pPr>
              <w:spacing w:before="60" w:after="60"/>
            </w:pPr>
          </w:p>
        </w:tc>
        <w:tc>
          <w:tcPr>
            <w:tcW w:w="245" w:type="dxa"/>
          </w:tcPr>
          <w:p w:rsidR="00CF7A91" w:rsidRDefault="00CF7A91" w:rsidP="008E7A82">
            <w:pPr>
              <w:spacing w:before="60" w:after="60"/>
              <w:jc w:val="center"/>
            </w:pPr>
          </w:p>
        </w:tc>
      </w:tr>
      <w:tr w:rsidR="00CF7A91" w:rsidTr="008E7A82">
        <w:tc>
          <w:tcPr>
            <w:tcW w:w="1638" w:type="dxa"/>
          </w:tcPr>
          <w:p w:rsidR="00CF7A91" w:rsidRDefault="00CF7A91" w:rsidP="008E7A82">
            <w:pPr>
              <w:spacing w:before="60" w:after="60"/>
            </w:pPr>
          </w:p>
        </w:tc>
        <w:tc>
          <w:tcPr>
            <w:tcW w:w="3510" w:type="dxa"/>
          </w:tcPr>
          <w:p w:rsidR="00CF7A91" w:rsidRDefault="00CF7A91" w:rsidP="008E7A82">
            <w:pPr>
              <w:spacing w:before="60" w:after="60"/>
            </w:pPr>
          </w:p>
        </w:tc>
        <w:tc>
          <w:tcPr>
            <w:tcW w:w="2034" w:type="dxa"/>
          </w:tcPr>
          <w:p w:rsidR="00CF7A91" w:rsidRDefault="00CF7A91" w:rsidP="008E7A82">
            <w:pPr>
              <w:spacing w:before="60" w:after="60"/>
            </w:pPr>
          </w:p>
        </w:tc>
        <w:tc>
          <w:tcPr>
            <w:tcW w:w="2394" w:type="dxa"/>
          </w:tcPr>
          <w:p w:rsidR="00CF7A91" w:rsidRDefault="00CF7A91" w:rsidP="008E7A82">
            <w:pPr>
              <w:spacing w:before="60" w:after="60"/>
            </w:pPr>
          </w:p>
        </w:tc>
        <w:tc>
          <w:tcPr>
            <w:tcW w:w="245" w:type="dxa"/>
          </w:tcPr>
          <w:p w:rsidR="00CF7A91" w:rsidRDefault="00CF7A91" w:rsidP="008E7A82">
            <w:pPr>
              <w:spacing w:before="60" w:after="60"/>
              <w:jc w:val="center"/>
            </w:pPr>
          </w:p>
        </w:tc>
      </w:tr>
      <w:tr w:rsidR="00CF7A91" w:rsidTr="008E7A82">
        <w:tc>
          <w:tcPr>
            <w:tcW w:w="1638" w:type="dxa"/>
          </w:tcPr>
          <w:p w:rsidR="00CF7A91" w:rsidRDefault="00CF7A91" w:rsidP="008E7A82">
            <w:pPr>
              <w:spacing w:before="60" w:after="60"/>
            </w:pPr>
          </w:p>
        </w:tc>
        <w:tc>
          <w:tcPr>
            <w:tcW w:w="3510" w:type="dxa"/>
          </w:tcPr>
          <w:p w:rsidR="00CF7A91" w:rsidRDefault="00CF7A91" w:rsidP="008E7A82">
            <w:pPr>
              <w:spacing w:before="60" w:after="60"/>
            </w:pPr>
          </w:p>
        </w:tc>
        <w:tc>
          <w:tcPr>
            <w:tcW w:w="2034" w:type="dxa"/>
          </w:tcPr>
          <w:p w:rsidR="00CF7A91" w:rsidRDefault="00CF7A91" w:rsidP="008E7A82">
            <w:pPr>
              <w:spacing w:before="60" w:after="60"/>
            </w:pPr>
          </w:p>
        </w:tc>
        <w:tc>
          <w:tcPr>
            <w:tcW w:w="2394" w:type="dxa"/>
          </w:tcPr>
          <w:p w:rsidR="00CF7A91" w:rsidRDefault="00CF7A91" w:rsidP="008E7A82">
            <w:pPr>
              <w:spacing w:before="60" w:after="60"/>
            </w:pPr>
          </w:p>
        </w:tc>
        <w:tc>
          <w:tcPr>
            <w:tcW w:w="245" w:type="dxa"/>
          </w:tcPr>
          <w:p w:rsidR="00CF7A91" w:rsidRDefault="00CF7A91" w:rsidP="008E7A82">
            <w:pPr>
              <w:spacing w:before="60" w:after="60"/>
              <w:jc w:val="center"/>
            </w:pPr>
          </w:p>
        </w:tc>
      </w:tr>
      <w:tr w:rsidR="00CF7A91" w:rsidTr="008E7A82">
        <w:tc>
          <w:tcPr>
            <w:tcW w:w="1638" w:type="dxa"/>
          </w:tcPr>
          <w:p w:rsidR="00CF7A91" w:rsidRDefault="00CF7A91" w:rsidP="008E7A82">
            <w:pPr>
              <w:spacing w:before="60" w:after="60"/>
            </w:pPr>
          </w:p>
        </w:tc>
        <w:tc>
          <w:tcPr>
            <w:tcW w:w="3510" w:type="dxa"/>
          </w:tcPr>
          <w:p w:rsidR="00CF7A91" w:rsidRDefault="00CF7A91" w:rsidP="008E7A82">
            <w:pPr>
              <w:spacing w:before="60" w:after="60"/>
            </w:pPr>
          </w:p>
        </w:tc>
        <w:tc>
          <w:tcPr>
            <w:tcW w:w="2034" w:type="dxa"/>
          </w:tcPr>
          <w:p w:rsidR="00CF7A91" w:rsidRDefault="00CF7A91" w:rsidP="008E7A82">
            <w:pPr>
              <w:spacing w:before="60" w:after="60"/>
            </w:pPr>
          </w:p>
        </w:tc>
        <w:tc>
          <w:tcPr>
            <w:tcW w:w="2394" w:type="dxa"/>
          </w:tcPr>
          <w:p w:rsidR="00CF7A91" w:rsidRDefault="00CF7A91" w:rsidP="008E7A82">
            <w:pPr>
              <w:spacing w:before="60" w:after="60"/>
            </w:pPr>
          </w:p>
        </w:tc>
        <w:tc>
          <w:tcPr>
            <w:tcW w:w="245" w:type="dxa"/>
          </w:tcPr>
          <w:p w:rsidR="00CF7A91" w:rsidRDefault="00CF7A91" w:rsidP="008E7A82">
            <w:pPr>
              <w:spacing w:before="60" w:after="60"/>
              <w:jc w:val="center"/>
            </w:pPr>
          </w:p>
        </w:tc>
      </w:tr>
      <w:tr w:rsidR="00CF7A91" w:rsidTr="008E7A82">
        <w:tc>
          <w:tcPr>
            <w:tcW w:w="1638" w:type="dxa"/>
          </w:tcPr>
          <w:p w:rsidR="00CF7A91" w:rsidRDefault="00CF7A91" w:rsidP="008E7A82">
            <w:pPr>
              <w:spacing w:before="60" w:after="60"/>
            </w:pPr>
          </w:p>
        </w:tc>
        <w:tc>
          <w:tcPr>
            <w:tcW w:w="3510" w:type="dxa"/>
          </w:tcPr>
          <w:p w:rsidR="00CF7A91" w:rsidRDefault="00CF7A91" w:rsidP="008E7A82">
            <w:pPr>
              <w:spacing w:before="60" w:after="60"/>
            </w:pPr>
          </w:p>
        </w:tc>
        <w:tc>
          <w:tcPr>
            <w:tcW w:w="2034" w:type="dxa"/>
          </w:tcPr>
          <w:p w:rsidR="00CF7A91" w:rsidRDefault="00CF7A91" w:rsidP="008E7A82">
            <w:pPr>
              <w:spacing w:before="60" w:after="60"/>
            </w:pPr>
          </w:p>
        </w:tc>
        <w:tc>
          <w:tcPr>
            <w:tcW w:w="2394" w:type="dxa"/>
          </w:tcPr>
          <w:p w:rsidR="00CF7A91" w:rsidRDefault="00CF7A91" w:rsidP="008E7A82">
            <w:pPr>
              <w:spacing w:before="60" w:after="60"/>
            </w:pPr>
          </w:p>
        </w:tc>
        <w:tc>
          <w:tcPr>
            <w:tcW w:w="245" w:type="dxa"/>
          </w:tcPr>
          <w:p w:rsidR="00CF7A91" w:rsidRDefault="00CF7A91" w:rsidP="008E7A82">
            <w:pPr>
              <w:spacing w:before="60" w:after="60"/>
              <w:jc w:val="center"/>
            </w:pPr>
          </w:p>
        </w:tc>
      </w:tr>
      <w:tr w:rsidR="008D3222" w:rsidTr="008E7A82">
        <w:tc>
          <w:tcPr>
            <w:tcW w:w="1638" w:type="dxa"/>
          </w:tcPr>
          <w:p w:rsidR="008D3222" w:rsidRDefault="008D3222" w:rsidP="008E7A82">
            <w:pPr>
              <w:spacing w:before="60" w:after="60"/>
            </w:pPr>
          </w:p>
        </w:tc>
        <w:tc>
          <w:tcPr>
            <w:tcW w:w="3510" w:type="dxa"/>
          </w:tcPr>
          <w:p w:rsidR="008D3222" w:rsidRDefault="008D3222" w:rsidP="008E7A82">
            <w:pPr>
              <w:spacing w:before="60" w:after="60"/>
            </w:pPr>
          </w:p>
        </w:tc>
        <w:tc>
          <w:tcPr>
            <w:tcW w:w="2034" w:type="dxa"/>
          </w:tcPr>
          <w:p w:rsidR="008D3222" w:rsidRDefault="008D3222" w:rsidP="008E7A82">
            <w:pPr>
              <w:spacing w:before="60" w:after="60"/>
            </w:pPr>
          </w:p>
        </w:tc>
        <w:tc>
          <w:tcPr>
            <w:tcW w:w="2394" w:type="dxa"/>
          </w:tcPr>
          <w:p w:rsidR="008D3222" w:rsidRDefault="008D3222" w:rsidP="008E7A82">
            <w:pPr>
              <w:spacing w:before="60" w:after="60"/>
            </w:pPr>
          </w:p>
        </w:tc>
        <w:tc>
          <w:tcPr>
            <w:tcW w:w="245" w:type="dxa"/>
          </w:tcPr>
          <w:p w:rsidR="008D3222" w:rsidRDefault="008D3222" w:rsidP="008E7A82">
            <w:pPr>
              <w:spacing w:before="60" w:after="60"/>
              <w:jc w:val="center"/>
            </w:pPr>
          </w:p>
        </w:tc>
      </w:tr>
      <w:tr w:rsidR="008D3222" w:rsidTr="008E7A82">
        <w:tc>
          <w:tcPr>
            <w:tcW w:w="1638" w:type="dxa"/>
          </w:tcPr>
          <w:p w:rsidR="008D3222" w:rsidRDefault="008D3222" w:rsidP="008E7A82">
            <w:pPr>
              <w:spacing w:before="60" w:after="60"/>
            </w:pPr>
          </w:p>
        </w:tc>
        <w:tc>
          <w:tcPr>
            <w:tcW w:w="3510" w:type="dxa"/>
          </w:tcPr>
          <w:p w:rsidR="008D3222" w:rsidRDefault="008D3222" w:rsidP="008E7A82">
            <w:pPr>
              <w:spacing w:before="60" w:after="60"/>
            </w:pPr>
          </w:p>
        </w:tc>
        <w:tc>
          <w:tcPr>
            <w:tcW w:w="2034" w:type="dxa"/>
          </w:tcPr>
          <w:p w:rsidR="008D3222" w:rsidRDefault="008D3222" w:rsidP="008E7A82">
            <w:pPr>
              <w:spacing w:before="60" w:after="60"/>
            </w:pPr>
          </w:p>
        </w:tc>
        <w:tc>
          <w:tcPr>
            <w:tcW w:w="2394" w:type="dxa"/>
          </w:tcPr>
          <w:p w:rsidR="008D3222" w:rsidRDefault="008D3222" w:rsidP="008E7A82">
            <w:pPr>
              <w:spacing w:before="60" w:after="60"/>
            </w:pPr>
          </w:p>
        </w:tc>
        <w:tc>
          <w:tcPr>
            <w:tcW w:w="245" w:type="dxa"/>
          </w:tcPr>
          <w:p w:rsidR="008D3222" w:rsidRDefault="008D3222" w:rsidP="008E7A82">
            <w:pPr>
              <w:spacing w:before="60" w:after="60"/>
              <w:jc w:val="center"/>
            </w:pPr>
          </w:p>
        </w:tc>
      </w:tr>
      <w:tr w:rsidR="008D3222" w:rsidTr="008E7A82">
        <w:tc>
          <w:tcPr>
            <w:tcW w:w="1638" w:type="dxa"/>
          </w:tcPr>
          <w:p w:rsidR="008D3222" w:rsidRDefault="008D3222" w:rsidP="008E7A82">
            <w:pPr>
              <w:spacing w:before="60" w:after="60"/>
            </w:pPr>
          </w:p>
        </w:tc>
        <w:tc>
          <w:tcPr>
            <w:tcW w:w="3510" w:type="dxa"/>
          </w:tcPr>
          <w:p w:rsidR="008D3222" w:rsidRDefault="008D3222" w:rsidP="008E7A82">
            <w:pPr>
              <w:spacing w:before="60" w:after="60"/>
            </w:pPr>
          </w:p>
        </w:tc>
        <w:tc>
          <w:tcPr>
            <w:tcW w:w="2034" w:type="dxa"/>
          </w:tcPr>
          <w:p w:rsidR="008D3222" w:rsidRDefault="008D3222" w:rsidP="008E7A82">
            <w:pPr>
              <w:spacing w:before="60" w:after="60"/>
            </w:pPr>
          </w:p>
        </w:tc>
        <w:tc>
          <w:tcPr>
            <w:tcW w:w="2394" w:type="dxa"/>
          </w:tcPr>
          <w:p w:rsidR="008D3222" w:rsidRDefault="008D3222" w:rsidP="008E7A82">
            <w:pPr>
              <w:spacing w:before="60" w:after="60"/>
            </w:pPr>
          </w:p>
        </w:tc>
        <w:tc>
          <w:tcPr>
            <w:tcW w:w="245" w:type="dxa"/>
          </w:tcPr>
          <w:p w:rsidR="008D3222" w:rsidRDefault="008D3222" w:rsidP="008E7A82">
            <w:pPr>
              <w:spacing w:before="60" w:after="60"/>
              <w:jc w:val="center"/>
            </w:pPr>
          </w:p>
        </w:tc>
      </w:tr>
      <w:tr w:rsidR="008D3222" w:rsidTr="008E7A82">
        <w:tc>
          <w:tcPr>
            <w:tcW w:w="1638" w:type="dxa"/>
          </w:tcPr>
          <w:p w:rsidR="008D3222" w:rsidRDefault="008D3222" w:rsidP="008E7A82">
            <w:pPr>
              <w:spacing w:before="60" w:after="60"/>
            </w:pPr>
          </w:p>
        </w:tc>
        <w:tc>
          <w:tcPr>
            <w:tcW w:w="3510" w:type="dxa"/>
          </w:tcPr>
          <w:p w:rsidR="008D3222" w:rsidRDefault="008D3222" w:rsidP="008E7A82">
            <w:pPr>
              <w:spacing w:before="60" w:after="60"/>
            </w:pPr>
          </w:p>
        </w:tc>
        <w:tc>
          <w:tcPr>
            <w:tcW w:w="2034" w:type="dxa"/>
          </w:tcPr>
          <w:p w:rsidR="008D3222" w:rsidRDefault="008D3222" w:rsidP="008E7A82">
            <w:pPr>
              <w:spacing w:before="60" w:after="60"/>
            </w:pPr>
          </w:p>
        </w:tc>
        <w:tc>
          <w:tcPr>
            <w:tcW w:w="2394" w:type="dxa"/>
          </w:tcPr>
          <w:p w:rsidR="008D3222" w:rsidRDefault="008D3222" w:rsidP="008E7A82">
            <w:pPr>
              <w:spacing w:before="60" w:after="60"/>
            </w:pPr>
          </w:p>
        </w:tc>
        <w:tc>
          <w:tcPr>
            <w:tcW w:w="245" w:type="dxa"/>
          </w:tcPr>
          <w:p w:rsidR="008D3222" w:rsidRDefault="008D3222" w:rsidP="008E7A82">
            <w:pPr>
              <w:spacing w:before="60" w:after="60"/>
              <w:jc w:val="center"/>
            </w:pPr>
          </w:p>
        </w:tc>
      </w:tr>
      <w:tr w:rsidR="008D3222" w:rsidTr="008E7A82">
        <w:tc>
          <w:tcPr>
            <w:tcW w:w="1638" w:type="dxa"/>
          </w:tcPr>
          <w:p w:rsidR="008D3222" w:rsidRDefault="008D3222" w:rsidP="008E7A82">
            <w:pPr>
              <w:spacing w:before="60" w:after="60"/>
            </w:pPr>
          </w:p>
        </w:tc>
        <w:tc>
          <w:tcPr>
            <w:tcW w:w="3510" w:type="dxa"/>
          </w:tcPr>
          <w:p w:rsidR="008D3222" w:rsidRDefault="008D3222" w:rsidP="008E7A82">
            <w:pPr>
              <w:spacing w:before="60" w:after="60"/>
            </w:pPr>
          </w:p>
        </w:tc>
        <w:tc>
          <w:tcPr>
            <w:tcW w:w="2034" w:type="dxa"/>
          </w:tcPr>
          <w:p w:rsidR="008D3222" w:rsidRDefault="008D3222" w:rsidP="008E7A82">
            <w:pPr>
              <w:spacing w:before="60" w:after="60"/>
            </w:pPr>
          </w:p>
        </w:tc>
        <w:tc>
          <w:tcPr>
            <w:tcW w:w="2394" w:type="dxa"/>
          </w:tcPr>
          <w:p w:rsidR="008D3222" w:rsidRDefault="008D3222" w:rsidP="008E7A82">
            <w:pPr>
              <w:spacing w:before="60" w:after="60"/>
            </w:pPr>
          </w:p>
        </w:tc>
        <w:tc>
          <w:tcPr>
            <w:tcW w:w="245" w:type="dxa"/>
          </w:tcPr>
          <w:p w:rsidR="008D3222" w:rsidRDefault="008D3222" w:rsidP="008E7A82">
            <w:pPr>
              <w:spacing w:before="60" w:after="60"/>
              <w:jc w:val="center"/>
            </w:pPr>
          </w:p>
        </w:tc>
      </w:tr>
      <w:tr w:rsidR="008D3222" w:rsidTr="008E7A82">
        <w:tc>
          <w:tcPr>
            <w:tcW w:w="1638" w:type="dxa"/>
          </w:tcPr>
          <w:p w:rsidR="008D3222" w:rsidRDefault="008D3222" w:rsidP="008E7A82">
            <w:pPr>
              <w:spacing w:before="60" w:after="60"/>
            </w:pPr>
          </w:p>
        </w:tc>
        <w:tc>
          <w:tcPr>
            <w:tcW w:w="3510" w:type="dxa"/>
          </w:tcPr>
          <w:p w:rsidR="008D3222" w:rsidRDefault="008D3222" w:rsidP="008E7A82">
            <w:pPr>
              <w:spacing w:before="60" w:after="60"/>
            </w:pPr>
          </w:p>
        </w:tc>
        <w:tc>
          <w:tcPr>
            <w:tcW w:w="2034" w:type="dxa"/>
          </w:tcPr>
          <w:p w:rsidR="008D3222" w:rsidRDefault="008D3222" w:rsidP="008E7A82">
            <w:pPr>
              <w:spacing w:before="60" w:after="60"/>
            </w:pPr>
          </w:p>
        </w:tc>
        <w:tc>
          <w:tcPr>
            <w:tcW w:w="2394" w:type="dxa"/>
          </w:tcPr>
          <w:p w:rsidR="008D3222" w:rsidRDefault="008D3222" w:rsidP="008E7A82">
            <w:pPr>
              <w:spacing w:before="60" w:after="60"/>
            </w:pPr>
          </w:p>
        </w:tc>
        <w:tc>
          <w:tcPr>
            <w:tcW w:w="245" w:type="dxa"/>
          </w:tcPr>
          <w:p w:rsidR="008D3222" w:rsidRDefault="008D3222" w:rsidP="008E7A82">
            <w:pPr>
              <w:spacing w:before="60" w:after="60"/>
              <w:jc w:val="center"/>
            </w:pPr>
          </w:p>
        </w:tc>
      </w:tr>
      <w:tr w:rsidR="008D3222" w:rsidTr="008E7A82">
        <w:tc>
          <w:tcPr>
            <w:tcW w:w="1638" w:type="dxa"/>
          </w:tcPr>
          <w:p w:rsidR="008D3222" w:rsidRDefault="008D3222" w:rsidP="008E7A82">
            <w:pPr>
              <w:spacing w:before="60" w:after="60"/>
            </w:pPr>
          </w:p>
        </w:tc>
        <w:tc>
          <w:tcPr>
            <w:tcW w:w="3510" w:type="dxa"/>
          </w:tcPr>
          <w:p w:rsidR="008D3222" w:rsidRDefault="008D3222" w:rsidP="008E7A82">
            <w:pPr>
              <w:spacing w:before="60" w:after="60"/>
            </w:pPr>
          </w:p>
        </w:tc>
        <w:tc>
          <w:tcPr>
            <w:tcW w:w="2034" w:type="dxa"/>
          </w:tcPr>
          <w:p w:rsidR="008D3222" w:rsidRDefault="008D3222" w:rsidP="008E7A82">
            <w:pPr>
              <w:spacing w:before="60" w:after="60"/>
            </w:pPr>
          </w:p>
        </w:tc>
        <w:tc>
          <w:tcPr>
            <w:tcW w:w="2394" w:type="dxa"/>
          </w:tcPr>
          <w:p w:rsidR="008D3222" w:rsidRDefault="008D3222" w:rsidP="008E7A82">
            <w:pPr>
              <w:spacing w:before="60" w:after="60"/>
            </w:pPr>
          </w:p>
        </w:tc>
        <w:tc>
          <w:tcPr>
            <w:tcW w:w="245" w:type="dxa"/>
          </w:tcPr>
          <w:p w:rsidR="008D3222" w:rsidRDefault="008D3222" w:rsidP="008E7A82">
            <w:pPr>
              <w:spacing w:before="60" w:after="60"/>
              <w:jc w:val="center"/>
            </w:pPr>
          </w:p>
        </w:tc>
      </w:tr>
      <w:tr w:rsidR="008D3222" w:rsidTr="008E7A82">
        <w:tc>
          <w:tcPr>
            <w:tcW w:w="1638" w:type="dxa"/>
          </w:tcPr>
          <w:p w:rsidR="008D3222" w:rsidRDefault="008D3222" w:rsidP="008E7A82">
            <w:pPr>
              <w:spacing w:before="60" w:after="60"/>
            </w:pPr>
          </w:p>
        </w:tc>
        <w:tc>
          <w:tcPr>
            <w:tcW w:w="3510" w:type="dxa"/>
          </w:tcPr>
          <w:p w:rsidR="008D3222" w:rsidRDefault="008D3222" w:rsidP="008E7A82">
            <w:pPr>
              <w:spacing w:before="60" w:after="60"/>
            </w:pPr>
          </w:p>
        </w:tc>
        <w:tc>
          <w:tcPr>
            <w:tcW w:w="2034" w:type="dxa"/>
          </w:tcPr>
          <w:p w:rsidR="008D3222" w:rsidRDefault="008D3222" w:rsidP="008E7A82">
            <w:pPr>
              <w:spacing w:before="60" w:after="60"/>
            </w:pPr>
          </w:p>
        </w:tc>
        <w:tc>
          <w:tcPr>
            <w:tcW w:w="2394" w:type="dxa"/>
          </w:tcPr>
          <w:p w:rsidR="008D3222" w:rsidRDefault="008D3222" w:rsidP="008E7A82">
            <w:pPr>
              <w:spacing w:before="60" w:after="60"/>
            </w:pPr>
          </w:p>
        </w:tc>
        <w:tc>
          <w:tcPr>
            <w:tcW w:w="245" w:type="dxa"/>
          </w:tcPr>
          <w:p w:rsidR="008D3222" w:rsidRDefault="008D3222" w:rsidP="008E7A82">
            <w:pPr>
              <w:spacing w:before="60" w:after="60"/>
              <w:jc w:val="center"/>
            </w:pPr>
          </w:p>
        </w:tc>
      </w:tr>
      <w:tr w:rsidR="00CF7A91" w:rsidTr="008E7A82">
        <w:tc>
          <w:tcPr>
            <w:tcW w:w="1638" w:type="dxa"/>
          </w:tcPr>
          <w:p w:rsidR="00CF7A91" w:rsidRDefault="00CF7A91" w:rsidP="008E7A82">
            <w:pPr>
              <w:spacing w:before="60" w:after="60"/>
            </w:pPr>
          </w:p>
        </w:tc>
        <w:tc>
          <w:tcPr>
            <w:tcW w:w="3510" w:type="dxa"/>
          </w:tcPr>
          <w:p w:rsidR="00CF7A91" w:rsidRDefault="00CF7A91" w:rsidP="008E7A82">
            <w:pPr>
              <w:spacing w:before="60" w:after="60"/>
            </w:pPr>
          </w:p>
        </w:tc>
        <w:tc>
          <w:tcPr>
            <w:tcW w:w="2034" w:type="dxa"/>
          </w:tcPr>
          <w:p w:rsidR="00CF7A91" w:rsidRDefault="00CF7A91" w:rsidP="008E7A82">
            <w:pPr>
              <w:spacing w:before="60" w:after="60"/>
            </w:pPr>
          </w:p>
        </w:tc>
        <w:tc>
          <w:tcPr>
            <w:tcW w:w="2394" w:type="dxa"/>
          </w:tcPr>
          <w:p w:rsidR="00CF7A91" w:rsidRDefault="00CF7A91" w:rsidP="008E7A82">
            <w:pPr>
              <w:spacing w:before="60" w:after="60"/>
            </w:pPr>
          </w:p>
        </w:tc>
        <w:tc>
          <w:tcPr>
            <w:tcW w:w="245" w:type="dxa"/>
          </w:tcPr>
          <w:p w:rsidR="00CF7A91" w:rsidRDefault="00CF7A91" w:rsidP="008E7A82">
            <w:pPr>
              <w:spacing w:before="60" w:after="60"/>
              <w:jc w:val="center"/>
            </w:pPr>
          </w:p>
        </w:tc>
      </w:tr>
      <w:tr w:rsidR="00CF7A91" w:rsidTr="008E7A82">
        <w:tc>
          <w:tcPr>
            <w:tcW w:w="1638" w:type="dxa"/>
          </w:tcPr>
          <w:p w:rsidR="00CF7A91" w:rsidRDefault="00CF7A91" w:rsidP="008E7A82">
            <w:pPr>
              <w:spacing w:before="60" w:after="60"/>
            </w:pPr>
          </w:p>
        </w:tc>
        <w:tc>
          <w:tcPr>
            <w:tcW w:w="3510" w:type="dxa"/>
          </w:tcPr>
          <w:p w:rsidR="00CF7A91" w:rsidRDefault="00CF7A91" w:rsidP="008E7A82">
            <w:pPr>
              <w:spacing w:before="60" w:after="60"/>
            </w:pPr>
          </w:p>
        </w:tc>
        <w:tc>
          <w:tcPr>
            <w:tcW w:w="2034" w:type="dxa"/>
          </w:tcPr>
          <w:p w:rsidR="00CF7A91" w:rsidRDefault="00CF7A91" w:rsidP="008E7A82">
            <w:pPr>
              <w:spacing w:before="60" w:after="60"/>
            </w:pPr>
          </w:p>
        </w:tc>
        <w:tc>
          <w:tcPr>
            <w:tcW w:w="2394" w:type="dxa"/>
          </w:tcPr>
          <w:p w:rsidR="00CF7A91" w:rsidRDefault="00CF7A91" w:rsidP="008E7A82">
            <w:pPr>
              <w:spacing w:before="60" w:after="60"/>
            </w:pPr>
          </w:p>
        </w:tc>
        <w:tc>
          <w:tcPr>
            <w:tcW w:w="245" w:type="dxa"/>
          </w:tcPr>
          <w:p w:rsidR="00CF7A91" w:rsidRDefault="00CF7A91" w:rsidP="008E7A82">
            <w:pPr>
              <w:spacing w:before="60" w:after="60"/>
              <w:jc w:val="center"/>
            </w:pPr>
          </w:p>
        </w:tc>
      </w:tr>
      <w:tr w:rsidR="00CF7A91" w:rsidTr="008E7A82">
        <w:tc>
          <w:tcPr>
            <w:tcW w:w="1638" w:type="dxa"/>
          </w:tcPr>
          <w:p w:rsidR="00CF7A91" w:rsidRDefault="00CF7A91" w:rsidP="008E7A82">
            <w:pPr>
              <w:spacing w:before="60" w:after="60"/>
            </w:pPr>
          </w:p>
        </w:tc>
        <w:tc>
          <w:tcPr>
            <w:tcW w:w="3510" w:type="dxa"/>
          </w:tcPr>
          <w:p w:rsidR="00CF7A91" w:rsidRDefault="00CF7A91" w:rsidP="008E7A82">
            <w:pPr>
              <w:spacing w:before="60" w:after="60"/>
            </w:pPr>
          </w:p>
        </w:tc>
        <w:tc>
          <w:tcPr>
            <w:tcW w:w="2034" w:type="dxa"/>
          </w:tcPr>
          <w:p w:rsidR="00CF7A91" w:rsidRDefault="00CF7A91" w:rsidP="008E7A82">
            <w:pPr>
              <w:spacing w:before="60" w:after="60"/>
            </w:pPr>
          </w:p>
        </w:tc>
        <w:tc>
          <w:tcPr>
            <w:tcW w:w="2394" w:type="dxa"/>
          </w:tcPr>
          <w:p w:rsidR="00CF7A91" w:rsidRDefault="00CF7A91" w:rsidP="008E7A82">
            <w:pPr>
              <w:spacing w:before="60" w:after="60"/>
            </w:pPr>
          </w:p>
        </w:tc>
        <w:tc>
          <w:tcPr>
            <w:tcW w:w="245" w:type="dxa"/>
          </w:tcPr>
          <w:p w:rsidR="00CF7A91" w:rsidRDefault="00CF7A91" w:rsidP="008E7A82">
            <w:pPr>
              <w:spacing w:before="60" w:after="60"/>
              <w:jc w:val="center"/>
            </w:pPr>
          </w:p>
        </w:tc>
      </w:tr>
      <w:tr w:rsidR="00CF7A91" w:rsidTr="008E7A82">
        <w:tc>
          <w:tcPr>
            <w:tcW w:w="1638" w:type="dxa"/>
          </w:tcPr>
          <w:p w:rsidR="00CF7A91" w:rsidRDefault="00CF7A91" w:rsidP="008E7A82">
            <w:pPr>
              <w:spacing w:before="60" w:after="60"/>
            </w:pPr>
          </w:p>
        </w:tc>
        <w:tc>
          <w:tcPr>
            <w:tcW w:w="3510" w:type="dxa"/>
          </w:tcPr>
          <w:p w:rsidR="00CF7A91" w:rsidRDefault="00CF7A91" w:rsidP="008E7A82">
            <w:pPr>
              <w:spacing w:before="60" w:after="60"/>
            </w:pPr>
          </w:p>
        </w:tc>
        <w:tc>
          <w:tcPr>
            <w:tcW w:w="2034" w:type="dxa"/>
          </w:tcPr>
          <w:p w:rsidR="00CF7A91" w:rsidRDefault="00CF7A91" w:rsidP="008E7A82">
            <w:pPr>
              <w:spacing w:before="60" w:after="60"/>
            </w:pPr>
          </w:p>
        </w:tc>
        <w:tc>
          <w:tcPr>
            <w:tcW w:w="2394" w:type="dxa"/>
          </w:tcPr>
          <w:p w:rsidR="00CF7A91" w:rsidRDefault="00CF7A91" w:rsidP="008E7A82">
            <w:pPr>
              <w:spacing w:before="60" w:after="60"/>
            </w:pPr>
          </w:p>
        </w:tc>
        <w:tc>
          <w:tcPr>
            <w:tcW w:w="245" w:type="dxa"/>
          </w:tcPr>
          <w:p w:rsidR="00CF7A91" w:rsidRDefault="00CF7A91" w:rsidP="008E7A82">
            <w:pPr>
              <w:spacing w:before="60" w:after="60"/>
              <w:jc w:val="center"/>
            </w:pPr>
          </w:p>
        </w:tc>
      </w:tr>
      <w:tr w:rsidR="00CF7A91" w:rsidTr="008E7A82">
        <w:tc>
          <w:tcPr>
            <w:tcW w:w="1638" w:type="dxa"/>
          </w:tcPr>
          <w:p w:rsidR="00CF7A91" w:rsidRDefault="00CF7A91" w:rsidP="008E7A82">
            <w:pPr>
              <w:spacing w:before="60" w:after="60"/>
            </w:pPr>
          </w:p>
        </w:tc>
        <w:tc>
          <w:tcPr>
            <w:tcW w:w="3510" w:type="dxa"/>
          </w:tcPr>
          <w:p w:rsidR="00CF7A91" w:rsidRDefault="00CF7A91" w:rsidP="008E7A82">
            <w:pPr>
              <w:spacing w:before="60" w:after="60"/>
            </w:pPr>
          </w:p>
        </w:tc>
        <w:tc>
          <w:tcPr>
            <w:tcW w:w="2034" w:type="dxa"/>
          </w:tcPr>
          <w:p w:rsidR="00CF7A91" w:rsidRDefault="00CF7A91" w:rsidP="008E7A82">
            <w:pPr>
              <w:spacing w:before="60" w:after="60"/>
            </w:pPr>
          </w:p>
        </w:tc>
        <w:tc>
          <w:tcPr>
            <w:tcW w:w="2394" w:type="dxa"/>
          </w:tcPr>
          <w:p w:rsidR="00CF7A91" w:rsidRDefault="00CF7A91" w:rsidP="008E7A82">
            <w:pPr>
              <w:spacing w:before="60" w:after="60"/>
            </w:pPr>
          </w:p>
        </w:tc>
        <w:tc>
          <w:tcPr>
            <w:tcW w:w="245" w:type="dxa"/>
          </w:tcPr>
          <w:p w:rsidR="00CF7A91" w:rsidRDefault="00CF7A91" w:rsidP="008E7A82">
            <w:pPr>
              <w:spacing w:before="60" w:after="60"/>
              <w:jc w:val="center"/>
            </w:pPr>
          </w:p>
        </w:tc>
      </w:tr>
      <w:tr w:rsidR="00CF7A91" w:rsidTr="008E7A82">
        <w:tc>
          <w:tcPr>
            <w:tcW w:w="1638" w:type="dxa"/>
          </w:tcPr>
          <w:p w:rsidR="00CF7A91" w:rsidRDefault="00CF7A91" w:rsidP="008E7A82">
            <w:pPr>
              <w:spacing w:before="60" w:after="60"/>
            </w:pPr>
          </w:p>
        </w:tc>
        <w:tc>
          <w:tcPr>
            <w:tcW w:w="3510" w:type="dxa"/>
          </w:tcPr>
          <w:p w:rsidR="00CF7A91" w:rsidRDefault="00CF7A91" w:rsidP="008E7A82">
            <w:pPr>
              <w:spacing w:before="60" w:after="60"/>
            </w:pPr>
          </w:p>
        </w:tc>
        <w:tc>
          <w:tcPr>
            <w:tcW w:w="2034" w:type="dxa"/>
          </w:tcPr>
          <w:p w:rsidR="00CF7A91" w:rsidRDefault="00CF7A91" w:rsidP="008E7A82">
            <w:pPr>
              <w:spacing w:before="60" w:after="60"/>
            </w:pPr>
          </w:p>
        </w:tc>
        <w:tc>
          <w:tcPr>
            <w:tcW w:w="2394" w:type="dxa"/>
          </w:tcPr>
          <w:p w:rsidR="00CF7A91" w:rsidRDefault="00CF7A91" w:rsidP="008E7A82">
            <w:pPr>
              <w:spacing w:before="60" w:after="60"/>
            </w:pPr>
          </w:p>
        </w:tc>
        <w:tc>
          <w:tcPr>
            <w:tcW w:w="245" w:type="dxa"/>
          </w:tcPr>
          <w:p w:rsidR="00CF7A91" w:rsidRDefault="00CF7A91" w:rsidP="008E7A82">
            <w:pPr>
              <w:spacing w:before="60" w:after="60"/>
              <w:jc w:val="center"/>
            </w:pPr>
          </w:p>
        </w:tc>
      </w:tr>
      <w:tr w:rsidR="00CF7A91" w:rsidTr="008E7A82">
        <w:tc>
          <w:tcPr>
            <w:tcW w:w="5148" w:type="dxa"/>
            <w:gridSpan w:val="2"/>
          </w:tcPr>
          <w:p w:rsidR="00CF7A91" w:rsidRDefault="00CF7A91" w:rsidP="008E7A82">
            <w:r>
              <w:t>Date Removed from Service</w:t>
            </w:r>
          </w:p>
        </w:tc>
        <w:tc>
          <w:tcPr>
            <w:tcW w:w="2034" w:type="dxa"/>
          </w:tcPr>
          <w:p w:rsidR="00CF7A91" w:rsidRDefault="00CF7A91" w:rsidP="008E7A82">
            <w:pPr>
              <w:jc w:val="center"/>
            </w:pPr>
          </w:p>
        </w:tc>
        <w:tc>
          <w:tcPr>
            <w:tcW w:w="2394" w:type="dxa"/>
          </w:tcPr>
          <w:p w:rsidR="00CF7A91" w:rsidRDefault="00CF7A91" w:rsidP="008E7A82">
            <w:pPr>
              <w:jc w:val="center"/>
            </w:pPr>
          </w:p>
        </w:tc>
        <w:tc>
          <w:tcPr>
            <w:tcW w:w="245" w:type="dxa"/>
          </w:tcPr>
          <w:p w:rsidR="00CF7A91" w:rsidRDefault="00CF7A91" w:rsidP="008E7A82">
            <w:pPr>
              <w:jc w:val="center"/>
            </w:pPr>
          </w:p>
        </w:tc>
      </w:tr>
    </w:tbl>
    <w:p w:rsidR="007A229A" w:rsidRDefault="007A229A"/>
    <w:sectPr w:rsidR="007A229A" w:rsidSect="00F970D0">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4B0" w:rsidRDefault="008074B0" w:rsidP="00E51E97">
      <w:r>
        <w:separator/>
      </w:r>
    </w:p>
  </w:endnote>
  <w:endnote w:type="continuationSeparator" w:id="0">
    <w:p w:rsidR="008074B0" w:rsidRDefault="008074B0" w:rsidP="00E51E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Arial-Bold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4B0" w:rsidRDefault="008074B0">
    <w:pPr>
      <w:pStyle w:val="Footer"/>
      <w:jc w:val="center"/>
      <w:rPr>
        <w:rStyle w:val="PageNumber"/>
        <w:sz w:val="20"/>
      </w:rPr>
    </w:pPr>
    <w:r>
      <w:rPr>
        <w:rStyle w:val="PageNumber"/>
        <w:sz w:val="20"/>
      </w:rPr>
      <w:t xml:space="preserve">Page </w:t>
    </w:r>
    <w:r w:rsidR="0074681B">
      <w:rPr>
        <w:rStyle w:val="PageNumber"/>
        <w:sz w:val="20"/>
      </w:rPr>
      <w:fldChar w:fldCharType="begin"/>
    </w:r>
    <w:r>
      <w:rPr>
        <w:rStyle w:val="PageNumber"/>
        <w:sz w:val="20"/>
      </w:rPr>
      <w:instrText xml:space="preserve"> PAGE </w:instrText>
    </w:r>
    <w:r w:rsidR="0074681B">
      <w:rPr>
        <w:rStyle w:val="PageNumber"/>
        <w:sz w:val="20"/>
      </w:rPr>
      <w:fldChar w:fldCharType="separate"/>
    </w:r>
    <w:r w:rsidR="00B34195">
      <w:rPr>
        <w:rStyle w:val="PageNumber"/>
        <w:noProof/>
        <w:sz w:val="20"/>
      </w:rPr>
      <w:t>1</w:t>
    </w:r>
    <w:r w:rsidR="0074681B">
      <w:rPr>
        <w:rStyle w:val="PageNumber"/>
        <w:sz w:val="20"/>
      </w:rPr>
      <w:fldChar w:fldCharType="end"/>
    </w:r>
    <w:r>
      <w:rPr>
        <w:rStyle w:val="PageNumber"/>
        <w:sz w:val="20"/>
      </w:rPr>
      <w:t xml:space="preserve"> of </w:t>
    </w:r>
    <w:r w:rsidR="0074681B">
      <w:rPr>
        <w:rStyle w:val="PageNumber"/>
        <w:sz w:val="20"/>
      </w:rPr>
      <w:fldChar w:fldCharType="begin"/>
    </w:r>
    <w:r>
      <w:rPr>
        <w:rStyle w:val="PageNumber"/>
        <w:sz w:val="20"/>
      </w:rPr>
      <w:instrText xml:space="preserve"> NUMPAGES </w:instrText>
    </w:r>
    <w:r w:rsidR="0074681B">
      <w:rPr>
        <w:rStyle w:val="PageNumber"/>
        <w:sz w:val="20"/>
      </w:rPr>
      <w:fldChar w:fldCharType="separate"/>
    </w:r>
    <w:r w:rsidR="00B34195">
      <w:rPr>
        <w:rStyle w:val="PageNumber"/>
        <w:noProof/>
        <w:sz w:val="20"/>
      </w:rPr>
      <w:t>18</w:t>
    </w:r>
    <w:r w:rsidR="0074681B">
      <w:rPr>
        <w:rStyle w:val="PageNumber"/>
        <w:sz w:val="20"/>
      </w:rPr>
      <w:fldChar w:fldCharType="end"/>
    </w:r>
  </w:p>
  <w:p w:rsidR="008074B0" w:rsidRDefault="008074B0">
    <w:pPr>
      <w:pStyle w:val="Footer"/>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4B0" w:rsidRDefault="008074B0" w:rsidP="00E51E97">
      <w:r>
        <w:separator/>
      </w:r>
    </w:p>
  </w:footnote>
  <w:footnote w:type="continuationSeparator" w:id="0">
    <w:p w:rsidR="008074B0" w:rsidRDefault="008074B0" w:rsidP="00E51E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4FD4"/>
    <w:multiLevelType w:val="hybridMultilevel"/>
    <w:tmpl w:val="9606F29A"/>
    <w:lvl w:ilvl="0" w:tplc="E83E4A74">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6C3F77"/>
    <w:multiLevelType w:val="hybridMultilevel"/>
    <w:tmpl w:val="12BE4388"/>
    <w:lvl w:ilvl="0" w:tplc="E83E4A74">
      <w:start w:val="1"/>
      <w:numFmt w:val="bullet"/>
      <w:lvlText w:val=""/>
      <w:lvlJc w:val="center"/>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3C206C"/>
    <w:multiLevelType w:val="multilevel"/>
    <w:tmpl w:val="8A9CE7F6"/>
    <w:lvl w:ilvl="0">
      <w:start w:val="1"/>
      <w:numFmt w:val="upperRoman"/>
      <w:pStyle w:val="Heading1"/>
      <w:lvlText w:val="%1."/>
      <w:lvlJc w:val="left"/>
      <w:pPr>
        <w:tabs>
          <w:tab w:val="num" w:pos="990"/>
        </w:tabs>
        <w:ind w:left="630" w:firstLine="0"/>
      </w:pPr>
      <w:rPr>
        <w:rFonts w:ascii="Times New Roman" w:hAnsi="Times New Roman" w:cs="Times New Roman"/>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3">
    <w:nsid w:val="08DF0A53"/>
    <w:multiLevelType w:val="hybridMultilevel"/>
    <w:tmpl w:val="A30CA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E142C9"/>
    <w:multiLevelType w:val="singleLevel"/>
    <w:tmpl w:val="3FD8CF18"/>
    <w:lvl w:ilvl="0">
      <w:start w:val="1"/>
      <w:numFmt w:val="decimal"/>
      <w:pStyle w:val="NUMBERINDENT1"/>
      <w:lvlText w:val="%1."/>
      <w:lvlJc w:val="left"/>
      <w:pPr>
        <w:tabs>
          <w:tab w:val="num" w:pos="1080"/>
        </w:tabs>
        <w:ind w:left="1080" w:hanging="360"/>
      </w:pPr>
    </w:lvl>
  </w:abstractNum>
  <w:abstractNum w:abstractNumId="5">
    <w:nsid w:val="09E72014"/>
    <w:multiLevelType w:val="hybridMultilevel"/>
    <w:tmpl w:val="AAE46F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B9B6A2A"/>
    <w:multiLevelType w:val="hybridMultilevel"/>
    <w:tmpl w:val="D9BECF96"/>
    <w:lvl w:ilvl="0" w:tplc="E83E4A74">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DFF2836"/>
    <w:multiLevelType w:val="hybridMultilevel"/>
    <w:tmpl w:val="D71603FE"/>
    <w:lvl w:ilvl="0" w:tplc="E83E4A74">
      <w:start w:val="1"/>
      <w:numFmt w:val="bullet"/>
      <w:lvlText w:val=""/>
      <w:lvlJc w:val="center"/>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D9935BF"/>
    <w:multiLevelType w:val="hybridMultilevel"/>
    <w:tmpl w:val="26DC1DC8"/>
    <w:lvl w:ilvl="0" w:tplc="CC6CF01E">
      <w:start w:val="1"/>
      <w:numFmt w:val="upperLetter"/>
      <w:lvlText w:val="%1."/>
      <w:lvlJc w:val="left"/>
      <w:pPr>
        <w:ind w:left="1800" w:hanging="360"/>
      </w:pPr>
      <w:rPr>
        <w:b/>
      </w:rPr>
    </w:lvl>
    <w:lvl w:ilvl="1" w:tplc="EECED5A2">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DAA300B"/>
    <w:multiLevelType w:val="hybridMultilevel"/>
    <w:tmpl w:val="960E2CEA"/>
    <w:lvl w:ilvl="0" w:tplc="E83E4A74">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7ED7654"/>
    <w:multiLevelType w:val="hybridMultilevel"/>
    <w:tmpl w:val="0E10DAFC"/>
    <w:lvl w:ilvl="0" w:tplc="E83E4A74">
      <w:start w:val="1"/>
      <w:numFmt w:val="bullet"/>
      <w:lvlText w:val=""/>
      <w:lvlJc w:val="center"/>
      <w:pPr>
        <w:ind w:left="1440" w:hanging="360"/>
      </w:pPr>
      <w:rPr>
        <w:rFonts w:ascii="Symbol" w:hAnsi="Symbol" w:hint="default"/>
      </w:rPr>
    </w:lvl>
    <w:lvl w:ilvl="1" w:tplc="ABB4A89C">
      <w:numFmt w:val="bullet"/>
      <w:lvlText w:val="•"/>
      <w:lvlJc w:val="left"/>
      <w:pPr>
        <w:ind w:left="2160" w:hanging="360"/>
      </w:pPr>
      <w:rPr>
        <w:rFonts w:ascii="Times New Roman" w:eastAsia="Calibr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BF93DC5"/>
    <w:multiLevelType w:val="hybridMultilevel"/>
    <w:tmpl w:val="CFDEFB68"/>
    <w:lvl w:ilvl="0" w:tplc="E83E4A74">
      <w:start w:val="1"/>
      <w:numFmt w:val="bullet"/>
      <w:lvlText w:val=""/>
      <w:lvlJc w:val="center"/>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A470894"/>
    <w:multiLevelType w:val="hybridMultilevel"/>
    <w:tmpl w:val="68E6C7FC"/>
    <w:lvl w:ilvl="0" w:tplc="E83E4A74">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B487248"/>
    <w:multiLevelType w:val="hybridMultilevel"/>
    <w:tmpl w:val="455EB25C"/>
    <w:lvl w:ilvl="0" w:tplc="E83E4A74">
      <w:start w:val="1"/>
      <w:numFmt w:val="bullet"/>
      <w:lvlText w:val=""/>
      <w:lvlJc w:val="center"/>
      <w:pPr>
        <w:ind w:left="1440" w:hanging="360"/>
      </w:pPr>
      <w:rPr>
        <w:rFonts w:ascii="Symbol" w:hAnsi="Symbol" w:hint="default"/>
      </w:rPr>
    </w:lvl>
    <w:lvl w:ilvl="1" w:tplc="E83E4A74">
      <w:start w:val="1"/>
      <w:numFmt w:val="bullet"/>
      <w:lvlText w:val=""/>
      <w:lvlJc w:val="center"/>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5010904"/>
    <w:multiLevelType w:val="hybridMultilevel"/>
    <w:tmpl w:val="151E7360"/>
    <w:lvl w:ilvl="0" w:tplc="5C4AD8C4">
      <w:start w:val="6"/>
      <w:numFmt w:val="upp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5264FF"/>
    <w:multiLevelType w:val="hybridMultilevel"/>
    <w:tmpl w:val="AF48E196"/>
    <w:lvl w:ilvl="0" w:tplc="E83E4A74">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8AB7B59"/>
    <w:multiLevelType w:val="hybridMultilevel"/>
    <w:tmpl w:val="9B42DD76"/>
    <w:lvl w:ilvl="0" w:tplc="E83E4A74">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CC966BD"/>
    <w:multiLevelType w:val="hybridMultilevel"/>
    <w:tmpl w:val="6E58AF50"/>
    <w:lvl w:ilvl="0" w:tplc="E83E4A74">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07E0693"/>
    <w:multiLevelType w:val="singleLevel"/>
    <w:tmpl w:val="B1FEEB82"/>
    <w:lvl w:ilvl="0">
      <w:start w:val="1"/>
      <w:numFmt w:val="decimal"/>
      <w:pStyle w:val="References"/>
      <w:lvlText w:val="%1."/>
      <w:lvlJc w:val="left"/>
      <w:pPr>
        <w:tabs>
          <w:tab w:val="num" w:pos="360"/>
        </w:tabs>
        <w:ind w:left="360" w:hanging="360"/>
      </w:pPr>
    </w:lvl>
  </w:abstractNum>
  <w:abstractNum w:abstractNumId="19">
    <w:nsid w:val="672A7EC0"/>
    <w:multiLevelType w:val="hybridMultilevel"/>
    <w:tmpl w:val="E3665540"/>
    <w:lvl w:ilvl="0" w:tplc="E83E4A74">
      <w:start w:val="1"/>
      <w:numFmt w:val="bullet"/>
      <w:lvlText w:val=""/>
      <w:lvlJc w:val="center"/>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7CB1260"/>
    <w:multiLevelType w:val="hybridMultilevel"/>
    <w:tmpl w:val="3A1A82CE"/>
    <w:lvl w:ilvl="0" w:tplc="E83E4A74">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182CD2"/>
    <w:multiLevelType w:val="hybridMultilevel"/>
    <w:tmpl w:val="67F46C88"/>
    <w:lvl w:ilvl="0" w:tplc="E83E4A74">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8E74573"/>
    <w:multiLevelType w:val="hybridMultilevel"/>
    <w:tmpl w:val="40AE9E22"/>
    <w:lvl w:ilvl="0" w:tplc="E83E4A74">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0C61F28"/>
    <w:multiLevelType w:val="hybridMultilevel"/>
    <w:tmpl w:val="DA14C816"/>
    <w:lvl w:ilvl="0" w:tplc="E83E4A74">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CC7215A"/>
    <w:multiLevelType w:val="hybridMultilevel"/>
    <w:tmpl w:val="60EE0190"/>
    <w:lvl w:ilvl="0" w:tplc="E83E4A74">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8"/>
  </w:num>
  <w:num w:numId="4">
    <w:abstractNumId w:val="12"/>
  </w:num>
  <w:num w:numId="5">
    <w:abstractNumId w:val="10"/>
  </w:num>
  <w:num w:numId="6">
    <w:abstractNumId w:val="22"/>
  </w:num>
  <w:num w:numId="7">
    <w:abstractNumId w:val="13"/>
  </w:num>
  <w:num w:numId="8">
    <w:abstractNumId w:val="8"/>
  </w:num>
  <w:num w:numId="9">
    <w:abstractNumId w:val="5"/>
  </w:num>
  <w:num w:numId="10">
    <w:abstractNumId w:val="14"/>
  </w:num>
  <w:num w:numId="11">
    <w:abstractNumId w:val="6"/>
  </w:num>
  <w:num w:numId="12">
    <w:abstractNumId w:val="24"/>
  </w:num>
  <w:num w:numId="13">
    <w:abstractNumId w:val="1"/>
  </w:num>
  <w:num w:numId="14">
    <w:abstractNumId w:val="21"/>
  </w:num>
  <w:num w:numId="15">
    <w:abstractNumId w:val="0"/>
  </w:num>
  <w:num w:numId="16">
    <w:abstractNumId w:val="1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6"/>
  </w:num>
  <w:num w:numId="20">
    <w:abstractNumId w:val="20"/>
  </w:num>
  <w:num w:numId="21">
    <w:abstractNumId w:val="7"/>
  </w:num>
  <w:num w:numId="22">
    <w:abstractNumId w:val="11"/>
  </w:num>
  <w:num w:numId="23">
    <w:abstractNumId w:val="9"/>
  </w:num>
  <w:num w:numId="24">
    <w:abstractNumId w:val="19"/>
  </w:num>
  <w:num w:numId="25">
    <w:abstractNumId w:val="17"/>
  </w:num>
  <w:num w:numId="26">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F7A91"/>
    <w:rsid w:val="0001571D"/>
    <w:rsid w:val="000201B9"/>
    <w:rsid w:val="0002289A"/>
    <w:rsid w:val="00023CEC"/>
    <w:rsid w:val="00035CF6"/>
    <w:rsid w:val="00040A8E"/>
    <w:rsid w:val="000806A8"/>
    <w:rsid w:val="00094C8B"/>
    <w:rsid w:val="000B1F37"/>
    <w:rsid w:val="000B7DD3"/>
    <w:rsid w:val="000E4DED"/>
    <w:rsid w:val="000E5643"/>
    <w:rsid w:val="00112EA2"/>
    <w:rsid w:val="001172E8"/>
    <w:rsid w:val="0012447E"/>
    <w:rsid w:val="00156028"/>
    <w:rsid w:val="001829F6"/>
    <w:rsid w:val="001A26A3"/>
    <w:rsid w:val="001D17B5"/>
    <w:rsid w:val="001D4503"/>
    <w:rsid w:val="001E18E8"/>
    <w:rsid w:val="001E6591"/>
    <w:rsid w:val="001F3C1E"/>
    <w:rsid w:val="001F4B8D"/>
    <w:rsid w:val="00201C63"/>
    <w:rsid w:val="002141C7"/>
    <w:rsid w:val="00216C6A"/>
    <w:rsid w:val="0022347E"/>
    <w:rsid w:val="00250DEC"/>
    <w:rsid w:val="00273C7B"/>
    <w:rsid w:val="00274C22"/>
    <w:rsid w:val="00285E89"/>
    <w:rsid w:val="00295907"/>
    <w:rsid w:val="002A089A"/>
    <w:rsid w:val="002D3667"/>
    <w:rsid w:val="002E2996"/>
    <w:rsid w:val="002E40F3"/>
    <w:rsid w:val="003332D8"/>
    <w:rsid w:val="0035650C"/>
    <w:rsid w:val="00375CCF"/>
    <w:rsid w:val="003B7987"/>
    <w:rsid w:val="003C11BC"/>
    <w:rsid w:val="00416936"/>
    <w:rsid w:val="00435AF3"/>
    <w:rsid w:val="004C14B2"/>
    <w:rsid w:val="005276A5"/>
    <w:rsid w:val="00555B72"/>
    <w:rsid w:val="005568D7"/>
    <w:rsid w:val="005828BD"/>
    <w:rsid w:val="005845DD"/>
    <w:rsid w:val="0059299F"/>
    <w:rsid w:val="005B14C4"/>
    <w:rsid w:val="005F1BB0"/>
    <w:rsid w:val="00601613"/>
    <w:rsid w:val="00607C4C"/>
    <w:rsid w:val="006169B5"/>
    <w:rsid w:val="00625934"/>
    <w:rsid w:val="006303D9"/>
    <w:rsid w:val="00632DE2"/>
    <w:rsid w:val="00633EE9"/>
    <w:rsid w:val="0067454C"/>
    <w:rsid w:val="00683157"/>
    <w:rsid w:val="0068471D"/>
    <w:rsid w:val="006A55C4"/>
    <w:rsid w:val="006A7B76"/>
    <w:rsid w:val="006E3962"/>
    <w:rsid w:val="0070474C"/>
    <w:rsid w:val="0074681B"/>
    <w:rsid w:val="00784DCF"/>
    <w:rsid w:val="007A0724"/>
    <w:rsid w:val="007A229A"/>
    <w:rsid w:val="007D3137"/>
    <w:rsid w:val="007E34CC"/>
    <w:rsid w:val="007E381F"/>
    <w:rsid w:val="007F233F"/>
    <w:rsid w:val="008034DA"/>
    <w:rsid w:val="008074B0"/>
    <w:rsid w:val="00836079"/>
    <w:rsid w:val="00844A1A"/>
    <w:rsid w:val="0086181B"/>
    <w:rsid w:val="00887A58"/>
    <w:rsid w:val="008A6B5B"/>
    <w:rsid w:val="008A7EC9"/>
    <w:rsid w:val="008B1E66"/>
    <w:rsid w:val="008D3222"/>
    <w:rsid w:val="008D3C5C"/>
    <w:rsid w:val="008E0624"/>
    <w:rsid w:val="008E7A82"/>
    <w:rsid w:val="00907CD2"/>
    <w:rsid w:val="00914F40"/>
    <w:rsid w:val="0092293E"/>
    <w:rsid w:val="00923D83"/>
    <w:rsid w:val="00950AD2"/>
    <w:rsid w:val="00956EF9"/>
    <w:rsid w:val="00961769"/>
    <w:rsid w:val="00973898"/>
    <w:rsid w:val="009850E6"/>
    <w:rsid w:val="009901EF"/>
    <w:rsid w:val="009A6B42"/>
    <w:rsid w:val="009B1A76"/>
    <w:rsid w:val="009B4194"/>
    <w:rsid w:val="009C4034"/>
    <w:rsid w:val="00A21C4C"/>
    <w:rsid w:val="00A25C1F"/>
    <w:rsid w:val="00A5562F"/>
    <w:rsid w:val="00A55752"/>
    <w:rsid w:val="00AC68C4"/>
    <w:rsid w:val="00AD18AB"/>
    <w:rsid w:val="00AF0ADF"/>
    <w:rsid w:val="00B0132C"/>
    <w:rsid w:val="00B0587F"/>
    <w:rsid w:val="00B07FB8"/>
    <w:rsid w:val="00B1735B"/>
    <w:rsid w:val="00B34195"/>
    <w:rsid w:val="00B36A55"/>
    <w:rsid w:val="00B46397"/>
    <w:rsid w:val="00B569DD"/>
    <w:rsid w:val="00B5757A"/>
    <w:rsid w:val="00B66FDE"/>
    <w:rsid w:val="00B835AD"/>
    <w:rsid w:val="00B9260D"/>
    <w:rsid w:val="00B94B0A"/>
    <w:rsid w:val="00BB0B63"/>
    <w:rsid w:val="00BB1964"/>
    <w:rsid w:val="00BC345A"/>
    <w:rsid w:val="00BD4C61"/>
    <w:rsid w:val="00BD5CFE"/>
    <w:rsid w:val="00BF2390"/>
    <w:rsid w:val="00C15001"/>
    <w:rsid w:val="00C210F4"/>
    <w:rsid w:val="00C42F7C"/>
    <w:rsid w:val="00C47DB5"/>
    <w:rsid w:val="00C92B1E"/>
    <w:rsid w:val="00CA39F5"/>
    <w:rsid w:val="00CA7830"/>
    <w:rsid w:val="00CB3D59"/>
    <w:rsid w:val="00CE072B"/>
    <w:rsid w:val="00CF7A91"/>
    <w:rsid w:val="00D138D4"/>
    <w:rsid w:val="00D15A8E"/>
    <w:rsid w:val="00D231CB"/>
    <w:rsid w:val="00D57053"/>
    <w:rsid w:val="00D7077B"/>
    <w:rsid w:val="00D90F40"/>
    <w:rsid w:val="00D96A74"/>
    <w:rsid w:val="00DB3CA2"/>
    <w:rsid w:val="00DE4EE5"/>
    <w:rsid w:val="00DF38B9"/>
    <w:rsid w:val="00DF6FD5"/>
    <w:rsid w:val="00E35DFE"/>
    <w:rsid w:val="00E47487"/>
    <w:rsid w:val="00E50A54"/>
    <w:rsid w:val="00E51E97"/>
    <w:rsid w:val="00E522D0"/>
    <w:rsid w:val="00E777B4"/>
    <w:rsid w:val="00E84475"/>
    <w:rsid w:val="00E90ED4"/>
    <w:rsid w:val="00E91A72"/>
    <w:rsid w:val="00EF2C64"/>
    <w:rsid w:val="00F2647E"/>
    <w:rsid w:val="00F37280"/>
    <w:rsid w:val="00F67422"/>
    <w:rsid w:val="00F74CDA"/>
    <w:rsid w:val="00F81128"/>
    <w:rsid w:val="00F83818"/>
    <w:rsid w:val="00F83978"/>
    <w:rsid w:val="00F91C36"/>
    <w:rsid w:val="00F970D0"/>
    <w:rsid w:val="00FB4387"/>
    <w:rsid w:val="00FC023E"/>
    <w:rsid w:val="00FD6C55"/>
    <w:rsid w:val="00FE4DE3"/>
    <w:rsid w:val="00FF26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A91"/>
    <w:rPr>
      <w:rFonts w:ascii="Times New Roman" w:eastAsia="Times New Roman" w:hAnsi="Times New Roman"/>
      <w:sz w:val="24"/>
      <w:szCs w:val="24"/>
    </w:rPr>
  </w:style>
  <w:style w:type="paragraph" w:styleId="Heading1">
    <w:name w:val="heading 1"/>
    <w:basedOn w:val="Normal"/>
    <w:next w:val="Normal"/>
    <w:link w:val="Heading1Char"/>
    <w:qFormat/>
    <w:rsid w:val="00CF7A91"/>
    <w:pPr>
      <w:keepNext/>
      <w:numPr>
        <w:numId w:val="1"/>
      </w:numPr>
      <w:outlineLvl w:val="0"/>
    </w:pPr>
    <w:rPr>
      <w:b/>
      <w:bCs/>
    </w:rPr>
  </w:style>
  <w:style w:type="paragraph" w:styleId="Heading2">
    <w:name w:val="heading 2"/>
    <w:basedOn w:val="Normal"/>
    <w:next w:val="Normal"/>
    <w:link w:val="Heading2Char"/>
    <w:qFormat/>
    <w:rsid w:val="00CF7A91"/>
    <w:pPr>
      <w:keepNext/>
      <w:widowControl w:val="0"/>
      <w:numPr>
        <w:ilvl w:val="1"/>
        <w:numId w:val="1"/>
      </w:numPr>
      <w:autoSpaceDE w:val="0"/>
      <w:autoSpaceDN w:val="0"/>
      <w:adjustRightInd w:val="0"/>
      <w:spacing w:line="259" w:lineRule="atLeast"/>
      <w:outlineLvl w:val="1"/>
    </w:pPr>
    <w:rPr>
      <w:b/>
      <w:bCs/>
      <w:sz w:val="22"/>
      <w:szCs w:val="22"/>
    </w:rPr>
  </w:style>
  <w:style w:type="paragraph" w:styleId="Heading3">
    <w:name w:val="heading 3"/>
    <w:basedOn w:val="Normal"/>
    <w:next w:val="Normal"/>
    <w:link w:val="Heading3Char"/>
    <w:qFormat/>
    <w:rsid w:val="00CF7A91"/>
    <w:pPr>
      <w:keepNext/>
      <w:widowControl w:val="0"/>
      <w:numPr>
        <w:ilvl w:val="2"/>
        <w:numId w:val="1"/>
      </w:numPr>
      <w:autoSpaceDE w:val="0"/>
      <w:autoSpaceDN w:val="0"/>
      <w:adjustRightInd w:val="0"/>
      <w:spacing w:line="259" w:lineRule="atLeast"/>
      <w:outlineLvl w:val="2"/>
    </w:pPr>
    <w:rPr>
      <w:b/>
      <w:bCs/>
      <w:sz w:val="22"/>
      <w:szCs w:val="22"/>
    </w:rPr>
  </w:style>
  <w:style w:type="paragraph" w:styleId="Heading4">
    <w:name w:val="heading 4"/>
    <w:basedOn w:val="Normal"/>
    <w:next w:val="Normal"/>
    <w:link w:val="Heading4Char"/>
    <w:qFormat/>
    <w:rsid w:val="00CF7A91"/>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CF7A91"/>
    <w:pPr>
      <w:keepNext/>
      <w:numPr>
        <w:ilvl w:val="4"/>
        <w:numId w:val="1"/>
      </w:numPr>
      <w:jc w:val="center"/>
      <w:outlineLvl w:val="4"/>
    </w:pPr>
    <w:rPr>
      <w:b/>
      <w:sz w:val="28"/>
      <w:szCs w:val="20"/>
    </w:rPr>
  </w:style>
  <w:style w:type="paragraph" w:styleId="Heading6">
    <w:name w:val="heading 6"/>
    <w:basedOn w:val="Normal"/>
    <w:next w:val="Normal"/>
    <w:link w:val="Heading6Char"/>
    <w:qFormat/>
    <w:rsid w:val="00CF7A91"/>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CF7A91"/>
    <w:pPr>
      <w:numPr>
        <w:ilvl w:val="6"/>
        <w:numId w:val="1"/>
      </w:numPr>
      <w:spacing w:before="240" w:after="60"/>
      <w:outlineLvl w:val="6"/>
    </w:pPr>
  </w:style>
  <w:style w:type="paragraph" w:styleId="Heading8">
    <w:name w:val="heading 8"/>
    <w:basedOn w:val="Normal"/>
    <w:next w:val="Normal"/>
    <w:link w:val="Heading8Char"/>
    <w:qFormat/>
    <w:rsid w:val="00CF7A91"/>
    <w:pPr>
      <w:numPr>
        <w:ilvl w:val="7"/>
        <w:numId w:val="1"/>
      </w:numPr>
      <w:spacing w:before="240" w:after="60"/>
      <w:outlineLvl w:val="7"/>
    </w:pPr>
    <w:rPr>
      <w:i/>
      <w:iCs/>
    </w:rPr>
  </w:style>
  <w:style w:type="paragraph" w:styleId="Heading9">
    <w:name w:val="heading 9"/>
    <w:basedOn w:val="Normal"/>
    <w:next w:val="Normal"/>
    <w:link w:val="Heading9Char"/>
    <w:qFormat/>
    <w:rsid w:val="00CF7A9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7A91"/>
    <w:rPr>
      <w:rFonts w:ascii="Times New Roman" w:eastAsia="Times New Roman" w:hAnsi="Times New Roman"/>
      <w:b/>
      <w:bCs/>
      <w:sz w:val="24"/>
      <w:szCs w:val="24"/>
    </w:rPr>
  </w:style>
  <w:style w:type="character" w:customStyle="1" w:styleId="Heading2Char">
    <w:name w:val="Heading 2 Char"/>
    <w:basedOn w:val="DefaultParagraphFont"/>
    <w:link w:val="Heading2"/>
    <w:rsid w:val="00CF7A91"/>
    <w:rPr>
      <w:rFonts w:ascii="Times New Roman" w:eastAsia="Times New Roman" w:hAnsi="Times New Roman"/>
      <w:b/>
      <w:bCs/>
      <w:sz w:val="22"/>
      <w:szCs w:val="22"/>
    </w:rPr>
  </w:style>
  <w:style w:type="character" w:customStyle="1" w:styleId="Heading3Char">
    <w:name w:val="Heading 3 Char"/>
    <w:basedOn w:val="DefaultParagraphFont"/>
    <w:link w:val="Heading3"/>
    <w:rsid w:val="00CF7A91"/>
    <w:rPr>
      <w:rFonts w:ascii="Times New Roman" w:eastAsia="Times New Roman" w:hAnsi="Times New Roman"/>
      <w:b/>
      <w:bCs/>
      <w:sz w:val="22"/>
      <w:szCs w:val="22"/>
    </w:rPr>
  </w:style>
  <w:style w:type="character" w:customStyle="1" w:styleId="Heading4Char">
    <w:name w:val="Heading 4 Char"/>
    <w:basedOn w:val="DefaultParagraphFont"/>
    <w:link w:val="Heading4"/>
    <w:rsid w:val="00CF7A91"/>
    <w:rPr>
      <w:rFonts w:ascii="Times New Roman" w:eastAsia="Times New Roman" w:hAnsi="Times New Roman"/>
      <w:b/>
      <w:bCs/>
      <w:sz w:val="28"/>
      <w:szCs w:val="28"/>
    </w:rPr>
  </w:style>
  <w:style w:type="character" w:customStyle="1" w:styleId="Heading5Char">
    <w:name w:val="Heading 5 Char"/>
    <w:basedOn w:val="DefaultParagraphFont"/>
    <w:link w:val="Heading5"/>
    <w:rsid w:val="00CF7A91"/>
    <w:rPr>
      <w:rFonts w:ascii="Times New Roman" w:eastAsia="Times New Roman" w:hAnsi="Times New Roman"/>
      <w:b/>
      <w:sz w:val="28"/>
    </w:rPr>
  </w:style>
  <w:style w:type="character" w:customStyle="1" w:styleId="Heading6Char">
    <w:name w:val="Heading 6 Char"/>
    <w:basedOn w:val="DefaultParagraphFont"/>
    <w:link w:val="Heading6"/>
    <w:rsid w:val="00CF7A91"/>
    <w:rPr>
      <w:rFonts w:ascii="Times New Roman" w:eastAsia="Times New Roman" w:hAnsi="Times New Roman"/>
      <w:b/>
      <w:bCs/>
      <w:sz w:val="22"/>
      <w:szCs w:val="22"/>
    </w:rPr>
  </w:style>
  <w:style w:type="character" w:customStyle="1" w:styleId="Heading7Char">
    <w:name w:val="Heading 7 Char"/>
    <w:basedOn w:val="DefaultParagraphFont"/>
    <w:link w:val="Heading7"/>
    <w:rsid w:val="00CF7A91"/>
    <w:rPr>
      <w:rFonts w:ascii="Times New Roman" w:eastAsia="Times New Roman" w:hAnsi="Times New Roman"/>
      <w:sz w:val="24"/>
      <w:szCs w:val="24"/>
    </w:rPr>
  </w:style>
  <w:style w:type="character" w:customStyle="1" w:styleId="Heading8Char">
    <w:name w:val="Heading 8 Char"/>
    <w:basedOn w:val="DefaultParagraphFont"/>
    <w:link w:val="Heading8"/>
    <w:rsid w:val="00CF7A91"/>
    <w:rPr>
      <w:rFonts w:ascii="Times New Roman" w:eastAsia="Times New Roman" w:hAnsi="Times New Roman"/>
      <w:i/>
      <w:iCs/>
      <w:sz w:val="24"/>
      <w:szCs w:val="24"/>
    </w:rPr>
  </w:style>
  <w:style w:type="character" w:customStyle="1" w:styleId="Heading9Char">
    <w:name w:val="Heading 9 Char"/>
    <w:basedOn w:val="DefaultParagraphFont"/>
    <w:link w:val="Heading9"/>
    <w:rsid w:val="00CF7A91"/>
    <w:rPr>
      <w:rFonts w:ascii="Arial" w:eastAsia="Times New Roman" w:hAnsi="Arial" w:cs="Arial"/>
      <w:sz w:val="22"/>
      <w:szCs w:val="22"/>
    </w:rPr>
  </w:style>
  <w:style w:type="paragraph" w:customStyle="1" w:styleId="txt">
    <w:name w:val="txt"/>
    <w:basedOn w:val="Normal"/>
    <w:rsid w:val="00CF7A91"/>
    <w:pPr>
      <w:overflowPunct w:val="0"/>
      <w:autoSpaceDE w:val="0"/>
      <w:autoSpaceDN w:val="0"/>
      <w:adjustRightInd w:val="0"/>
      <w:spacing w:after="120"/>
      <w:ind w:left="274"/>
    </w:pPr>
    <w:rPr>
      <w:sz w:val="22"/>
      <w:szCs w:val="20"/>
    </w:rPr>
  </w:style>
  <w:style w:type="paragraph" w:customStyle="1" w:styleId="bl">
    <w:name w:val="bl"/>
    <w:rsid w:val="00CF7A91"/>
    <w:pPr>
      <w:overflowPunct w:val="0"/>
      <w:autoSpaceDE w:val="0"/>
      <w:autoSpaceDN w:val="0"/>
      <w:adjustRightInd w:val="0"/>
      <w:spacing w:before="60" w:after="60"/>
      <w:ind w:left="634" w:hanging="360"/>
      <w:textAlignment w:val="baseline"/>
    </w:pPr>
    <w:rPr>
      <w:rFonts w:ascii="Times New Roman" w:eastAsia="Times New Roman" w:hAnsi="Times New Roman"/>
      <w:sz w:val="22"/>
    </w:rPr>
  </w:style>
  <w:style w:type="paragraph" w:customStyle="1" w:styleId="h2">
    <w:name w:val="h2"/>
    <w:basedOn w:val="Normal"/>
    <w:next w:val="txt"/>
    <w:rsid w:val="00CF7A91"/>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customStyle="1" w:styleId="h3">
    <w:name w:val="h3"/>
    <w:basedOn w:val="Heading2"/>
    <w:rsid w:val="00CF7A91"/>
    <w:pPr>
      <w:widowControl/>
      <w:numPr>
        <w:ilvl w:val="0"/>
        <w:numId w:val="0"/>
      </w:numPr>
      <w:overflowPunct w:val="0"/>
      <w:spacing w:before="160" w:after="80" w:line="240" w:lineRule="auto"/>
      <w:ind w:left="270"/>
      <w:textAlignment w:val="baseline"/>
      <w:outlineLvl w:val="9"/>
    </w:pPr>
    <w:rPr>
      <w:rFonts w:ascii="Arial Narrow" w:hAnsi="Arial Narrow"/>
      <w:bCs w:val="0"/>
      <w:i/>
      <w:sz w:val="24"/>
      <w:szCs w:val="20"/>
    </w:rPr>
  </w:style>
  <w:style w:type="paragraph" w:styleId="Header">
    <w:name w:val="header"/>
    <w:basedOn w:val="Normal"/>
    <w:link w:val="HeaderChar"/>
    <w:rsid w:val="00CF7A91"/>
    <w:pPr>
      <w:tabs>
        <w:tab w:val="center" w:pos="4320"/>
        <w:tab w:val="right" w:pos="8640"/>
      </w:tabs>
    </w:pPr>
  </w:style>
  <w:style w:type="character" w:customStyle="1" w:styleId="HeaderChar">
    <w:name w:val="Header Char"/>
    <w:basedOn w:val="DefaultParagraphFont"/>
    <w:link w:val="Header"/>
    <w:rsid w:val="00CF7A91"/>
    <w:rPr>
      <w:rFonts w:ascii="Times New Roman" w:eastAsia="Times New Roman" w:hAnsi="Times New Roman" w:cs="Times New Roman"/>
      <w:sz w:val="24"/>
      <w:szCs w:val="24"/>
    </w:rPr>
  </w:style>
  <w:style w:type="paragraph" w:styleId="Footer">
    <w:name w:val="footer"/>
    <w:basedOn w:val="Normal"/>
    <w:link w:val="FooterChar"/>
    <w:rsid w:val="00CF7A91"/>
    <w:pPr>
      <w:tabs>
        <w:tab w:val="center" w:pos="4320"/>
        <w:tab w:val="right" w:pos="8640"/>
      </w:tabs>
    </w:pPr>
  </w:style>
  <w:style w:type="character" w:customStyle="1" w:styleId="FooterChar">
    <w:name w:val="Footer Char"/>
    <w:basedOn w:val="DefaultParagraphFont"/>
    <w:link w:val="Footer"/>
    <w:rsid w:val="00CF7A91"/>
    <w:rPr>
      <w:rFonts w:ascii="Times New Roman" w:eastAsia="Times New Roman" w:hAnsi="Times New Roman" w:cs="Times New Roman"/>
      <w:sz w:val="24"/>
      <w:szCs w:val="24"/>
    </w:rPr>
  </w:style>
  <w:style w:type="character" w:styleId="PageNumber">
    <w:name w:val="page number"/>
    <w:basedOn w:val="DefaultParagraphFont"/>
    <w:rsid w:val="00CF7A91"/>
  </w:style>
  <w:style w:type="paragraph" w:customStyle="1" w:styleId="NUMBERINDENT1">
    <w:name w:val="NUMBER INDENT 1"/>
    <w:basedOn w:val="Normal"/>
    <w:rsid w:val="009901EF"/>
    <w:pPr>
      <w:widowControl w:val="0"/>
      <w:numPr>
        <w:numId w:val="2"/>
      </w:numPr>
      <w:jc w:val="both"/>
    </w:pPr>
    <w:rPr>
      <w:rFonts w:ascii="Arial" w:hAnsi="Arial"/>
      <w:color w:val="000000"/>
      <w:sz w:val="20"/>
      <w:szCs w:val="20"/>
    </w:rPr>
  </w:style>
  <w:style w:type="paragraph" w:customStyle="1" w:styleId="style1">
    <w:name w:val="style1"/>
    <w:basedOn w:val="Normal"/>
    <w:rsid w:val="009901EF"/>
    <w:pPr>
      <w:tabs>
        <w:tab w:val="left" w:pos="2880"/>
      </w:tabs>
    </w:pPr>
    <w:rPr>
      <w:rFonts w:ascii="Book Antiqua" w:hAnsi="Book Antiqua"/>
    </w:rPr>
  </w:style>
  <w:style w:type="paragraph" w:styleId="BodyTextIndent">
    <w:name w:val="Body Text Indent"/>
    <w:basedOn w:val="Normal"/>
    <w:link w:val="BodyTextIndentChar"/>
    <w:rsid w:val="009901EF"/>
    <w:pPr>
      <w:spacing w:after="120"/>
      <w:ind w:left="360"/>
    </w:pPr>
  </w:style>
  <w:style w:type="character" w:customStyle="1" w:styleId="BodyTextIndentChar">
    <w:name w:val="Body Text Indent Char"/>
    <w:basedOn w:val="DefaultParagraphFont"/>
    <w:link w:val="BodyTextIndent"/>
    <w:rsid w:val="009901EF"/>
    <w:rPr>
      <w:rFonts w:ascii="Times New Roman" w:eastAsia="Times New Roman" w:hAnsi="Times New Roman"/>
      <w:sz w:val="24"/>
      <w:szCs w:val="24"/>
    </w:rPr>
  </w:style>
  <w:style w:type="paragraph" w:styleId="NormalIndent">
    <w:name w:val="Normal Indent"/>
    <w:basedOn w:val="Normal"/>
    <w:rsid w:val="009901EF"/>
    <w:pPr>
      <w:ind w:left="720"/>
    </w:pPr>
    <w:rPr>
      <w:rFonts w:ascii="Book Antiqua" w:hAnsi="Book Antiqua"/>
    </w:rPr>
  </w:style>
  <w:style w:type="paragraph" w:customStyle="1" w:styleId="HEADING40">
    <w:name w:val="HEADING4"/>
    <w:basedOn w:val="Normal"/>
    <w:rsid w:val="009901EF"/>
    <w:pPr>
      <w:spacing w:before="120"/>
    </w:pPr>
    <w:rPr>
      <w:rFonts w:ascii="Book Antiqua" w:hAnsi="Book Antiqua"/>
      <w:b/>
      <w:bCs/>
    </w:rPr>
  </w:style>
  <w:style w:type="paragraph" w:customStyle="1" w:styleId="References">
    <w:name w:val="References"/>
    <w:basedOn w:val="Normal"/>
    <w:rsid w:val="001172E8"/>
    <w:pPr>
      <w:keepLines/>
      <w:numPr>
        <w:numId w:val="3"/>
      </w:numPr>
      <w:tabs>
        <w:tab w:val="left" w:pos="720"/>
      </w:tabs>
      <w:jc w:val="both"/>
    </w:pPr>
    <w:rPr>
      <w:rFonts w:ascii="Arial" w:hAnsi="Arial"/>
      <w:snapToGrid w:val="0"/>
      <w:color w:val="000000"/>
      <w:sz w:val="20"/>
      <w:szCs w:val="20"/>
    </w:rPr>
  </w:style>
  <w:style w:type="paragraph" w:styleId="BodyText2">
    <w:name w:val="Body Text 2"/>
    <w:basedOn w:val="Normal"/>
    <w:link w:val="BodyText2Char"/>
    <w:rsid w:val="001172E8"/>
    <w:pPr>
      <w:spacing w:after="120" w:line="480" w:lineRule="auto"/>
    </w:pPr>
  </w:style>
  <w:style w:type="character" w:customStyle="1" w:styleId="BodyText2Char">
    <w:name w:val="Body Text 2 Char"/>
    <w:basedOn w:val="DefaultParagraphFont"/>
    <w:link w:val="BodyText2"/>
    <w:rsid w:val="001172E8"/>
    <w:rPr>
      <w:rFonts w:ascii="Times New Roman" w:eastAsia="Times New Roman" w:hAnsi="Times New Roman"/>
      <w:sz w:val="24"/>
      <w:szCs w:val="24"/>
    </w:rPr>
  </w:style>
  <w:style w:type="paragraph" w:customStyle="1" w:styleId="Default">
    <w:name w:val="Default"/>
    <w:rsid w:val="00BD5CFE"/>
    <w:pPr>
      <w:autoSpaceDE w:val="0"/>
      <w:autoSpaceDN w:val="0"/>
      <w:adjustRightInd w:val="0"/>
    </w:pPr>
    <w:rPr>
      <w:rFonts w:cs="Calibri"/>
      <w:color w:val="000000"/>
      <w:sz w:val="24"/>
      <w:szCs w:val="24"/>
    </w:rPr>
  </w:style>
  <w:style w:type="paragraph" w:styleId="ListParagraph">
    <w:name w:val="List Paragraph"/>
    <w:basedOn w:val="Normal"/>
    <w:uiPriority w:val="34"/>
    <w:qFormat/>
    <w:rsid w:val="001A26A3"/>
    <w:pPr>
      <w:ind w:left="720"/>
    </w:pPr>
  </w:style>
  <w:style w:type="paragraph" w:styleId="NoSpacing">
    <w:name w:val="No Spacing"/>
    <w:uiPriority w:val="1"/>
    <w:qFormat/>
    <w:rsid w:val="00844A1A"/>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47DB5"/>
    <w:rPr>
      <w:rFonts w:ascii="Tahoma" w:hAnsi="Tahoma" w:cs="Tahoma"/>
      <w:sz w:val="16"/>
      <w:szCs w:val="16"/>
    </w:rPr>
  </w:style>
  <w:style w:type="character" w:customStyle="1" w:styleId="BalloonTextChar">
    <w:name w:val="Balloon Text Char"/>
    <w:basedOn w:val="DefaultParagraphFont"/>
    <w:link w:val="BalloonText"/>
    <w:uiPriority w:val="99"/>
    <w:semiHidden/>
    <w:rsid w:val="00C47DB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9013869">
      <w:bodyDiv w:val="1"/>
      <w:marLeft w:val="0"/>
      <w:marRight w:val="0"/>
      <w:marTop w:val="0"/>
      <w:marBottom w:val="0"/>
      <w:divBdr>
        <w:top w:val="none" w:sz="0" w:space="0" w:color="auto"/>
        <w:left w:val="none" w:sz="0" w:space="0" w:color="auto"/>
        <w:bottom w:val="none" w:sz="0" w:space="0" w:color="auto"/>
        <w:right w:val="none" w:sz="0" w:space="0" w:color="auto"/>
      </w:divBdr>
    </w:div>
    <w:div w:id="126021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49F4E-2B72-4B19-8014-13DDE7C8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18</Pages>
  <Words>2992</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Steward Health Care</Company>
  <LinksUpToDate>false</LinksUpToDate>
  <CharactersWithSpaces>20013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semnlt02</dc:creator>
  <cp:lastModifiedBy>Steward Health Care</cp:lastModifiedBy>
  <cp:revision>86</cp:revision>
  <cp:lastPrinted>2016-11-04T16:59:00Z</cp:lastPrinted>
  <dcterms:created xsi:type="dcterms:W3CDTF">2016-05-11T13:00:00Z</dcterms:created>
  <dcterms:modified xsi:type="dcterms:W3CDTF">2016-11-04T17:02:00Z</dcterms:modified>
</cp:coreProperties>
</file>