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6" w:type="dxa"/>
        <w:tblInd w:w="720" w:type="dxa"/>
        <w:tblLook w:val="01E0" w:firstRow="1" w:lastRow="1" w:firstColumn="1" w:lastColumn="1" w:noHBand="0" w:noVBand="0"/>
      </w:tblPr>
      <w:tblGrid>
        <w:gridCol w:w="3168"/>
        <w:gridCol w:w="1440"/>
        <w:gridCol w:w="4968"/>
      </w:tblGrid>
      <w:tr w:rsidR="00EE1D66" w:rsidTr="00B82674">
        <w:trPr>
          <w:trHeight w:val="432"/>
        </w:trPr>
        <w:tc>
          <w:tcPr>
            <w:tcW w:w="3168" w:type="dxa"/>
            <w:vMerge w:val="restart"/>
          </w:tcPr>
          <w:p w:rsidR="00EE1D66" w:rsidRDefault="004F6619" w:rsidP="00660B8D">
            <w:pPr>
              <w:pStyle w:val="DocNumberDates"/>
            </w:pPr>
            <w:r w:rsidRPr="004F6619">
              <w:rPr>
                <w:noProof/>
              </w:rPr>
              <w:drawing>
                <wp:inline distT="0" distB="0" distL="0" distR="0" wp14:anchorId="3F239B74" wp14:editId="540F879B">
                  <wp:extent cx="1769483" cy="777727"/>
                  <wp:effectExtent l="19050" t="0" r="2167"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tretch>
                            <a:fillRect/>
                          </a:stretch>
                        </pic:blipFill>
                        <pic:spPr bwMode="auto">
                          <a:xfrm>
                            <a:off x="0" y="0"/>
                            <a:ext cx="1769483" cy="777727"/>
                          </a:xfrm>
                          <a:prstGeom prst="rect">
                            <a:avLst/>
                          </a:prstGeom>
                          <a:noFill/>
                          <a:ln w="9525">
                            <a:noFill/>
                            <a:miter lim="800000"/>
                            <a:headEnd/>
                            <a:tailEnd/>
                          </a:ln>
                        </pic:spPr>
                      </pic:pic>
                    </a:graphicData>
                  </a:graphic>
                </wp:inline>
              </w:drawing>
            </w:r>
          </w:p>
        </w:tc>
        <w:tc>
          <w:tcPr>
            <w:tcW w:w="6408" w:type="dxa"/>
            <w:gridSpan w:val="2"/>
          </w:tcPr>
          <w:p w:rsidR="00FA34E2" w:rsidRPr="00E1443A" w:rsidRDefault="00E86A8E" w:rsidP="00A22E6A">
            <w:pPr>
              <w:spacing w:after="0"/>
              <w:ind w:left="0"/>
              <w:rPr>
                <w:rFonts w:asciiTheme="minorHAnsi" w:hAnsiTheme="minorHAnsi" w:cs="Arial"/>
                <w:b/>
                <w:bCs/>
                <w:color w:val="1F497D" w:themeColor="text2"/>
                <w:sz w:val="32"/>
                <w:szCs w:val="32"/>
              </w:rPr>
            </w:pPr>
            <w:r>
              <w:rPr>
                <w:rFonts w:asciiTheme="minorHAnsi" w:hAnsiTheme="minorHAnsi" w:cs="Arial"/>
                <w:b/>
                <w:bCs/>
                <w:color w:val="1F497D" w:themeColor="text2"/>
                <w:sz w:val="32"/>
                <w:szCs w:val="32"/>
              </w:rPr>
              <w:t>Microbiology Testing of Specimens from Potential Ebola Patients</w:t>
            </w:r>
          </w:p>
        </w:tc>
      </w:tr>
      <w:tr w:rsidR="00EE1D66" w:rsidTr="00B82674">
        <w:trPr>
          <w:trHeight w:val="432"/>
        </w:trPr>
        <w:tc>
          <w:tcPr>
            <w:tcW w:w="3168" w:type="dxa"/>
            <w:vMerge/>
          </w:tcPr>
          <w:p w:rsidR="00EE1D66" w:rsidRDefault="00EE1D66" w:rsidP="00660B8D">
            <w:pPr>
              <w:pStyle w:val="DocNumberDates"/>
            </w:pPr>
          </w:p>
        </w:tc>
        <w:tc>
          <w:tcPr>
            <w:tcW w:w="6408" w:type="dxa"/>
            <w:gridSpan w:val="2"/>
          </w:tcPr>
          <w:p w:rsidR="00EE1D66" w:rsidRPr="00DD11CD" w:rsidRDefault="00DD11CD" w:rsidP="00DD11CD">
            <w:pPr>
              <w:pStyle w:val="DocType"/>
              <w:spacing w:before="60"/>
              <w:rPr>
                <w:rFonts w:asciiTheme="minorHAnsi" w:hAnsiTheme="minorHAnsi"/>
              </w:rPr>
            </w:pPr>
            <w:r>
              <w:rPr>
                <w:rFonts w:asciiTheme="minorHAnsi" w:hAnsiTheme="minorHAnsi"/>
              </w:rPr>
              <w:t>Department of Microbiology</w:t>
            </w:r>
            <w:r w:rsidR="00A2741F" w:rsidRPr="00DD11CD">
              <w:rPr>
                <w:rFonts w:asciiTheme="minorHAnsi" w:hAnsiTheme="minorHAnsi"/>
              </w:rPr>
              <w:t xml:space="preserve"> </w:t>
            </w:r>
          </w:p>
        </w:tc>
      </w:tr>
      <w:tr w:rsidR="0044699C" w:rsidTr="00B82674">
        <w:trPr>
          <w:trHeight w:val="432"/>
        </w:trPr>
        <w:tc>
          <w:tcPr>
            <w:tcW w:w="3168" w:type="dxa"/>
            <w:vMerge/>
          </w:tcPr>
          <w:p w:rsidR="0044699C" w:rsidRDefault="0044699C" w:rsidP="00660B8D">
            <w:pPr>
              <w:pStyle w:val="DocNumberDates"/>
            </w:pPr>
          </w:p>
        </w:tc>
        <w:tc>
          <w:tcPr>
            <w:tcW w:w="1440" w:type="dxa"/>
          </w:tcPr>
          <w:p w:rsidR="0044699C" w:rsidRPr="00DF5E2C" w:rsidRDefault="0044699C" w:rsidP="0044699C">
            <w:pPr>
              <w:pStyle w:val="DocNumberDates"/>
              <w:rPr>
                <w:rFonts w:asciiTheme="minorHAnsi" w:hAnsiTheme="minorHAnsi"/>
              </w:rPr>
            </w:pPr>
            <w:r w:rsidRPr="00DD11CD">
              <w:rPr>
                <w:rFonts w:asciiTheme="minorHAnsi" w:hAnsiTheme="minorHAnsi"/>
                <w:b/>
              </w:rPr>
              <w:t>Effective date</w:t>
            </w:r>
            <w:r w:rsidRPr="00DD11CD">
              <w:rPr>
                <w:rFonts w:asciiTheme="minorHAnsi" w:hAnsiTheme="minorHAnsi"/>
              </w:rPr>
              <w:t xml:space="preserve">: </w:t>
            </w:r>
          </w:p>
        </w:tc>
        <w:tc>
          <w:tcPr>
            <w:tcW w:w="4968" w:type="dxa"/>
          </w:tcPr>
          <w:p w:rsidR="0044699C" w:rsidRPr="00DF5E2C" w:rsidRDefault="005A2EFB" w:rsidP="005A2EFB">
            <w:pPr>
              <w:pStyle w:val="DocNumberDates"/>
              <w:rPr>
                <w:rFonts w:asciiTheme="minorHAnsi" w:hAnsiTheme="minorHAnsi"/>
              </w:rPr>
            </w:pPr>
            <w:r>
              <w:rPr>
                <w:rFonts w:asciiTheme="minorHAnsi" w:hAnsiTheme="minorHAnsi"/>
              </w:rPr>
              <w:t>12</w:t>
            </w:r>
            <w:r w:rsidR="0044699C">
              <w:rPr>
                <w:rFonts w:asciiTheme="minorHAnsi" w:hAnsiTheme="minorHAnsi"/>
              </w:rPr>
              <w:t>/</w:t>
            </w:r>
            <w:r>
              <w:rPr>
                <w:rFonts w:asciiTheme="minorHAnsi" w:hAnsiTheme="minorHAnsi"/>
              </w:rPr>
              <w:t>1</w:t>
            </w:r>
            <w:r w:rsidR="0044699C">
              <w:rPr>
                <w:rFonts w:asciiTheme="minorHAnsi" w:hAnsiTheme="minorHAnsi"/>
              </w:rPr>
              <w:t>0/</w:t>
            </w:r>
            <w:r>
              <w:rPr>
                <w:rFonts w:asciiTheme="minorHAnsi" w:hAnsiTheme="minorHAnsi"/>
              </w:rPr>
              <w:t>2014</w:t>
            </w:r>
          </w:p>
        </w:tc>
      </w:tr>
      <w:tr w:rsidR="00DF5E2C" w:rsidTr="00B82674">
        <w:trPr>
          <w:trHeight w:val="432"/>
        </w:trPr>
        <w:tc>
          <w:tcPr>
            <w:tcW w:w="3168" w:type="dxa"/>
            <w:vMerge/>
          </w:tcPr>
          <w:p w:rsidR="00DF5E2C" w:rsidRDefault="00DF5E2C" w:rsidP="00660B8D">
            <w:pPr>
              <w:pStyle w:val="DocNumberDates"/>
            </w:pPr>
          </w:p>
        </w:tc>
        <w:tc>
          <w:tcPr>
            <w:tcW w:w="1440" w:type="dxa"/>
          </w:tcPr>
          <w:p w:rsidR="00DF5E2C" w:rsidRPr="00DD11CD" w:rsidRDefault="0044699C" w:rsidP="0044699C">
            <w:pPr>
              <w:pStyle w:val="DocNumberDates"/>
              <w:rPr>
                <w:rFonts w:asciiTheme="minorHAnsi" w:hAnsiTheme="minorHAnsi"/>
              </w:rPr>
            </w:pPr>
            <w:r w:rsidRPr="00DF5E2C">
              <w:rPr>
                <w:rFonts w:asciiTheme="minorHAnsi" w:hAnsiTheme="minorHAnsi"/>
                <w:b/>
              </w:rPr>
              <w:t>Last Revision:</w:t>
            </w:r>
            <w:r>
              <w:rPr>
                <w:rFonts w:asciiTheme="minorHAnsi" w:hAnsiTheme="minorHAnsi"/>
                <w:b/>
              </w:rPr>
              <w:t xml:space="preserve"> </w:t>
            </w:r>
          </w:p>
        </w:tc>
        <w:tc>
          <w:tcPr>
            <w:tcW w:w="4968" w:type="dxa"/>
          </w:tcPr>
          <w:p w:rsidR="00DF5E2C" w:rsidRPr="00DF5E2C" w:rsidRDefault="005A2EFB" w:rsidP="001D2981">
            <w:pPr>
              <w:pStyle w:val="DocNumberDates"/>
              <w:rPr>
                <w:rFonts w:asciiTheme="minorHAnsi" w:hAnsiTheme="minorHAnsi"/>
              </w:rPr>
            </w:pPr>
            <w:r>
              <w:rPr>
                <w:rFonts w:asciiTheme="minorHAnsi" w:hAnsiTheme="minorHAnsi"/>
              </w:rPr>
              <w:t>12/10</w:t>
            </w:r>
            <w:r w:rsidR="0044699C" w:rsidRPr="00083B93">
              <w:rPr>
                <w:rFonts w:asciiTheme="minorHAnsi" w:hAnsiTheme="minorHAnsi"/>
              </w:rPr>
              <w:t>/201</w:t>
            </w:r>
            <w:r>
              <w:rPr>
                <w:rFonts w:asciiTheme="minorHAnsi" w:hAnsiTheme="minorHAnsi"/>
              </w:rPr>
              <w:t>4</w:t>
            </w:r>
          </w:p>
        </w:tc>
      </w:tr>
      <w:tr w:rsidR="0044699C" w:rsidTr="00B82674">
        <w:trPr>
          <w:trHeight w:val="377"/>
        </w:trPr>
        <w:tc>
          <w:tcPr>
            <w:tcW w:w="3168" w:type="dxa"/>
            <w:vMerge/>
          </w:tcPr>
          <w:p w:rsidR="0044699C" w:rsidRDefault="0044699C" w:rsidP="00660B8D">
            <w:pPr>
              <w:pStyle w:val="DocNumberDates"/>
            </w:pPr>
          </w:p>
        </w:tc>
        <w:tc>
          <w:tcPr>
            <w:tcW w:w="1440" w:type="dxa"/>
          </w:tcPr>
          <w:p w:rsidR="0044699C" w:rsidRPr="00DD11CD" w:rsidRDefault="0044699C" w:rsidP="0044699C">
            <w:pPr>
              <w:ind w:left="0"/>
              <w:rPr>
                <w:rFonts w:asciiTheme="minorHAnsi" w:hAnsiTheme="minorHAnsi"/>
              </w:rPr>
            </w:pPr>
            <w:r w:rsidRPr="00DD11CD">
              <w:rPr>
                <w:rFonts w:asciiTheme="minorHAnsi" w:hAnsiTheme="minorHAnsi"/>
                <w:b/>
              </w:rPr>
              <w:t>Last reviewed</w:t>
            </w:r>
            <w:r w:rsidRPr="00DD11CD">
              <w:rPr>
                <w:rFonts w:asciiTheme="minorHAnsi" w:hAnsiTheme="minorHAnsi"/>
              </w:rPr>
              <w:t xml:space="preserve">: </w:t>
            </w:r>
          </w:p>
        </w:tc>
        <w:tc>
          <w:tcPr>
            <w:tcW w:w="4968" w:type="dxa"/>
          </w:tcPr>
          <w:p w:rsidR="0044699C" w:rsidRPr="00DD11CD" w:rsidRDefault="005A2EFB" w:rsidP="005A2EFB">
            <w:pPr>
              <w:ind w:left="0"/>
              <w:rPr>
                <w:rFonts w:asciiTheme="minorHAnsi" w:hAnsiTheme="minorHAnsi"/>
              </w:rPr>
            </w:pPr>
            <w:r>
              <w:rPr>
                <w:rFonts w:asciiTheme="minorHAnsi" w:hAnsiTheme="minorHAnsi"/>
              </w:rPr>
              <w:t>12</w:t>
            </w:r>
            <w:r w:rsidR="0044699C">
              <w:rPr>
                <w:rFonts w:asciiTheme="minorHAnsi" w:hAnsiTheme="minorHAnsi"/>
              </w:rPr>
              <w:t>/</w:t>
            </w:r>
            <w:r>
              <w:rPr>
                <w:rFonts w:asciiTheme="minorHAnsi" w:hAnsiTheme="minorHAnsi"/>
              </w:rPr>
              <w:t>10</w:t>
            </w:r>
            <w:r w:rsidR="0044699C">
              <w:rPr>
                <w:rFonts w:asciiTheme="minorHAnsi" w:hAnsiTheme="minorHAnsi"/>
              </w:rPr>
              <w:t>/201</w:t>
            </w:r>
            <w:r>
              <w:rPr>
                <w:rFonts w:asciiTheme="minorHAnsi" w:hAnsiTheme="minorHAnsi"/>
              </w:rPr>
              <w:t>4</w:t>
            </w:r>
          </w:p>
        </w:tc>
      </w:tr>
    </w:tbl>
    <w:p w:rsidR="00B52A35" w:rsidRDefault="00E86A8E" w:rsidP="00B75B9B">
      <w:pPr>
        <w:pStyle w:val="Heading1"/>
      </w:pPr>
      <w:bookmarkStart w:id="0" w:name="_Toc405992081"/>
      <w:r>
        <w:t>Introduction</w:t>
      </w:r>
      <w:bookmarkEnd w:id="0"/>
    </w:p>
    <w:p w:rsidR="00E86A8E" w:rsidRDefault="00E86A8E" w:rsidP="00E86A8E">
      <w:r w:rsidRPr="00D27437">
        <w:t xml:space="preserve">As </w:t>
      </w:r>
      <w:r w:rsidR="00FD189B">
        <w:t>outbreaks of</w:t>
      </w:r>
      <w:r w:rsidRPr="00D27437">
        <w:t xml:space="preserve"> </w:t>
      </w:r>
      <w:r>
        <w:t xml:space="preserve">Ebola </w:t>
      </w:r>
      <w:r w:rsidR="00FD189B">
        <w:t>occur</w:t>
      </w:r>
      <w:r w:rsidRPr="00D27437">
        <w:t xml:space="preserve">, </w:t>
      </w:r>
      <w:r>
        <w:t xml:space="preserve">it is anticipated that </w:t>
      </w:r>
      <w:r w:rsidRPr="00D27437">
        <w:t xml:space="preserve">there will be patients with febrile illness </w:t>
      </w:r>
      <w:r>
        <w:t>who will</w:t>
      </w:r>
      <w:r w:rsidRPr="00D27437">
        <w:t xml:space="preserve"> return </w:t>
      </w:r>
      <w:r>
        <w:t xml:space="preserve">to the United States </w:t>
      </w:r>
      <w:r w:rsidRPr="00D27437">
        <w:t>from outbreak area</w:t>
      </w:r>
      <w:r w:rsidR="00FD189B">
        <w:t>s</w:t>
      </w:r>
      <w:r w:rsidRPr="00D27437">
        <w:t xml:space="preserve">.  </w:t>
      </w:r>
      <w:r>
        <w:t>However, t</w:t>
      </w:r>
      <w:r w:rsidRPr="00D27437">
        <w:t xml:space="preserve">he overwhelming majority of these patients will not have Ebola or other </w:t>
      </w:r>
      <w:r>
        <w:t>viral hemorrhagic fevers (</w:t>
      </w:r>
      <w:r w:rsidRPr="00D27437">
        <w:t>VHF</w:t>
      </w:r>
      <w:r>
        <w:t>)</w:t>
      </w:r>
      <w:r w:rsidRPr="00D27437">
        <w:t xml:space="preserve">, but many will be sick and will require </w:t>
      </w:r>
      <w:r>
        <w:t xml:space="preserve">timely </w:t>
      </w:r>
      <w:r w:rsidRPr="00D27437">
        <w:t xml:space="preserve">diagnostic testing.  </w:t>
      </w:r>
      <w:r>
        <w:t xml:space="preserve">It is important to recognize </w:t>
      </w:r>
      <w:r w:rsidRPr="00D27437">
        <w:t xml:space="preserve">that </w:t>
      </w:r>
      <w:r>
        <w:t xml:space="preserve">the </w:t>
      </w:r>
      <w:r w:rsidRPr="00D27437">
        <w:t>appl</w:t>
      </w:r>
      <w:r>
        <w:t>ication of</w:t>
      </w:r>
      <w:r w:rsidRPr="00D27437">
        <w:t xml:space="preserve"> </w:t>
      </w:r>
      <w:r w:rsidR="00FD189B">
        <w:t xml:space="preserve">overly </w:t>
      </w:r>
      <w:bookmarkStart w:id="1" w:name="_GoBack"/>
      <w:bookmarkEnd w:id="1"/>
      <w:r w:rsidRPr="00D27437">
        <w:t xml:space="preserve">restrictive testing approaches </w:t>
      </w:r>
      <w:r w:rsidRPr="00822545">
        <w:t>that go beyond the interim CDC guidance could be detrimental to patient care and might result in adverse outcomes.</w:t>
      </w:r>
    </w:p>
    <w:p w:rsidR="00E86A8E" w:rsidRPr="00E86A8E" w:rsidRDefault="00E86A8E" w:rsidP="00E86A8E">
      <w:r w:rsidRPr="00822545">
        <w:t xml:space="preserve">In order to ensure the safety of laboratory staff and other healthcare personnel collecting or handling specimens, CDC recommends that </w:t>
      </w:r>
      <w:r w:rsidRPr="005F4561">
        <w:t xml:space="preserve">established </w:t>
      </w:r>
      <w:r w:rsidRPr="005A2EFB">
        <w:t>OSHA bloodborne pathogens standards</w:t>
      </w:r>
      <w:r>
        <w:t xml:space="preserve"> be followed. </w:t>
      </w:r>
      <w:r w:rsidRPr="00822545">
        <w:t xml:space="preserve"> During specimen collection, CDC recommends using personal protective equipment such as full face shield or goggles, masks to cover all of the nose and mouth, gloves, and fluid-resistant or -impermeable gowns. </w:t>
      </w:r>
      <w:r>
        <w:t xml:space="preserve"> A</w:t>
      </w:r>
      <w:r w:rsidRPr="00822545">
        <w:t xml:space="preserve">dditional personal protective gear might be required in certain </w:t>
      </w:r>
      <w:r w:rsidRPr="000D6DC6">
        <w:t>situations</w:t>
      </w:r>
      <w:r>
        <w:t>, such as aerosol generating procedures</w:t>
      </w:r>
      <w:r w:rsidRPr="000D6DC6">
        <w:t xml:space="preserve">.  During laboratory testing, </w:t>
      </w:r>
      <w:r>
        <w:t>CDC</w:t>
      </w:r>
      <w:r w:rsidRPr="000D6DC6">
        <w:t xml:space="preserve"> recommend</w:t>
      </w:r>
      <w:r>
        <w:t>s</w:t>
      </w:r>
      <w:r w:rsidRPr="000D6DC6">
        <w:t xml:space="preserve"> using personal protective equipment </w:t>
      </w:r>
      <w:r>
        <w:t xml:space="preserve">(PPE) </w:t>
      </w:r>
      <w:r w:rsidRPr="000D6DC6">
        <w:t xml:space="preserve">such as full face shield or goggles, masks to cover all of the nose and mouth, gloves, fluid-resistant or -impermeable gowns, </w:t>
      </w:r>
      <w:r w:rsidRPr="00626725">
        <w:rPr>
          <w:rStyle w:val="Emphasis"/>
          <w:rFonts w:cs="Arial"/>
        </w:rPr>
        <w:t>and</w:t>
      </w:r>
      <w:r w:rsidRPr="000D6DC6">
        <w:rPr>
          <w:rStyle w:val="Emphasis"/>
          <w:rFonts w:cs="Arial"/>
          <w:sz w:val="24"/>
          <w:szCs w:val="24"/>
        </w:rPr>
        <w:t xml:space="preserve"> </w:t>
      </w:r>
      <w:r w:rsidRPr="000D6DC6">
        <w:t>use of a certified class II Biosafety cabinet or Plexiglas splash guard, as well as manufacturer-installed safety features for instruments.</w:t>
      </w:r>
      <w:r>
        <w:t xml:space="preserve">  </w:t>
      </w:r>
      <w:r w:rsidRPr="000D6DC6">
        <w:t>If hospitals follow OSHA standards, and if lab personnel use appropriate personal protective equipment and adhere to engineered standards, they will not need additional safety measures.</w:t>
      </w:r>
      <w:r>
        <w:t xml:space="preserve">  Portions of the ASM guidelines are more restrictive than the CDC guidelines.  Because s</w:t>
      </w:r>
      <w:r w:rsidRPr="00E92D57">
        <w:t xml:space="preserve">pecimens from suspect HFV patients may arrive </w:t>
      </w:r>
      <w:r>
        <w:t>in the</w:t>
      </w:r>
      <w:r w:rsidRPr="00E92D57">
        <w:t xml:space="preserve"> lab without the </w:t>
      </w:r>
      <w:r>
        <w:t xml:space="preserve">lab personnel’s </w:t>
      </w:r>
      <w:r w:rsidRPr="00E92D57">
        <w:t>knowledge</w:t>
      </w:r>
      <w:r>
        <w:t>,</w:t>
      </w:r>
      <w:r w:rsidRPr="00E92D57">
        <w:t xml:space="preserve"> all laboratory testing must follow standard precautions</w:t>
      </w:r>
      <w:r>
        <w:t>, at a minimum</w:t>
      </w:r>
      <w:r w:rsidRPr="00E92D57">
        <w:t xml:space="preserve">. </w:t>
      </w:r>
      <w:r>
        <w:t xml:space="preserve"> T</w:t>
      </w:r>
      <w:r w:rsidRPr="000D6DC6">
        <w:t xml:space="preserve">he additional personal protective gear and special equipment used by CDC lab workers in </w:t>
      </w:r>
      <w:r>
        <w:t>their</w:t>
      </w:r>
      <w:r w:rsidRPr="000D6DC6">
        <w:t xml:space="preserve"> BSL4 labs are because of the additional testing and experiments </w:t>
      </w:r>
      <w:r>
        <w:t>used to</w:t>
      </w:r>
      <w:r w:rsidRPr="000D6DC6">
        <w:t xml:space="preserve"> investigate the </w:t>
      </w:r>
      <w:r>
        <w:t xml:space="preserve">Ebola </w:t>
      </w:r>
      <w:r w:rsidRPr="000D6DC6">
        <w:t>virus</w:t>
      </w:r>
      <w:r>
        <w:t>,</w:t>
      </w:r>
      <w:r w:rsidRPr="000D6DC6">
        <w:t xml:space="preserve"> includ</w:t>
      </w:r>
      <w:r>
        <w:t>ing</w:t>
      </w:r>
      <w:r w:rsidRPr="000D6DC6">
        <w:t xml:space="preserve"> virus isolation in cell culture, small animal studies to determine pathogenicity, and production of reagents.</w:t>
      </w:r>
    </w:p>
    <w:p w:rsidR="00FC57B4" w:rsidRDefault="008543FC" w:rsidP="00993DDC">
      <w:pPr>
        <w:pStyle w:val="Heading1"/>
      </w:pPr>
      <w:bookmarkStart w:id="2" w:name="_Toc405992082"/>
      <w:r>
        <w:t>Procedure</w:t>
      </w:r>
      <w:bookmarkEnd w:id="2"/>
    </w:p>
    <w:p w:rsidR="00E86A8E" w:rsidRPr="00124C58" w:rsidRDefault="00E86A8E" w:rsidP="00E86A8E">
      <w:r>
        <w:t>Follow the general Ebola Virus Disease Safety Guidelines for the laboratory for specimen collection, transport, and specimen processing.</w:t>
      </w:r>
    </w:p>
    <w:p w:rsidR="00E86A8E" w:rsidRPr="00124C58" w:rsidRDefault="00E86A8E" w:rsidP="00E86A8E">
      <w:r>
        <w:t>Microbiology</w:t>
      </w:r>
      <w:r w:rsidRPr="00124C58">
        <w:t xml:space="preserve"> testing personnel should wear </w:t>
      </w:r>
      <w:r>
        <w:t xml:space="preserve">double </w:t>
      </w:r>
      <w:r w:rsidRPr="00124C58">
        <w:t>gloves, a fluid-resistant or impermeable gown/lab</w:t>
      </w:r>
      <w:r>
        <w:t xml:space="preserve"> </w:t>
      </w:r>
      <w:r w:rsidRPr="00124C58">
        <w:t>coat, a full face shield or goggles, and a</w:t>
      </w:r>
      <w:r>
        <w:t>n N95</w:t>
      </w:r>
      <w:r w:rsidRPr="00124C58">
        <w:t xml:space="preserve"> mask to cover all of the nose and mouth AND use a certified class II biosafety cabinet </w:t>
      </w:r>
      <w:r>
        <w:t>in the BSL-3 lab, when performing any of the work outlined below on any specimens from patients with possible Ebola</w:t>
      </w:r>
      <w:r w:rsidRPr="00124C58">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7280"/>
      </w:tblGrid>
      <w:tr w:rsidR="00E86A8E" w:rsidRPr="00626725" w:rsidTr="00434D9B">
        <w:trPr>
          <w:trHeight w:val="4688"/>
        </w:trPr>
        <w:tc>
          <w:tcPr>
            <w:tcW w:w="2296" w:type="dxa"/>
            <w:shd w:val="clear" w:color="auto" w:fill="auto"/>
          </w:tcPr>
          <w:p w:rsidR="00E86A8E" w:rsidRPr="00626725" w:rsidRDefault="00E86A8E" w:rsidP="00E86A8E">
            <w:pPr>
              <w:spacing w:before="120"/>
              <w:ind w:left="0"/>
              <w:rPr>
                <w:rFonts w:cs="Arial"/>
                <w:bCs/>
                <w:color w:val="7030A0"/>
              </w:rPr>
            </w:pPr>
            <w:r w:rsidRPr="00626725">
              <w:rPr>
                <w:rFonts w:cs="Arial"/>
                <w:bCs/>
              </w:rPr>
              <w:lastRenderedPageBreak/>
              <w:t>Blood Cultures</w:t>
            </w:r>
            <w:r w:rsidRPr="00626725">
              <w:rPr>
                <w:rFonts w:cs="Arial"/>
                <w:bCs/>
                <w:color w:val="7030A0"/>
              </w:rPr>
              <w:t>:</w:t>
            </w:r>
          </w:p>
          <w:p w:rsidR="00E86A8E" w:rsidRPr="00626725" w:rsidRDefault="00E86A8E" w:rsidP="00E86A8E">
            <w:pPr>
              <w:spacing w:before="120"/>
              <w:ind w:left="0"/>
              <w:rPr>
                <w:rFonts w:cs="Arial"/>
                <w:bCs/>
              </w:rPr>
            </w:pPr>
            <w:r w:rsidRPr="00626725">
              <w:rPr>
                <w:rFonts w:cs="Arial"/>
                <w:bCs/>
              </w:rPr>
              <w:t>Perform only if required and minimize blood draws for blood cultures.</w:t>
            </w:r>
          </w:p>
          <w:p w:rsidR="00E86A8E" w:rsidRPr="00626725" w:rsidRDefault="00E86A8E" w:rsidP="00434D9B">
            <w:pPr>
              <w:spacing w:before="120"/>
              <w:rPr>
                <w:rFonts w:cs="Arial"/>
              </w:rPr>
            </w:pPr>
          </w:p>
        </w:tc>
        <w:tc>
          <w:tcPr>
            <w:tcW w:w="7280" w:type="dxa"/>
            <w:shd w:val="clear" w:color="auto" w:fill="auto"/>
          </w:tcPr>
          <w:p w:rsidR="00E86A8E" w:rsidRPr="00626725" w:rsidRDefault="00E86A8E" w:rsidP="00E86A8E">
            <w:pPr>
              <w:ind w:left="0"/>
              <w:rPr>
                <w:rFonts w:cs="Arial"/>
              </w:rPr>
            </w:pPr>
            <w:r w:rsidRPr="00626725">
              <w:rPr>
                <w:rFonts w:cs="Arial"/>
              </w:rPr>
              <w:t xml:space="preserve">Wipe the outside of the bottles, including the rubber septum, with bleach and place an orange dot on top of the septum, and inspect for any signs of breakage and positivity before loading onto the blood culture instrument. If the blood culture bottles are flagged as positive, or if they show any sign of positivity upon visual inspection, unload the bottles from the instrument, and place the bottle(s) into a Zip lock bag in a rigid plastic container, and transport to a biosafety cabinet in the BSL-3 lab.  </w:t>
            </w:r>
            <w:r w:rsidR="00BE01D4">
              <w:rPr>
                <w:rFonts w:cs="Arial"/>
              </w:rPr>
              <w:t>No work should be performed until t</w:t>
            </w:r>
            <w:r w:rsidRPr="00626725">
              <w:rPr>
                <w:rFonts w:cs="Arial"/>
              </w:rPr>
              <w:t xml:space="preserve">he director and supervisor </w:t>
            </w:r>
            <w:r w:rsidR="00BE01D4">
              <w:rPr>
                <w:rFonts w:cs="Arial"/>
              </w:rPr>
              <w:t>are</w:t>
            </w:r>
            <w:r w:rsidRPr="00626725">
              <w:rPr>
                <w:rFonts w:cs="Arial"/>
              </w:rPr>
              <w:t xml:space="preserve"> informed of positive cultures.  </w:t>
            </w:r>
          </w:p>
          <w:p w:rsidR="00E86A8E" w:rsidRPr="00626725" w:rsidRDefault="00E86A8E" w:rsidP="00E86A8E">
            <w:pPr>
              <w:numPr>
                <w:ilvl w:val="0"/>
                <w:numId w:val="41"/>
              </w:numPr>
              <w:overflowPunct/>
              <w:autoSpaceDE/>
              <w:autoSpaceDN/>
              <w:adjustRightInd/>
              <w:spacing w:before="0"/>
              <w:ind w:left="0"/>
              <w:textAlignment w:val="auto"/>
              <w:rPr>
                <w:rFonts w:eastAsia="Calibri" w:cs="Arial"/>
              </w:rPr>
            </w:pPr>
            <w:r w:rsidRPr="00626725">
              <w:rPr>
                <w:rFonts w:eastAsia="Calibri" w:cs="Arial"/>
                <w:color w:val="000000"/>
              </w:rPr>
              <w:t xml:space="preserve">Prepare slides for Gram stain, and allow </w:t>
            </w:r>
            <w:proofErr w:type="gramStart"/>
            <w:r w:rsidRPr="00626725">
              <w:rPr>
                <w:rFonts w:eastAsia="Calibri" w:cs="Arial"/>
                <w:color w:val="000000"/>
              </w:rPr>
              <w:t>to dry</w:t>
            </w:r>
            <w:proofErr w:type="gramEnd"/>
            <w:r w:rsidRPr="00626725">
              <w:rPr>
                <w:rFonts w:eastAsia="Calibri" w:cs="Arial"/>
                <w:color w:val="000000"/>
              </w:rPr>
              <w:t xml:space="preserve"> under the hood.</w:t>
            </w:r>
          </w:p>
          <w:p w:rsidR="00E86A8E" w:rsidRPr="00626725" w:rsidRDefault="00E86A8E" w:rsidP="00E86A8E">
            <w:pPr>
              <w:numPr>
                <w:ilvl w:val="0"/>
                <w:numId w:val="41"/>
              </w:numPr>
              <w:overflowPunct/>
              <w:autoSpaceDE/>
              <w:autoSpaceDN/>
              <w:adjustRightInd/>
              <w:spacing w:before="0"/>
              <w:ind w:left="0"/>
              <w:textAlignment w:val="auto"/>
              <w:rPr>
                <w:rFonts w:eastAsia="Calibri" w:cs="Arial"/>
              </w:rPr>
            </w:pPr>
            <w:r w:rsidRPr="00626725">
              <w:rPr>
                <w:rFonts w:eastAsia="Calibri" w:cs="Arial"/>
              </w:rPr>
              <w:t xml:space="preserve">Fix the blood smear in methanol for 30 min.  Perform testing of the gram stain QC smear in this same manner.  </w:t>
            </w:r>
          </w:p>
          <w:p w:rsidR="00E86A8E" w:rsidRPr="00626725" w:rsidRDefault="00E86A8E" w:rsidP="00E86A8E">
            <w:pPr>
              <w:numPr>
                <w:ilvl w:val="0"/>
                <w:numId w:val="41"/>
              </w:numPr>
              <w:overflowPunct/>
              <w:autoSpaceDE/>
              <w:autoSpaceDN/>
              <w:adjustRightInd/>
              <w:spacing w:before="0"/>
              <w:ind w:left="0"/>
              <w:textAlignment w:val="auto"/>
              <w:rPr>
                <w:rFonts w:eastAsia="Calibri" w:cs="Arial"/>
              </w:rPr>
            </w:pPr>
            <w:r w:rsidRPr="00626725">
              <w:rPr>
                <w:rFonts w:cs="Arial"/>
              </w:rPr>
              <w:t xml:space="preserve">The smears can then be </w:t>
            </w:r>
            <w:r w:rsidRPr="00626725">
              <w:rPr>
                <w:rFonts w:eastAsia="Calibri" w:cs="Arial"/>
                <w:color w:val="000000"/>
              </w:rPr>
              <w:t>stained and read as usual.</w:t>
            </w:r>
          </w:p>
          <w:p w:rsidR="00E86A8E" w:rsidRPr="00626725" w:rsidRDefault="00E86A8E" w:rsidP="00E86A8E">
            <w:pPr>
              <w:ind w:left="0"/>
              <w:rPr>
                <w:rFonts w:eastAsia="Calibri" w:cs="Arial"/>
              </w:rPr>
            </w:pPr>
            <w:r w:rsidRPr="00626725">
              <w:rPr>
                <w:rFonts w:eastAsia="Calibri" w:cs="Arial"/>
                <w:b/>
                <w:bCs/>
              </w:rPr>
              <w:t xml:space="preserve">Do not perform any direct testing, such as disk diffusion or tube coagulase or </w:t>
            </w:r>
            <w:proofErr w:type="spellStart"/>
            <w:r w:rsidRPr="00626725">
              <w:rPr>
                <w:rFonts w:eastAsia="Calibri" w:cs="Arial"/>
                <w:b/>
                <w:bCs/>
              </w:rPr>
              <w:t>BioFire</w:t>
            </w:r>
            <w:proofErr w:type="spellEnd"/>
            <w:r w:rsidRPr="00626725">
              <w:rPr>
                <w:rFonts w:eastAsia="Calibri" w:cs="Arial"/>
                <w:b/>
                <w:bCs/>
              </w:rPr>
              <w:t>, on positive blood cultures.</w:t>
            </w:r>
            <w:r w:rsidRPr="00626725">
              <w:rPr>
                <w:rFonts w:eastAsia="Calibri" w:cs="Arial"/>
              </w:rPr>
              <w:t xml:space="preserve">   </w:t>
            </w:r>
          </w:p>
          <w:p w:rsidR="00E86A8E" w:rsidRPr="00626725" w:rsidRDefault="00626725" w:rsidP="00E86A8E">
            <w:pPr>
              <w:ind w:left="0"/>
              <w:rPr>
                <w:rFonts w:eastAsia="Calibri" w:cs="Arial"/>
              </w:rPr>
            </w:pPr>
            <w:r>
              <w:rPr>
                <w:rFonts w:eastAsia="Calibri" w:cs="Arial"/>
                <w:color w:val="000000"/>
              </w:rPr>
              <w:t>Working in the biosafety cabinet, i</w:t>
            </w:r>
            <w:r w:rsidR="00E86A8E" w:rsidRPr="00626725">
              <w:rPr>
                <w:rFonts w:eastAsia="Calibri" w:cs="Arial"/>
                <w:color w:val="000000"/>
              </w:rPr>
              <w:t>noculate plates as per protocol based on Gram stain result.</w:t>
            </w:r>
          </w:p>
          <w:p w:rsidR="00E86A8E" w:rsidRPr="00626725" w:rsidRDefault="00E86A8E" w:rsidP="00E86A8E">
            <w:pPr>
              <w:numPr>
                <w:ilvl w:val="0"/>
                <w:numId w:val="42"/>
              </w:numPr>
              <w:overflowPunct/>
              <w:autoSpaceDE/>
              <w:autoSpaceDN/>
              <w:adjustRightInd/>
              <w:spacing w:before="0"/>
              <w:ind w:left="0"/>
              <w:textAlignment w:val="auto"/>
              <w:rPr>
                <w:rFonts w:eastAsia="Calibri" w:cs="Arial"/>
              </w:rPr>
            </w:pPr>
            <w:r w:rsidRPr="00626725">
              <w:rPr>
                <w:rFonts w:eastAsia="Calibri" w:cs="Arial"/>
              </w:rPr>
              <w:t>Use tape on all sub-cultured plates; place plates in a biohazard bag, and incubate in the AFB room in the 35</w:t>
            </w:r>
            <w:r w:rsidRPr="00626725">
              <w:rPr>
                <w:rFonts w:eastAsia="Calibri" w:cs="Arial"/>
                <w:vertAlign w:val="superscript"/>
              </w:rPr>
              <w:t>o</w:t>
            </w:r>
            <w:r w:rsidRPr="00626725">
              <w:rPr>
                <w:rFonts w:eastAsia="Calibri" w:cs="Arial"/>
              </w:rPr>
              <w:t>C CO</w:t>
            </w:r>
            <w:r w:rsidRPr="00626725">
              <w:rPr>
                <w:rFonts w:eastAsia="Calibri" w:cs="Arial"/>
                <w:vertAlign w:val="subscript"/>
              </w:rPr>
              <w:t>2</w:t>
            </w:r>
            <w:r w:rsidRPr="00626725">
              <w:rPr>
                <w:rFonts w:eastAsia="Calibri" w:cs="Arial"/>
              </w:rPr>
              <w:t xml:space="preserve"> incubator.  Use gas packs for anaerobic subcultures.</w:t>
            </w:r>
          </w:p>
          <w:p w:rsidR="00E86A8E" w:rsidRPr="00626725" w:rsidRDefault="00E86A8E" w:rsidP="00E86A8E">
            <w:pPr>
              <w:numPr>
                <w:ilvl w:val="0"/>
                <w:numId w:val="42"/>
              </w:numPr>
              <w:overflowPunct/>
              <w:autoSpaceDE/>
              <w:autoSpaceDN/>
              <w:adjustRightInd/>
              <w:spacing w:before="0"/>
              <w:ind w:left="0"/>
              <w:textAlignment w:val="auto"/>
              <w:rPr>
                <w:rFonts w:eastAsia="Calibri" w:cs="Arial"/>
              </w:rPr>
            </w:pPr>
            <w:r w:rsidRPr="00626725">
              <w:rPr>
                <w:rFonts w:eastAsia="Calibri" w:cs="Arial"/>
              </w:rPr>
              <w:t xml:space="preserve">Examine plates for growth </w:t>
            </w:r>
            <w:r w:rsidRPr="00626725">
              <w:rPr>
                <w:rFonts w:cs="Arial"/>
              </w:rPr>
              <w:t>in a biosafety cabinet in the AFB Room</w:t>
            </w:r>
            <w:r w:rsidRPr="00626725">
              <w:rPr>
                <w:rFonts w:eastAsia="Calibri" w:cs="Arial"/>
              </w:rPr>
              <w:t xml:space="preserve">.   </w:t>
            </w:r>
          </w:p>
          <w:p w:rsidR="00E86A8E" w:rsidRPr="00626725" w:rsidRDefault="00E86A8E" w:rsidP="00E86A8E">
            <w:pPr>
              <w:numPr>
                <w:ilvl w:val="0"/>
                <w:numId w:val="42"/>
              </w:numPr>
              <w:overflowPunct/>
              <w:autoSpaceDE/>
              <w:autoSpaceDN/>
              <w:adjustRightInd/>
              <w:spacing w:before="0"/>
              <w:ind w:left="0"/>
              <w:textAlignment w:val="auto"/>
              <w:rPr>
                <w:rFonts w:eastAsia="Calibri" w:cs="Arial"/>
              </w:rPr>
            </w:pPr>
            <w:r w:rsidRPr="00626725">
              <w:rPr>
                <w:rFonts w:eastAsia="Calibri" w:cs="Arial"/>
              </w:rPr>
              <w:t>Perform all spot testing and inoculations of appropriate ID/AST systems from isolated colonies in a biosafety hood in the BSL-3 lab.  This work will be performed in consultation with the director and supervisor on a case by case basis.</w:t>
            </w:r>
          </w:p>
        </w:tc>
      </w:tr>
      <w:tr w:rsidR="00E86A8E" w:rsidRPr="00626725" w:rsidTr="00434D9B">
        <w:tc>
          <w:tcPr>
            <w:tcW w:w="2296" w:type="dxa"/>
            <w:shd w:val="clear" w:color="auto" w:fill="auto"/>
          </w:tcPr>
          <w:p w:rsidR="00E86A8E" w:rsidRPr="00626725" w:rsidRDefault="00E86A8E" w:rsidP="00E86A8E">
            <w:pPr>
              <w:spacing w:before="120"/>
              <w:ind w:left="0"/>
              <w:rPr>
                <w:rFonts w:cs="Arial"/>
                <w:bCs/>
              </w:rPr>
            </w:pPr>
            <w:r w:rsidRPr="00626725">
              <w:rPr>
                <w:rFonts w:cs="Arial"/>
                <w:bCs/>
              </w:rPr>
              <w:t xml:space="preserve">Other specimens for bacterial culture: </w:t>
            </w:r>
          </w:p>
          <w:p w:rsidR="00E86A8E" w:rsidRPr="00626725" w:rsidRDefault="00E86A8E" w:rsidP="00E86A8E">
            <w:pPr>
              <w:spacing w:before="120"/>
              <w:ind w:left="0"/>
              <w:rPr>
                <w:rFonts w:cs="Arial"/>
                <w:bCs/>
              </w:rPr>
            </w:pPr>
            <w:r w:rsidRPr="00626725">
              <w:rPr>
                <w:rFonts w:cs="Arial"/>
                <w:b/>
                <w:bCs/>
              </w:rPr>
              <w:t xml:space="preserve">Unless critically needed, do not perform.  </w:t>
            </w:r>
          </w:p>
          <w:p w:rsidR="00E86A8E" w:rsidRPr="00626725" w:rsidRDefault="00E86A8E" w:rsidP="00434D9B">
            <w:pPr>
              <w:spacing w:before="100" w:beforeAutospacing="1" w:after="100" w:afterAutospacing="1"/>
              <w:rPr>
                <w:rFonts w:cs="Arial"/>
              </w:rPr>
            </w:pPr>
          </w:p>
        </w:tc>
        <w:tc>
          <w:tcPr>
            <w:tcW w:w="7280" w:type="dxa"/>
            <w:shd w:val="clear" w:color="auto" w:fill="auto"/>
          </w:tcPr>
          <w:p w:rsidR="00E86A8E" w:rsidRPr="00626725" w:rsidRDefault="00E86A8E" w:rsidP="00E86A8E">
            <w:pPr>
              <w:spacing w:before="120"/>
              <w:ind w:left="0"/>
              <w:rPr>
                <w:rFonts w:cs="Arial"/>
              </w:rPr>
            </w:pPr>
            <w:r w:rsidRPr="00626725">
              <w:rPr>
                <w:rFonts w:cs="Arial"/>
              </w:rPr>
              <w:t xml:space="preserve">If centrifugation is necessary, use covered carriers as for AFB processing.  If specimens show signs of breakage or leakage – </w:t>
            </w:r>
            <w:r w:rsidRPr="00626725">
              <w:rPr>
                <w:rFonts w:cs="Arial"/>
                <w:b/>
              </w:rPr>
              <w:t>do not open</w:t>
            </w:r>
            <w:r w:rsidRPr="00626725">
              <w:rPr>
                <w:rFonts w:cs="Arial"/>
              </w:rPr>
              <w:t xml:space="preserve">.  Consult with the Microbiology Director or supervisor.  </w:t>
            </w:r>
          </w:p>
          <w:p w:rsidR="00E86A8E" w:rsidRPr="00626725" w:rsidRDefault="00E86A8E" w:rsidP="00E86A8E">
            <w:pPr>
              <w:spacing w:before="0"/>
              <w:ind w:left="0"/>
              <w:rPr>
                <w:rFonts w:cs="Arial"/>
              </w:rPr>
            </w:pPr>
            <w:r w:rsidRPr="00626725">
              <w:rPr>
                <w:rFonts w:cs="Arial"/>
              </w:rPr>
              <w:t xml:space="preserve">Gram stains may be prepared as directed in the Blood culture section above.  </w:t>
            </w:r>
          </w:p>
          <w:p w:rsidR="00E86A8E" w:rsidRPr="00626725" w:rsidRDefault="00E86A8E" w:rsidP="00E86A8E">
            <w:pPr>
              <w:spacing w:before="0"/>
              <w:ind w:left="0"/>
              <w:rPr>
                <w:rFonts w:cs="Arial"/>
              </w:rPr>
            </w:pPr>
            <w:r w:rsidRPr="00626725">
              <w:rPr>
                <w:rFonts w:cs="Arial"/>
              </w:rPr>
              <w:t xml:space="preserve">Seal culture plates.  </w:t>
            </w:r>
            <w:r w:rsidRPr="00626725">
              <w:rPr>
                <w:rFonts w:eastAsia="Calibri" w:cs="Arial"/>
              </w:rPr>
              <w:t xml:space="preserve">Perform all spot testing and inoculations of appropriate ID/AST systems from isolated colonies in a biosafety hood in the AFB room.  </w:t>
            </w:r>
          </w:p>
        </w:tc>
      </w:tr>
      <w:tr w:rsidR="00E86A8E" w:rsidRPr="00626725" w:rsidTr="00434D9B">
        <w:tc>
          <w:tcPr>
            <w:tcW w:w="2296" w:type="dxa"/>
            <w:shd w:val="clear" w:color="auto" w:fill="auto"/>
          </w:tcPr>
          <w:p w:rsidR="00E86A8E" w:rsidRPr="00626725" w:rsidRDefault="00E86A8E" w:rsidP="00E86A8E">
            <w:pPr>
              <w:spacing w:before="120"/>
              <w:ind w:left="0"/>
              <w:rPr>
                <w:rFonts w:cs="Arial"/>
                <w:bCs/>
              </w:rPr>
            </w:pPr>
            <w:r w:rsidRPr="00626725">
              <w:rPr>
                <w:rFonts w:cs="Arial"/>
                <w:bCs/>
              </w:rPr>
              <w:t>Specimen storage:</w:t>
            </w:r>
          </w:p>
          <w:p w:rsidR="00E86A8E" w:rsidRPr="00626725" w:rsidRDefault="00E86A8E" w:rsidP="00434D9B">
            <w:pPr>
              <w:spacing w:before="120"/>
              <w:rPr>
                <w:rFonts w:cs="Arial"/>
              </w:rPr>
            </w:pPr>
          </w:p>
        </w:tc>
        <w:tc>
          <w:tcPr>
            <w:tcW w:w="7280" w:type="dxa"/>
            <w:shd w:val="clear" w:color="auto" w:fill="auto"/>
          </w:tcPr>
          <w:p w:rsidR="00E86A8E" w:rsidRPr="00626725" w:rsidRDefault="00E86A8E" w:rsidP="00E86A8E">
            <w:pPr>
              <w:spacing w:before="120"/>
              <w:ind w:left="0"/>
              <w:rPr>
                <w:rFonts w:cs="Arial"/>
              </w:rPr>
            </w:pPr>
            <w:r w:rsidRPr="00626725">
              <w:rPr>
                <w:rFonts w:cs="Arial"/>
              </w:rPr>
              <w:t xml:space="preserve">All specimen containers should be wiped with bleach, placed into Zip lock bags, then placed in a rigid plastic container and isolated until they can be autoclaved.  Long-term storage of specimens is not permitted for any suspect Ebola patient.    </w:t>
            </w:r>
          </w:p>
        </w:tc>
      </w:tr>
      <w:tr w:rsidR="00E86A8E" w:rsidRPr="00626725" w:rsidTr="00434D9B">
        <w:trPr>
          <w:trHeight w:val="512"/>
        </w:trPr>
        <w:tc>
          <w:tcPr>
            <w:tcW w:w="2296" w:type="dxa"/>
            <w:shd w:val="clear" w:color="auto" w:fill="auto"/>
          </w:tcPr>
          <w:p w:rsidR="00E86A8E" w:rsidRPr="00626725" w:rsidRDefault="00E86A8E" w:rsidP="00E86A8E">
            <w:pPr>
              <w:spacing w:before="120"/>
              <w:ind w:left="0"/>
              <w:rPr>
                <w:rFonts w:cs="Arial"/>
                <w:bCs/>
              </w:rPr>
            </w:pPr>
            <w:r w:rsidRPr="00626725">
              <w:rPr>
                <w:rFonts w:cs="Arial"/>
                <w:bCs/>
              </w:rPr>
              <w:t>Specimen disposal</w:t>
            </w:r>
          </w:p>
        </w:tc>
        <w:tc>
          <w:tcPr>
            <w:tcW w:w="7280" w:type="dxa"/>
            <w:shd w:val="clear" w:color="auto" w:fill="auto"/>
          </w:tcPr>
          <w:p w:rsidR="00E86A8E" w:rsidRPr="00626725" w:rsidRDefault="00E86A8E" w:rsidP="00E86A8E">
            <w:pPr>
              <w:spacing w:before="120"/>
              <w:ind w:left="0"/>
              <w:rPr>
                <w:rFonts w:cs="Arial"/>
              </w:rPr>
            </w:pPr>
            <w:r w:rsidRPr="00626725">
              <w:rPr>
                <w:rFonts w:cs="Arial"/>
              </w:rPr>
              <w:t xml:space="preserve">All specimens and cultures should be autoclaved prior to disposal. </w:t>
            </w:r>
          </w:p>
        </w:tc>
      </w:tr>
    </w:tbl>
    <w:p w:rsidR="00E86A8E" w:rsidRDefault="00E86A8E" w:rsidP="00E86A8E"/>
    <w:p w:rsidR="00626725" w:rsidRDefault="00626725" w:rsidP="00E86A8E"/>
    <w:p w:rsidR="00626725" w:rsidRDefault="00626725" w:rsidP="00E86A8E"/>
    <w:p w:rsidR="00626725" w:rsidRDefault="00626725" w:rsidP="00E86A8E"/>
    <w:p w:rsidR="00626725" w:rsidRDefault="00626725" w:rsidP="00E86A8E"/>
    <w:p w:rsidR="00626725" w:rsidRPr="00E86A8E" w:rsidRDefault="00626725" w:rsidP="00E86A8E"/>
    <w:p w:rsidR="00FC57B4" w:rsidRDefault="00FC57B4" w:rsidP="00074783">
      <w:pPr>
        <w:pStyle w:val="Heading1"/>
        <w:numPr>
          <w:ilvl w:val="0"/>
          <w:numId w:val="1"/>
        </w:numPr>
      </w:pPr>
      <w:bookmarkStart w:id="3" w:name="_Toc250715247"/>
      <w:bookmarkStart w:id="4" w:name="_Toc308000056"/>
      <w:bookmarkStart w:id="5" w:name="_Toc405992083"/>
      <w:r w:rsidRPr="00074783">
        <w:lastRenderedPageBreak/>
        <w:t>References</w:t>
      </w:r>
      <w:bookmarkEnd w:id="3"/>
      <w:bookmarkEnd w:id="4"/>
      <w:bookmarkEnd w:id="5"/>
    </w:p>
    <w:p w:rsidR="00E86A8E" w:rsidRPr="00626725" w:rsidRDefault="00E86A8E" w:rsidP="00E86A8E">
      <w:pPr>
        <w:pStyle w:val="ListParagraph"/>
        <w:numPr>
          <w:ilvl w:val="0"/>
          <w:numId w:val="43"/>
        </w:numPr>
        <w:spacing w:after="0"/>
        <w:rPr>
          <w:rFonts w:cs="Arial"/>
        </w:rPr>
      </w:pPr>
      <w:r w:rsidRPr="00626725">
        <w:rPr>
          <w:rFonts w:cs="Arial"/>
        </w:rPr>
        <w:t xml:space="preserve">ASM </w:t>
      </w:r>
      <w:r w:rsidRPr="00626725">
        <w:rPr>
          <w:rFonts w:cs="Arial"/>
          <w:bCs/>
        </w:rPr>
        <w:t xml:space="preserve">Interim Laboratory Guidelines for Handling/Testing Specimens from Cases or Suspected Cases of </w:t>
      </w:r>
      <w:r w:rsidRPr="00626725">
        <w:rPr>
          <w:rFonts w:cs="Arial"/>
        </w:rPr>
        <w:t>Hemorrhagic Fever Virus (HFV):</w:t>
      </w:r>
    </w:p>
    <w:p w:rsidR="00E86A8E" w:rsidRPr="00626725" w:rsidRDefault="00BE01D4" w:rsidP="00E86A8E">
      <w:pPr>
        <w:spacing w:before="0" w:after="0"/>
        <w:ind w:firstLine="360"/>
        <w:rPr>
          <w:rFonts w:cs="Arial"/>
        </w:rPr>
      </w:pPr>
      <w:hyperlink r:id="rId10" w:history="1">
        <w:r w:rsidR="00E86A8E" w:rsidRPr="00626725">
          <w:rPr>
            <w:rStyle w:val="Hyperlink"/>
            <w:rFonts w:cs="Arial"/>
          </w:rPr>
          <w:t>https://www.asm.org/images/PSAB/Ebola9-10-14.pdf</w:t>
        </w:r>
      </w:hyperlink>
    </w:p>
    <w:p w:rsidR="00E86A8E" w:rsidRPr="00626725" w:rsidRDefault="00E86A8E" w:rsidP="00E86A8E">
      <w:pPr>
        <w:pStyle w:val="ListParagraph"/>
        <w:numPr>
          <w:ilvl w:val="0"/>
          <w:numId w:val="43"/>
        </w:numPr>
        <w:spacing w:after="0"/>
        <w:rPr>
          <w:rFonts w:cs="Arial"/>
        </w:rPr>
      </w:pPr>
      <w:r w:rsidRPr="00626725">
        <w:rPr>
          <w:rFonts w:cs="Arial"/>
        </w:rPr>
        <w:t>CDC Guidelines</w:t>
      </w:r>
    </w:p>
    <w:p w:rsidR="00E86A8E" w:rsidRPr="00626725" w:rsidRDefault="00BE01D4" w:rsidP="00E86A8E">
      <w:pPr>
        <w:spacing w:before="0" w:after="0"/>
        <w:ind w:left="1080"/>
        <w:rPr>
          <w:rFonts w:cs="Arial"/>
        </w:rPr>
      </w:pPr>
      <w:hyperlink r:id="rId11" w:history="1">
        <w:r w:rsidR="00E86A8E" w:rsidRPr="00626725">
          <w:rPr>
            <w:rStyle w:val="Hyperlink"/>
            <w:rFonts w:cs="Arial"/>
          </w:rPr>
          <w:t>http://www.cdc.gov/vhf/ebola/hcp/interim-guidance-specimen-collection-submission-patients-suspected-infection-ebola.html</w:t>
        </w:r>
      </w:hyperlink>
    </w:p>
    <w:p w:rsidR="00E86A8E" w:rsidRPr="00626725" w:rsidRDefault="00E86A8E" w:rsidP="00E86A8E">
      <w:pPr>
        <w:pStyle w:val="ListParagraph"/>
        <w:numPr>
          <w:ilvl w:val="0"/>
          <w:numId w:val="43"/>
        </w:numPr>
        <w:rPr>
          <w:rFonts w:cs="Arial"/>
        </w:rPr>
      </w:pPr>
      <w:r w:rsidRPr="00626725">
        <w:rPr>
          <w:rFonts w:cs="Arial"/>
        </w:rPr>
        <w:t>Canadian Guidelines</w:t>
      </w:r>
    </w:p>
    <w:p w:rsidR="00E86A8E" w:rsidRPr="00E86A8E" w:rsidRDefault="00E86A8E" w:rsidP="00E86A8E">
      <w:pPr>
        <w:ind w:left="1080"/>
        <w:rPr>
          <w:rFonts w:cs="Arial"/>
          <w:sz w:val="24"/>
          <w:szCs w:val="24"/>
        </w:rPr>
      </w:pPr>
      <w:r w:rsidRPr="00E86A8E">
        <w:rPr>
          <w:rFonts w:cs="Arial"/>
          <w:sz w:val="24"/>
          <w:szCs w:val="24"/>
        </w:rPr>
        <w:object w:dxaOrig="1539" w:dyaOrig="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9.8pt" o:ole="">
            <v:imagedata r:id="rId12" o:title=""/>
          </v:shape>
          <o:OLEObject Type="Embed" ProgID="AcroExch.Document.7" ShapeID="_x0000_i1025" DrawAspect="Icon" ObjectID="_1479799034" r:id="rId13"/>
        </w:object>
      </w:r>
    </w:p>
    <w:p w:rsidR="00E86A8E" w:rsidRPr="00626725" w:rsidRDefault="00E86A8E" w:rsidP="00E86A8E">
      <w:pPr>
        <w:pStyle w:val="ListParagraph"/>
        <w:numPr>
          <w:ilvl w:val="0"/>
          <w:numId w:val="43"/>
        </w:numPr>
        <w:rPr>
          <w:rFonts w:cs="Arial"/>
        </w:rPr>
      </w:pPr>
      <w:r w:rsidRPr="00626725">
        <w:rPr>
          <w:rFonts w:cs="Arial"/>
        </w:rPr>
        <w:t>Australian Guidelines</w:t>
      </w:r>
    </w:p>
    <w:p w:rsidR="00E86A8E" w:rsidRPr="00124C58" w:rsidRDefault="00E86A8E" w:rsidP="00E86A8E">
      <w:pPr>
        <w:ind w:left="1080"/>
        <w:rPr>
          <w:rFonts w:cs="Arial"/>
          <w:b/>
          <w:sz w:val="24"/>
          <w:szCs w:val="24"/>
        </w:rPr>
      </w:pPr>
      <w:r w:rsidRPr="00124C58">
        <w:rPr>
          <w:rFonts w:cs="Arial"/>
          <w:b/>
          <w:sz w:val="24"/>
          <w:szCs w:val="24"/>
        </w:rPr>
        <w:object w:dxaOrig="1539" w:dyaOrig="996">
          <v:shape id="_x0000_i1026" type="#_x0000_t75" style="width:77.4pt;height:49.8pt" o:ole="">
            <v:imagedata r:id="rId14" o:title=""/>
          </v:shape>
          <o:OLEObject Type="Embed" ProgID="AcroExch.Document.7" ShapeID="_x0000_i1026" DrawAspect="Icon" ObjectID="_1479799035" r:id="rId15"/>
        </w:object>
      </w:r>
    </w:p>
    <w:p w:rsidR="00DF5E2C" w:rsidRDefault="00DF5E2C" w:rsidP="00DF5E2C">
      <w:pPr>
        <w:pStyle w:val="Heading1"/>
      </w:pPr>
      <w:bookmarkStart w:id="6" w:name="_Toc405992084"/>
      <w:r>
        <w:t>Document Control History</w:t>
      </w:r>
      <w:bookmarkEnd w:id="6"/>
    </w:p>
    <w:p w:rsidR="005A2EFB" w:rsidRPr="00626725" w:rsidRDefault="005A2EFB" w:rsidP="005A2EFB">
      <w:pPr>
        <w:rPr>
          <w:rFonts w:cs="Arial"/>
          <w:color w:val="0D0D0D"/>
        </w:rPr>
      </w:pPr>
      <w:r w:rsidRPr="00626725">
        <w:rPr>
          <w:rFonts w:cs="Arial"/>
          <w:color w:val="0D0D0D"/>
        </w:rPr>
        <w:t>Written by:</w:t>
      </w:r>
    </w:p>
    <w:p w:rsidR="005A2EFB" w:rsidRPr="00626725" w:rsidRDefault="005A2EFB" w:rsidP="005A2EFB">
      <w:pPr>
        <w:rPr>
          <w:rFonts w:cs="Arial"/>
          <w:color w:val="0D0D0D"/>
        </w:rPr>
      </w:pPr>
      <w:r w:rsidRPr="00626725">
        <w:rPr>
          <w:rFonts w:cs="Arial"/>
          <w:color w:val="0D0D0D"/>
        </w:rPr>
        <w:t>Ann Robinson, Ph.D., DABMM, FAAM</w:t>
      </w:r>
    </w:p>
    <w:p w:rsidR="005A2EFB" w:rsidRPr="00626725" w:rsidRDefault="005A2EFB" w:rsidP="005A2EFB">
      <w:pPr>
        <w:rPr>
          <w:rFonts w:cs="Arial"/>
          <w:color w:val="0D0D0D"/>
        </w:rPr>
      </w:pPr>
      <w:r w:rsidRPr="00626725">
        <w:rPr>
          <w:rFonts w:cs="Arial"/>
          <w:color w:val="0D0D0D"/>
        </w:rPr>
        <w:t>Director, Microbiology</w:t>
      </w:r>
    </w:p>
    <w:p w:rsidR="005A2EFB" w:rsidRPr="00626725" w:rsidRDefault="005A2EFB" w:rsidP="005A2EFB">
      <w:pPr>
        <w:rPr>
          <w:rFonts w:cs="Arial"/>
          <w:color w:val="0D0D0D"/>
        </w:rPr>
      </w:pPr>
      <w:r w:rsidRPr="00626725">
        <w:rPr>
          <w:rFonts w:cs="Arial"/>
          <w:color w:val="0D0D0D"/>
        </w:rPr>
        <w:t>Providence Sacred Heart Medical Center &amp; Children's Hospital</w:t>
      </w:r>
    </w:p>
    <w:p w:rsidR="005A2EFB" w:rsidRPr="00626725" w:rsidRDefault="005A2EFB" w:rsidP="005A2EFB">
      <w:pPr>
        <w:rPr>
          <w:rFonts w:cs="Arial"/>
          <w:color w:val="0D0D0D"/>
        </w:rPr>
      </w:pPr>
      <w:r w:rsidRPr="00626725">
        <w:rPr>
          <w:rFonts w:cs="Arial"/>
          <w:color w:val="0D0D0D"/>
        </w:rPr>
        <w:t>Spokane, WA 99220-2555</w:t>
      </w:r>
    </w:p>
    <w:p w:rsidR="005A2EFB" w:rsidRPr="005A2EFB" w:rsidRDefault="005A2EFB" w:rsidP="005A2EFB"/>
    <w:sectPr w:rsidR="005A2EFB" w:rsidRPr="005A2EFB" w:rsidSect="004F24B1">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4E2" w:rsidRDefault="00FA34E2">
      <w:r>
        <w:separator/>
      </w:r>
    </w:p>
  </w:endnote>
  <w:endnote w:type="continuationSeparator" w:id="0">
    <w:p w:rsidR="00FA34E2" w:rsidRDefault="00FA3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4E2" w:rsidRPr="00083B93" w:rsidRDefault="00FA34E2" w:rsidP="001D03A4">
    <w:pPr>
      <w:pStyle w:val="Footer"/>
      <w:ind w:left="0"/>
      <w:jc w:val="center"/>
      <w:rPr>
        <w:rStyle w:val="PageNumber"/>
        <w:sz w:val="20"/>
      </w:rPr>
    </w:pPr>
    <w:r w:rsidRPr="00083B93">
      <w:rPr>
        <w:rStyle w:val="PageNumber"/>
        <w:sz w:val="20"/>
      </w:rPr>
      <w:fldChar w:fldCharType="begin"/>
    </w:r>
    <w:r w:rsidRPr="00083B93">
      <w:rPr>
        <w:rStyle w:val="PageNumber"/>
        <w:sz w:val="20"/>
      </w:rPr>
      <w:instrText xml:space="preserve"> PAGE </w:instrText>
    </w:r>
    <w:r w:rsidRPr="00083B93">
      <w:rPr>
        <w:rStyle w:val="PageNumber"/>
        <w:sz w:val="20"/>
      </w:rPr>
      <w:fldChar w:fldCharType="separate"/>
    </w:r>
    <w:r w:rsidR="00BE01D4">
      <w:rPr>
        <w:rStyle w:val="PageNumber"/>
        <w:noProof/>
        <w:sz w:val="20"/>
      </w:rPr>
      <w:t>1</w:t>
    </w:r>
    <w:r w:rsidRPr="00083B93">
      <w:rPr>
        <w:rStyle w:val="PageNumber"/>
        <w:sz w:val="20"/>
      </w:rPr>
      <w:fldChar w:fldCharType="end"/>
    </w:r>
  </w:p>
  <w:p w:rsidR="001D03A4" w:rsidRPr="00083B93" w:rsidRDefault="001D03A4" w:rsidP="001D03A4">
    <w:pPr>
      <w:tabs>
        <w:tab w:val="center" w:pos="4680"/>
        <w:tab w:val="right" w:pos="9360"/>
      </w:tabs>
      <w:overflowPunct/>
      <w:autoSpaceDE/>
      <w:adjustRightInd/>
      <w:spacing w:before="0" w:after="0"/>
      <w:ind w:left="0"/>
      <w:jc w:val="center"/>
      <w:rPr>
        <w:rFonts w:ascii="Calibri" w:eastAsia="Calibri" w:hAnsi="Calibri"/>
        <w:sz w:val="16"/>
        <w:szCs w:val="16"/>
      </w:rPr>
    </w:pPr>
    <w:r w:rsidRPr="00083B93">
      <w:rPr>
        <w:rFonts w:ascii="Calibri" w:eastAsia="Calibri" w:hAnsi="Calibri"/>
        <w:sz w:val="16"/>
        <w:szCs w:val="16"/>
      </w:rPr>
      <w:t>If you are viewing this document outside of Polic</w:t>
    </w:r>
    <w:r>
      <w:rPr>
        <w:rFonts w:ascii="Calibri" w:eastAsia="Calibri" w:hAnsi="Calibri"/>
        <w:sz w:val="16"/>
        <w:szCs w:val="16"/>
      </w:rPr>
      <w:t>ies</w:t>
    </w:r>
    <w:r w:rsidRPr="00083B93">
      <w:rPr>
        <w:rFonts w:ascii="Calibri" w:eastAsia="Calibri" w:hAnsi="Calibri"/>
        <w:sz w:val="16"/>
        <w:szCs w:val="16"/>
      </w:rPr>
      <w:t xml:space="preserve"> and Procedure</w:t>
    </w:r>
    <w:r>
      <w:rPr>
        <w:rFonts w:ascii="Calibri" w:eastAsia="Calibri" w:hAnsi="Calibri"/>
        <w:sz w:val="16"/>
        <w:szCs w:val="16"/>
      </w:rPr>
      <w:t>s,</w:t>
    </w:r>
    <w:r w:rsidRPr="00083B93">
      <w:rPr>
        <w:rFonts w:ascii="Calibri" w:eastAsia="Calibri" w:hAnsi="Calibri"/>
        <w:sz w:val="16"/>
        <w:szCs w:val="16"/>
      </w:rPr>
      <w:t xml:space="preserve"> then this document is uncontrolled.</w:t>
    </w:r>
  </w:p>
  <w:p w:rsidR="001D03A4" w:rsidRPr="00083B93" w:rsidRDefault="001D03A4" w:rsidP="001D03A4">
    <w:pPr>
      <w:tabs>
        <w:tab w:val="center" w:pos="4680"/>
        <w:tab w:val="right" w:pos="9360"/>
      </w:tabs>
      <w:overflowPunct/>
      <w:autoSpaceDE/>
      <w:adjustRightInd/>
      <w:spacing w:before="0" w:after="0"/>
      <w:ind w:left="0"/>
      <w:jc w:val="center"/>
      <w:rPr>
        <w:rFonts w:ascii="Calibri" w:eastAsia="Calibri" w:hAnsi="Calibri"/>
        <w:sz w:val="16"/>
        <w:szCs w:val="16"/>
      </w:rPr>
    </w:pPr>
    <w:r w:rsidRPr="00083B93">
      <w:rPr>
        <w:rFonts w:ascii="Calibri" w:eastAsia="Calibri" w:hAnsi="Calibri"/>
        <w:sz w:val="16"/>
        <w:szCs w:val="16"/>
      </w:rPr>
      <w:t xml:space="preserve">Please </w:t>
    </w:r>
    <w:r>
      <w:rPr>
        <w:rFonts w:ascii="Calibri" w:eastAsia="Calibri" w:hAnsi="Calibri"/>
        <w:sz w:val="16"/>
        <w:szCs w:val="16"/>
      </w:rPr>
      <w:t>refer to the electronic copy</w:t>
    </w:r>
    <w:r w:rsidRPr="00083B93">
      <w:rPr>
        <w:rFonts w:ascii="Calibri" w:eastAsia="Calibri" w:hAnsi="Calibri"/>
        <w:sz w:val="16"/>
        <w:szCs w:val="16"/>
      </w:rPr>
      <w:t xml:space="preserve"> for the most current version of this document.</w:t>
    </w:r>
  </w:p>
  <w:p w:rsidR="00FA34E2" w:rsidRPr="00083B93" w:rsidRDefault="00FA34E2" w:rsidP="00DF5E2C">
    <w:pPr>
      <w:tabs>
        <w:tab w:val="center" w:pos="4680"/>
        <w:tab w:val="right" w:pos="9360"/>
      </w:tabs>
      <w:overflowPunct/>
      <w:autoSpaceDE/>
      <w:adjustRightInd/>
      <w:spacing w:before="0" w:after="0"/>
      <w:ind w:left="0"/>
      <w:jc w:val="center"/>
      <w:rPr>
        <w:rFonts w:ascii="Calibri" w:eastAsia="Calibri" w:hAnsi="Calibr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4E2" w:rsidRDefault="00FA34E2">
      <w:r>
        <w:separator/>
      </w:r>
    </w:p>
  </w:footnote>
  <w:footnote w:type="continuationSeparator" w:id="0">
    <w:p w:rsidR="00FA34E2" w:rsidRDefault="00FA34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83BD5"/>
    <w:multiLevelType w:val="hybridMultilevel"/>
    <w:tmpl w:val="B100D0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017CAF"/>
    <w:multiLevelType w:val="hybridMultilevel"/>
    <w:tmpl w:val="3B6041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9C4C8C"/>
    <w:multiLevelType w:val="hybridMultilevel"/>
    <w:tmpl w:val="72301146"/>
    <w:lvl w:ilvl="0" w:tplc="F00EF1B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074E47"/>
    <w:multiLevelType w:val="hybridMultilevel"/>
    <w:tmpl w:val="07C0D226"/>
    <w:lvl w:ilvl="0" w:tplc="54D0FF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4041394"/>
    <w:multiLevelType w:val="hybridMultilevel"/>
    <w:tmpl w:val="D78ED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151F76"/>
    <w:multiLevelType w:val="hybridMultilevel"/>
    <w:tmpl w:val="CDBC2138"/>
    <w:lvl w:ilvl="0" w:tplc="04090001">
      <w:start w:val="1"/>
      <w:numFmt w:val="bullet"/>
      <w:lvlText w:val=""/>
      <w:lvlJc w:val="left"/>
      <w:pPr>
        <w:ind w:left="1080" w:hanging="360"/>
      </w:pPr>
      <w:rPr>
        <w:rFonts w:ascii="Symbol" w:hAnsi="Symbol" w:hint="default"/>
      </w:rPr>
    </w:lvl>
    <w:lvl w:ilvl="1" w:tplc="AD18F6E2">
      <w:start w:val="1"/>
      <w:numFmt w:val="decimal"/>
      <w:lvlText w:val="%2."/>
      <w:lvlJc w:val="left"/>
      <w:pPr>
        <w:ind w:left="1800" w:hanging="360"/>
      </w:pPr>
      <w:rPr>
        <w:rFonts w:hint="default"/>
        <w:b w:val="0"/>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BA53E0D"/>
    <w:multiLevelType w:val="hybridMultilevel"/>
    <w:tmpl w:val="8EB4FD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C686564"/>
    <w:multiLevelType w:val="hybridMultilevel"/>
    <w:tmpl w:val="29DC2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0F3CE2"/>
    <w:multiLevelType w:val="hybridMultilevel"/>
    <w:tmpl w:val="D9784E7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8242BD4"/>
    <w:multiLevelType w:val="hybridMultilevel"/>
    <w:tmpl w:val="2A2060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AD02CD9"/>
    <w:multiLevelType w:val="hybridMultilevel"/>
    <w:tmpl w:val="43D47B5E"/>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B227966"/>
    <w:multiLevelType w:val="hybridMultilevel"/>
    <w:tmpl w:val="1068A82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1A28E2"/>
    <w:multiLevelType w:val="hybridMultilevel"/>
    <w:tmpl w:val="85D237A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C1C6BE8"/>
    <w:multiLevelType w:val="hybridMultilevel"/>
    <w:tmpl w:val="017413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DA55A39"/>
    <w:multiLevelType w:val="hybridMultilevel"/>
    <w:tmpl w:val="0BCA818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b w:val="0"/>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0E572F6"/>
    <w:multiLevelType w:val="hybridMultilevel"/>
    <w:tmpl w:val="2646AA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5400AAE"/>
    <w:multiLevelType w:val="hybridMultilevel"/>
    <w:tmpl w:val="B2F639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60F1035"/>
    <w:multiLevelType w:val="hybridMultilevel"/>
    <w:tmpl w:val="DDD6F7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6621661"/>
    <w:multiLevelType w:val="hybridMultilevel"/>
    <w:tmpl w:val="5878663C"/>
    <w:lvl w:ilvl="0" w:tplc="03089DE6">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6F75FBE"/>
    <w:multiLevelType w:val="hybridMultilevel"/>
    <w:tmpl w:val="943E9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83507A4"/>
    <w:multiLevelType w:val="hybridMultilevel"/>
    <w:tmpl w:val="9C2A80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2BD1477"/>
    <w:multiLevelType w:val="multilevel"/>
    <w:tmpl w:val="67B29E96"/>
    <w:styleLink w:val="StyleBulleted"/>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4AF4193"/>
    <w:multiLevelType w:val="hybridMultilevel"/>
    <w:tmpl w:val="BBB6EE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7640265"/>
    <w:multiLevelType w:val="hybridMultilevel"/>
    <w:tmpl w:val="244617D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A6F4EB4"/>
    <w:multiLevelType w:val="hybridMultilevel"/>
    <w:tmpl w:val="32F2E4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EF13E24"/>
    <w:multiLevelType w:val="hybridMultilevel"/>
    <w:tmpl w:val="6138FB00"/>
    <w:lvl w:ilvl="0" w:tplc="0409000F">
      <w:start w:val="1"/>
      <w:numFmt w:val="decimal"/>
      <w:lvlText w:val="%1."/>
      <w:lvlJc w:val="left"/>
      <w:pPr>
        <w:ind w:left="1545" w:hanging="360"/>
      </w:p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26">
    <w:nsid w:val="500C2E3B"/>
    <w:multiLevelType w:val="hybridMultilevel"/>
    <w:tmpl w:val="A232E7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22756D6"/>
    <w:multiLevelType w:val="hybridMultilevel"/>
    <w:tmpl w:val="3FE8053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577E3C9F"/>
    <w:multiLevelType w:val="hybridMultilevel"/>
    <w:tmpl w:val="2F2E814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8811C59"/>
    <w:multiLevelType w:val="hybridMultilevel"/>
    <w:tmpl w:val="C1EC1730"/>
    <w:lvl w:ilvl="0" w:tplc="F26E2C4E">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27852AF"/>
    <w:multiLevelType w:val="hybridMultilevel"/>
    <w:tmpl w:val="F14C7FC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34216D0"/>
    <w:multiLevelType w:val="hybridMultilevel"/>
    <w:tmpl w:val="615CA5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6F21364"/>
    <w:multiLevelType w:val="hybridMultilevel"/>
    <w:tmpl w:val="3B34C3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A8B1BF7"/>
    <w:multiLevelType w:val="hybridMultilevel"/>
    <w:tmpl w:val="38CAF4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4180BE4"/>
    <w:multiLevelType w:val="multilevel"/>
    <w:tmpl w:val="E1B45286"/>
    <w:lvl w:ilvl="0">
      <w:start w:val="1"/>
      <w:numFmt w:val="decimal"/>
      <w:pStyle w:val="Heading1"/>
      <w:lvlText w:val="%1.0"/>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720"/>
        </w:tabs>
        <w:ind w:left="72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nsid w:val="759C3754"/>
    <w:multiLevelType w:val="hybridMultilevel"/>
    <w:tmpl w:val="C0D8B8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66E1A65"/>
    <w:multiLevelType w:val="hybridMultilevel"/>
    <w:tmpl w:val="8E9EEE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756613C"/>
    <w:multiLevelType w:val="hybridMultilevel"/>
    <w:tmpl w:val="EA625D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9074E5D"/>
    <w:multiLevelType w:val="hybridMultilevel"/>
    <w:tmpl w:val="244617D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A57405D"/>
    <w:multiLevelType w:val="hybridMultilevel"/>
    <w:tmpl w:val="FEDE1C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CA2226F"/>
    <w:multiLevelType w:val="hybridMultilevel"/>
    <w:tmpl w:val="8752B5E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nsid w:val="7E0E20C2"/>
    <w:multiLevelType w:val="multilevel"/>
    <w:tmpl w:val="B39E5558"/>
    <w:styleLink w:val="StyleNumbered"/>
    <w:lvl w:ilvl="0">
      <w:start w:val="1"/>
      <w:numFmt w:val="decimal"/>
      <w:lvlText w:val="%1."/>
      <w:lvlJc w:val="left"/>
      <w:pPr>
        <w:tabs>
          <w:tab w:val="num" w:pos="1080"/>
        </w:tabs>
        <w:ind w:left="108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34"/>
  </w:num>
  <w:num w:numId="3">
    <w:abstractNumId w:val="21"/>
  </w:num>
  <w:num w:numId="4">
    <w:abstractNumId w:val="41"/>
  </w:num>
  <w:num w:numId="5">
    <w:abstractNumId w:val="24"/>
  </w:num>
  <w:num w:numId="6">
    <w:abstractNumId w:val="20"/>
  </w:num>
  <w:num w:numId="7">
    <w:abstractNumId w:val="9"/>
  </w:num>
  <w:num w:numId="8">
    <w:abstractNumId w:val="5"/>
  </w:num>
  <w:num w:numId="9">
    <w:abstractNumId w:val="36"/>
  </w:num>
  <w:num w:numId="10">
    <w:abstractNumId w:val="29"/>
  </w:num>
  <w:num w:numId="11">
    <w:abstractNumId w:val="38"/>
  </w:num>
  <w:num w:numId="12">
    <w:abstractNumId w:val="23"/>
  </w:num>
  <w:num w:numId="13">
    <w:abstractNumId w:val="0"/>
  </w:num>
  <w:num w:numId="14">
    <w:abstractNumId w:val="30"/>
  </w:num>
  <w:num w:numId="15">
    <w:abstractNumId w:val="12"/>
  </w:num>
  <w:num w:numId="16">
    <w:abstractNumId w:val="6"/>
  </w:num>
  <w:num w:numId="17">
    <w:abstractNumId w:val="37"/>
  </w:num>
  <w:num w:numId="18">
    <w:abstractNumId w:val="39"/>
  </w:num>
  <w:num w:numId="19">
    <w:abstractNumId w:val="33"/>
  </w:num>
  <w:num w:numId="20">
    <w:abstractNumId w:val="13"/>
  </w:num>
  <w:num w:numId="21">
    <w:abstractNumId w:val="22"/>
  </w:num>
  <w:num w:numId="22">
    <w:abstractNumId w:val="32"/>
  </w:num>
  <w:num w:numId="23">
    <w:abstractNumId w:val="11"/>
  </w:num>
  <w:num w:numId="24">
    <w:abstractNumId w:val="31"/>
  </w:num>
  <w:num w:numId="25">
    <w:abstractNumId w:val="7"/>
  </w:num>
  <w:num w:numId="26">
    <w:abstractNumId w:val="14"/>
  </w:num>
  <w:num w:numId="27">
    <w:abstractNumId w:val="19"/>
  </w:num>
  <w:num w:numId="28">
    <w:abstractNumId w:val="17"/>
  </w:num>
  <w:num w:numId="29">
    <w:abstractNumId w:val="28"/>
  </w:num>
  <w:num w:numId="30">
    <w:abstractNumId w:val="10"/>
  </w:num>
  <w:num w:numId="31">
    <w:abstractNumId w:val="40"/>
  </w:num>
  <w:num w:numId="32">
    <w:abstractNumId w:val="27"/>
  </w:num>
  <w:num w:numId="33">
    <w:abstractNumId w:val="8"/>
  </w:num>
  <w:num w:numId="34">
    <w:abstractNumId w:val="1"/>
  </w:num>
  <w:num w:numId="35">
    <w:abstractNumId w:val="35"/>
  </w:num>
  <w:num w:numId="36">
    <w:abstractNumId w:val="25"/>
  </w:num>
  <w:num w:numId="37">
    <w:abstractNumId w:val="18"/>
  </w:num>
  <w:num w:numId="38">
    <w:abstractNumId w:val="16"/>
  </w:num>
  <w:num w:numId="39">
    <w:abstractNumId w:val="15"/>
  </w:num>
  <w:num w:numId="40">
    <w:abstractNumId w:val="26"/>
  </w:num>
  <w:num w:numId="41">
    <w:abstractNumId w:val="2"/>
  </w:num>
  <w:num w:numId="42">
    <w:abstractNumId w:val="4"/>
  </w:num>
  <w:num w:numId="43">
    <w:abstractNumId w:val="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trackRevisions/>
  <w:defaultTabStop w:val="720"/>
  <w:drawingGridHorizontalSpacing w:val="100"/>
  <w:displayHorizontalDrawingGridEvery w:val="2"/>
  <w:doNotShadeFormData/>
  <w:characterSpacingControl w:val="doNotCompress"/>
  <w:hdrShapeDefaults>
    <o:shapedefaults v:ext="edit" spidmax="40961" fill="f" fillcolor="white">
      <v:fill color="white" on="f"/>
      <v:stroke weight="3pt"/>
      <o:colormenu v:ext="edit" fillcolor="none" strokecolor="re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0F8"/>
    <w:rsid w:val="00036588"/>
    <w:rsid w:val="000400EB"/>
    <w:rsid w:val="00043F38"/>
    <w:rsid w:val="000554F4"/>
    <w:rsid w:val="00074783"/>
    <w:rsid w:val="00080E4F"/>
    <w:rsid w:val="00083B93"/>
    <w:rsid w:val="00087ABE"/>
    <w:rsid w:val="000A1A05"/>
    <w:rsid w:val="000B0E0B"/>
    <w:rsid w:val="000C273D"/>
    <w:rsid w:val="000C40F9"/>
    <w:rsid w:val="00102C9B"/>
    <w:rsid w:val="00110D69"/>
    <w:rsid w:val="00122061"/>
    <w:rsid w:val="00123B42"/>
    <w:rsid w:val="00126DFB"/>
    <w:rsid w:val="001324AA"/>
    <w:rsid w:val="00134A80"/>
    <w:rsid w:val="001463F4"/>
    <w:rsid w:val="001543E2"/>
    <w:rsid w:val="0017232C"/>
    <w:rsid w:val="00194E17"/>
    <w:rsid w:val="001D03A4"/>
    <w:rsid w:val="001D2981"/>
    <w:rsid w:val="001F111C"/>
    <w:rsid w:val="001F5E8B"/>
    <w:rsid w:val="00207B96"/>
    <w:rsid w:val="00214B37"/>
    <w:rsid w:val="00220169"/>
    <w:rsid w:val="00222889"/>
    <w:rsid w:val="00223073"/>
    <w:rsid w:val="00234D4A"/>
    <w:rsid w:val="00234D96"/>
    <w:rsid w:val="00245093"/>
    <w:rsid w:val="0025086D"/>
    <w:rsid w:val="002601FF"/>
    <w:rsid w:val="002804AA"/>
    <w:rsid w:val="0029432C"/>
    <w:rsid w:val="002B768E"/>
    <w:rsid w:val="002D3DDA"/>
    <w:rsid w:val="002F0B61"/>
    <w:rsid w:val="00307133"/>
    <w:rsid w:val="00323CD7"/>
    <w:rsid w:val="0032573D"/>
    <w:rsid w:val="00336C2E"/>
    <w:rsid w:val="00341B8D"/>
    <w:rsid w:val="0034319B"/>
    <w:rsid w:val="00344C40"/>
    <w:rsid w:val="00360FB0"/>
    <w:rsid w:val="00363CCE"/>
    <w:rsid w:val="0037315B"/>
    <w:rsid w:val="003868E7"/>
    <w:rsid w:val="003909A7"/>
    <w:rsid w:val="0039246E"/>
    <w:rsid w:val="00395D87"/>
    <w:rsid w:val="00397018"/>
    <w:rsid w:val="00397F8A"/>
    <w:rsid w:val="003B769D"/>
    <w:rsid w:val="003D026E"/>
    <w:rsid w:val="003F0272"/>
    <w:rsid w:val="0044699C"/>
    <w:rsid w:val="00452660"/>
    <w:rsid w:val="004655F3"/>
    <w:rsid w:val="00473D7C"/>
    <w:rsid w:val="00476A08"/>
    <w:rsid w:val="004855BA"/>
    <w:rsid w:val="004958E3"/>
    <w:rsid w:val="004C083B"/>
    <w:rsid w:val="004C79AA"/>
    <w:rsid w:val="004E5CCF"/>
    <w:rsid w:val="004F24B1"/>
    <w:rsid w:val="004F6619"/>
    <w:rsid w:val="0050170A"/>
    <w:rsid w:val="00506D57"/>
    <w:rsid w:val="00526293"/>
    <w:rsid w:val="005410A6"/>
    <w:rsid w:val="00542ED7"/>
    <w:rsid w:val="00561735"/>
    <w:rsid w:val="005636B2"/>
    <w:rsid w:val="00575B31"/>
    <w:rsid w:val="00591702"/>
    <w:rsid w:val="00591B0C"/>
    <w:rsid w:val="005A2EFB"/>
    <w:rsid w:val="005B05A6"/>
    <w:rsid w:val="005B2DE9"/>
    <w:rsid w:val="005C6CA4"/>
    <w:rsid w:val="005C7D00"/>
    <w:rsid w:val="005E0B3E"/>
    <w:rsid w:val="005F6D37"/>
    <w:rsid w:val="00615130"/>
    <w:rsid w:val="00621F63"/>
    <w:rsid w:val="00624D8B"/>
    <w:rsid w:val="00626725"/>
    <w:rsid w:val="006556CA"/>
    <w:rsid w:val="00660B8D"/>
    <w:rsid w:val="00663B4C"/>
    <w:rsid w:val="00672885"/>
    <w:rsid w:val="006936C6"/>
    <w:rsid w:val="006B1F95"/>
    <w:rsid w:val="006B4E5E"/>
    <w:rsid w:val="006C55BB"/>
    <w:rsid w:val="006E39A8"/>
    <w:rsid w:val="00716C56"/>
    <w:rsid w:val="00722BE5"/>
    <w:rsid w:val="00722E87"/>
    <w:rsid w:val="00723CEA"/>
    <w:rsid w:val="00735993"/>
    <w:rsid w:val="00740C87"/>
    <w:rsid w:val="007461F5"/>
    <w:rsid w:val="00746DEA"/>
    <w:rsid w:val="007A50F8"/>
    <w:rsid w:val="007B27E7"/>
    <w:rsid w:val="007C39E4"/>
    <w:rsid w:val="007C6EB2"/>
    <w:rsid w:val="007D0545"/>
    <w:rsid w:val="007D4C2E"/>
    <w:rsid w:val="007F21DB"/>
    <w:rsid w:val="007F24F9"/>
    <w:rsid w:val="0080427E"/>
    <w:rsid w:val="0082340B"/>
    <w:rsid w:val="00826AC1"/>
    <w:rsid w:val="0083195E"/>
    <w:rsid w:val="00841BD8"/>
    <w:rsid w:val="00847E21"/>
    <w:rsid w:val="008543FC"/>
    <w:rsid w:val="008605CC"/>
    <w:rsid w:val="0086742F"/>
    <w:rsid w:val="0088261C"/>
    <w:rsid w:val="008B21B1"/>
    <w:rsid w:val="008C6039"/>
    <w:rsid w:val="008E04C5"/>
    <w:rsid w:val="008E0C51"/>
    <w:rsid w:val="008F3FEF"/>
    <w:rsid w:val="008F6224"/>
    <w:rsid w:val="00924E11"/>
    <w:rsid w:val="00926B9E"/>
    <w:rsid w:val="009315CF"/>
    <w:rsid w:val="00933B70"/>
    <w:rsid w:val="0093669F"/>
    <w:rsid w:val="00953F96"/>
    <w:rsid w:val="009610A0"/>
    <w:rsid w:val="00963EB3"/>
    <w:rsid w:val="00993DDC"/>
    <w:rsid w:val="009B2F6E"/>
    <w:rsid w:val="009B4126"/>
    <w:rsid w:val="009C237B"/>
    <w:rsid w:val="009D0BA0"/>
    <w:rsid w:val="009D19ED"/>
    <w:rsid w:val="00A00C03"/>
    <w:rsid w:val="00A10661"/>
    <w:rsid w:val="00A116BE"/>
    <w:rsid w:val="00A11E72"/>
    <w:rsid w:val="00A22E6A"/>
    <w:rsid w:val="00A242F3"/>
    <w:rsid w:val="00A26603"/>
    <w:rsid w:val="00A2741F"/>
    <w:rsid w:val="00A4455C"/>
    <w:rsid w:val="00A47DBC"/>
    <w:rsid w:val="00A50025"/>
    <w:rsid w:val="00A672F7"/>
    <w:rsid w:val="00A7016A"/>
    <w:rsid w:val="00AB7608"/>
    <w:rsid w:val="00B05C22"/>
    <w:rsid w:val="00B149BF"/>
    <w:rsid w:val="00B155FB"/>
    <w:rsid w:val="00B40E4F"/>
    <w:rsid w:val="00B51E05"/>
    <w:rsid w:val="00B52A35"/>
    <w:rsid w:val="00B60D0B"/>
    <w:rsid w:val="00B66AB8"/>
    <w:rsid w:val="00B75B9B"/>
    <w:rsid w:val="00B82674"/>
    <w:rsid w:val="00B84260"/>
    <w:rsid w:val="00B95D5C"/>
    <w:rsid w:val="00BB1268"/>
    <w:rsid w:val="00BB349E"/>
    <w:rsid w:val="00BD1989"/>
    <w:rsid w:val="00BD7FEA"/>
    <w:rsid w:val="00BE01D4"/>
    <w:rsid w:val="00BF59B5"/>
    <w:rsid w:val="00C05CEB"/>
    <w:rsid w:val="00C06AAD"/>
    <w:rsid w:val="00C1702B"/>
    <w:rsid w:val="00C4138D"/>
    <w:rsid w:val="00C45A80"/>
    <w:rsid w:val="00C65EB6"/>
    <w:rsid w:val="00C71B0B"/>
    <w:rsid w:val="00C874A6"/>
    <w:rsid w:val="00CA1E0A"/>
    <w:rsid w:val="00CD1FBE"/>
    <w:rsid w:val="00CD3E42"/>
    <w:rsid w:val="00CE3D12"/>
    <w:rsid w:val="00CE46E0"/>
    <w:rsid w:val="00CF6A90"/>
    <w:rsid w:val="00D07388"/>
    <w:rsid w:val="00D45C2E"/>
    <w:rsid w:val="00D53796"/>
    <w:rsid w:val="00D6574B"/>
    <w:rsid w:val="00D7342F"/>
    <w:rsid w:val="00D94205"/>
    <w:rsid w:val="00DA5DD2"/>
    <w:rsid w:val="00DC5B0A"/>
    <w:rsid w:val="00DD11CD"/>
    <w:rsid w:val="00DE1443"/>
    <w:rsid w:val="00DF144A"/>
    <w:rsid w:val="00DF5E2C"/>
    <w:rsid w:val="00E02BF3"/>
    <w:rsid w:val="00E1443A"/>
    <w:rsid w:val="00E753C5"/>
    <w:rsid w:val="00E76B49"/>
    <w:rsid w:val="00E864DB"/>
    <w:rsid w:val="00E8670E"/>
    <w:rsid w:val="00E86A8E"/>
    <w:rsid w:val="00EA141B"/>
    <w:rsid w:val="00EB20DB"/>
    <w:rsid w:val="00EB4091"/>
    <w:rsid w:val="00EB4281"/>
    <w:rsid w:val="00EC161E"/>
    <w:rsid w:val="00EC3760"/>
    <w:rsid w:val="00EC3A5F"/>
    <w:rsid w:val="00ED06A5"/>
    <w:rsid w:val="00EE1D66"/>
    <w:rsid w:val="00F008F8"/>
    <w:rsid w:val="00F176BF"/>
    <w:rsid w:val="00F21A42"/>
    <w:rsid w:val="00F84BE1"/>
    <w:rsid w:val="00FA34E2"/>
    <w:rsid w:val="00FC07F0"/>
    <w:rsid w:val="00FC57B4"/>
    <w:rsid w:val="00FC59A6"/>
    <w:rsid w:val="00FD189B"/>
    <w:rsid w:val="00FD7DE3"/>
    <w:rsid w:val="00FE6DE2"/>
    <w:rsid w:val="00FF5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fill="f" fillcolor="white">
      <v:fill color="white" on="f"/>
      <v:stroke weight="3pt"/>
      <o:colormenu v:ext="edit" fillcolor="none" strokecolor="re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50F8"/>
    <w:pPr>
      <w:overflowPunct w:val="0"/>
      <w:autoSpaceDE w:val="0"/>
      <w:autoSpaceDN w:val="0"/>
      <w:adjustRightInd w:val="0"/>
      <w:spacing w:before="60" w:after="120"/>
      <w:ind w:left="720"/>
      <w:textAlignment w:val="baseline"/>
    </w:pPr>
    <w:rPr>
      <w:rFonts w:ascii="Arial" w:hAnsi="Arial"/>
    </w:rPr>
  </w:style>
  <w:style w:type="paragraph" w:styleId="Heading1">
    <w:name w:val="heading 1"/>
    <w:basedOn w:val="Normal"/>
    <w:next w:val="Normal"/>
    <w:qFormat/>
    <w:rsid w:val="00B60D0B"/>
    <w:pPr>
      <w:keepNext/>
      <w:numPr>
        <w:numId w:val="2"/>
      </w:numPr>
      <w:spacing w:before="120" w:after="0"/>
      <w:outlineLvl w:val="0"/>
    </w:pPr>
    <w:rPr>
      <w:b/>
      <w:sz w:val="28"/>
    </w:rPr>
  </w:style>
  <w:style w:type="paragraph" w:styleId="Heading2">
    <w:name w:val="heading 2"/>
    <w:basedOn w:val="Normal"/>
    <w:next w:val="Normal"/>
    <w:qFormat/>
    <w:rsid w:val="00B60D0B"/>
    <w:pPr>
      <w:keepNext/>
      <w:numPr>
        <w:ilvl w:val="1"/>
        <w:numId w:val="2"/>
      </w:numPr>
      <w:overflowPunct/>
      <w:autoSpaceDE/>
      <w:autoSpaceDN/>
      <w:adjustRightInd/>
      <w:spacing w:before="120" w:after="0"/>
      <w:textAlignment w:val="auto"/>
      <w:outlineLvl w:val="1"/>
    </w:pPr>
    <w:rPr>
      <w:b/>
      <w:sz w:val="24"/>
    </w:rPr>
  </w:style>
  <w:style w:type="paragraph" w:styleId="Heading3">
    <w:name w:val="heading 3"/>
    <w:basedOn w:val="Normal"/>
    <w:next w:val="Normal"/>
    <w:qFormat/>
    <w:rsid w:val="00B60D0B"/>
    <w:pPr>
      <w:keepNext/>
      <w:numPr>
        <w:ilvl w:val="2"/>
        <w:numId w:val="2"/>
      </w:numPr>
      <w:outlineLvl w:val="2"/>
    </w:pPr>
    <w:rPr>
      <w:b/>
      <w:sz w:val="22"/>
    </w:rPr>
  </w:style>
  <w:style w:type="paragraph" w:styleId="Heading4">
    <w:name w:val="heading 4"/>
    <w:basedOn w:val="Normal"/>
    <w:next w:val="Normal"/>
    <w:qFormat/>
    <w:rsid w:val="00B60D0B"/>
    <w:pPr>
      <w:keepNext/>
      <w:numPr>
        <w:ilvl w:val="3"/>
        <w:numId w:val="2"/>
      </w:numPr>
      <w:overflowPunct/>
      <w:autoSpaceDE/>
      <w:autoSpaceDN/>
      <w:adjustRightInd/>
      <w:textAlignment w:val="auto"/>
      <w:outlineLvl w:val="3"/>
    </w:pPr>
    <w:rPr>
      <w:b/>
    </w:rPr>
  </w:style>
  <w:style w:type="paragraph" w:styleId="Heading5">
    <w:name w:val="heading 5"/>
    <w:basedOn w:val="Normal"/>
    <w:next w:val="Normal"/>
    <w:qFormat/>
    <w:rsid w:val="00B60D0B"/>
    <w:pPr>
      <w:keepNext/>
      <w:outlineLvl w:val="4"/>
    </w:pPr>
    <w:rPr>
      <w:b/>
    </w:rPr>
  </w:style>
  <w:style w:type="paragraph" w:styleId="Heading6">
    <w:name w:val="heading 6"/>
    <w:basedOn w:val="Normal"/>
    <w:next w:val="Normal"/>
    <w:qFormat/>
    <w:rsid w:val="00B60D0B"/>
    <w:pPr>
      <w:keepNext/>
      <w:jc w:val="center"/>
      <w:outlineLvl w:val="5"/>
    </w:pPr>
    <w:rPr>
      <w:b/>
      <w:sz w:val="28"/>
    </w:rPr>
  </w:style>
  <w:style w:type="paragraph" w:styleId="Heading7">
    <w:name w:val="heading 7"/>
    <w:basedOn w:val="Normal"/>
    <w:next w:val="Normal"/>
    <w:qFormat/>
    <w:rsid w:val="00126DFB"/>
    <w:pPr>
      <w:tabs>
        <w:tab w:val="num" w:pos="1296"/>
      </w:tabs>
      <w:overflowPunct/>
      <w:autoSpaceDE/>
      <w:autoSpaceDN/>
      <w:adjustRightInd/>
      <w:spacing w:before="240"/>
      <w:ind w:left="1296" w:hanging="1296"/>
      <w:textAlignment w:val="auto"/>
      <w:outlineLvl w:val="6"/>
    </w:pPr>
    <w:rPr>
      <w:sz w:val="24"/>
    </w:rPr>
  </w:style>
  <w:style w:type="paragraph" w:styleId="Heading9">
    <w:name w:val="heading 9"/>
    <w:basedOn w:val="Normal"/>
    <w:next w:val="Normal"/>
    <w:qFormat/>
    <w:rsid w:val="00126DFB"/>
    <w:pPr>
      <w:spacing w:before="24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B60D0B"/>
    <w:pPr>
      <w:tabs>
        <w:tab w:val="center" w:pos="4320"/>
        <w:tab w:val="right" w:pos="8640"/>
      </w:tabs>
    </w:pPr>
  </w:style>
  <w:style w:type="paragraph" w:styleId="BodyTextIndent">
    <w:name w:val="Body Text Indent"/>
    <w:basedOn w:val="Normal"/>
    <w:rsid w:val="000C273D"/>
    <w:pPr>
      <w:tabs>
        <w:tab w:val="left" w:pos="1440"/>
      </w:tabs>
      <w:ind w:left="1440" w:hanging="1800"/>
    </w:pPr>
  </w:style>
  <w:style w:type="paragraph" w:customStyle="1" w:styleId="DocType">
    <w:name w:val="DocType"/>
    <w:basedOn w:val="Normal"/>
    <w:rsid w:val="00B60D0B"/>
    <w:pPr>
      <w:spacing w:before="0"/>
      <w:ind w:left="0"/>
    </w:pPr>
    <w:rPr>
      <w:b/>
      <w:sz w:val="24"/>
    </w:rPr>
  </w:style>
  <w:style w:type="paragraph" w:styleId="Footer">
    <w:name w:val="footer"/>
    <w:basedOn w:val="Normal"/>
    <w:rsid w:val="00B60D0B"/>
    <w:pPr>
      <w:tabs>
        <w:tab w:val="center" w:pos="4320"/>
        <w:tab w:val="right" w:pos="8640"/>
      </w:tabs>
      <w:spacing w:before="0" w:after="0"/>
    </w:pPr>
    <w:rPr>
      <w:sz w:val="16"/>
    </w:rPr>
  </w:style>
  <w:style w:type="character" w:styleId="PageNumber">
    <w:name w:val="page number"/>
    <w:basedOn w:val="DefaultParagraphFont"/>
    <w:semiHidden/>
    <w:rsid w:val="00B60D0B"/>
  </w:style>
  <w:style w:type="paragraph" w:styleId="Title">
    <w:name w:val="Title"/>
    <w:aliases w:val="DocTitle"/>
    <w:basedOn w:val="Normal"/>
    <w:qFormat/>
    <w:rsid w:val="00B60D0B"/>
    <w:pPr>
      <w:spacing w:after="0"/>
      <w:ind w:left="0"/>
    </w:pPr>
    <w:rPr>
      <w:b/>
      <w:sz w:val="28"/>
    </w:rPr>
  </w:style>
  <w:style w:type="numbering" w:customStyle="1" w:styleId="StyleNumbered">
    <w:name w:val="Style Numbered"/>
    <w:basedOn w:val="NoList"/>
    <w:rsid w:val="00B60D0B"/>
    <w:pPr>
      <w:numPr>
        <w:numId w:val="4"/>
      </w:numPr>
    </w:pPr>
  </w:style>
  <w:style w:type="character" w:styleId="FootnoteReference">
    <w:name w:val="footnote reference"/>
    <w:basedOn w:val="DefaultParagraphFont"/>
    <w:semiHidden/>
    <w:rsid w:val="00126DFB"/>
    <w:rPr>
      <w:vertAlign w:val="superscript"/>
    </w:rPr>
  </w:style>
  <w:style w:type="paragraph" w:styleId="FootnoteText">
    <w:name w:val="footnote text"/>
    <w:basedOn w:val="Normal"/>
    <w:semiHidden/>
    <w:rsid w:val="00126DFB"/>
    <w:pPr>
      <w:overflowPunct/>
      <w:autoSpaceDE/>
      <w:autoSpaceDN/>
      <w:adjustRightInd/>
      <w:spacing w:before="0" w:after="0"/>
      <w:textAlignment w:val="auto"/>
    </w:pPr>
    <w:rPr>
      <w:rFonts w:ascii="Times New Roman" w:hAnsi="Times New Roman"/>
    </w:rPr>
  </w:style>
  <w:style w:type="paragraph" w:customStyle="1" w:styleId="Logo">
    <w:name w:val="Logo"/>
    <w:basedOn w:val="Normal"/>
    <w:rsid w:val="00B60D0B"/>
    <w:pPr>
      <w:ind w:left="0"/>
    </w:pPr>
  </w:style>
  <w:style w:type="numbering" w:customStyle="1" w:styleId="StyleBulleted">
    <w:name w:val="Style Bulleted"/>
    <w:basedOn w:val="NoList"/>
    <w:rsid w:val="00B60D0B"/>
    <w:pPr>
      <w:numPr>
        <w:numId w:val="3"/>
      </w:numPr>
    </w:pPr>
  </w:style>
  <w:style w:type="paragraph" w:styleId="TOC1">
    <w:name w:val="toc 1"/>
    <w:basedOn w:val="Normal"/>
    <w:next w:val="Normal"/>
    <w:autoRedefine/>
    <w:uiPriority w:val="39"/>
    <w:rsid w:val="008E0C51"/>
    <w:pPr>
      <w:tabs>
        <w:tab w:val="left" w:pos="1080"/>
        <w:tab w:val="right" w:leader="dot" w:pos="9360"/>
      </w:tabs>
      <w:spacing w:before="0"/>
    </w:pPr>
  </w:style>
  <w:style w:type="paragraph" w:styleId="TOC2">
    <w:name w:val="toc 2"/>
    <w:basedOn w:val="Normal"/>
    <w:next w:val="Normal"/>
    <w:autoRedefine/>
    <w:uiPriority w:val="39"/>
    <w:rsid w:val="008E0C51"/>
    <w:pPr>
      <w:tabs>
        <w:tab w:val="left" w:pos="1440"/>
        <w:tab w:val="right" w:leader="dot" w:pos="9360"/>
      </w:tabs>
      <w:spacing w:before="0"/>
      <w:ind w:left="1080"/>
    </w:pPr>
    <w:rPr>
      <w:noProof/>
    </w:rPr>
  </w:style>
  <w:style w:type="paragraph" w:styleId="TOC3">
    <w:name w:val="toc 3"/>
    <w:basedOn w:val="Normal"/>
    <w:next w:val="Normal"/>
    <w:autoRedefine/>
    <w:uiPriority w:val="39"/>
    <w:rsid w:val="00B60D0B"/>
    <w:pPr>
      <w:tabs>
        <w:tab w:val="left" w:pos="1800"/>
        <w:tab w:val="right" w:leader="dot" w:pos="9360"/>
      </w:tabs>
      <w:spacing w:before="0"/>
      <w:ind w:left="1440"/>
    </w:pPr>
  </w:style>
  <w:style w:type="paragraph" w:styleId="TOC4">
    <w:name w:val="toc 4"/>
    <w:basedOn w:val="Normal"/>
    <w:next w:val="Normal"/>
    <w:autoRedefine/>
    <w:rsid w:val="00B60D0B"/>
    <w:pPr>
      <w:tabs>
        <w:tab w:val="left" w:pos="2160"/>
        <w:tab w:val="right" w:leader="dot" w:pos="9360"/>
      </w:tabs>
      <w:spacing w:before="0"/>
      <w:ind w:left="1800"/>
    </w:pPr>
  </w:style>
  <w:style w:type="character" w:styleId="Hyperlink">
    <w:name w:val="Hyperlink"/>
    <w:basedOn w:val="DefaultParagraphFont"/>
    <w:uiPriority w:val="99"/>
    <w:rsid w:val="00B60D0B"/>
    <w:rPr>
      <w:color w:val="0000FF"/>
      <w:u w:val="single"/>
    </w:rPr>
  </w:style>
  <w:style w:type="paragraph" w:customStyle="1" w:styleId="DocNumberDates">
    <w:name w:val="Doc Number &amp; Dates"/>
    <w:basedOn w:val="Normal"/>
    <w:rsid w:val="00EE1D66"/>
    <w:pPr>
      <w:ind w:left="0"/>
    </w:pPr>
  </w:style>
  <w:style w:type="table" w:styleId="TableGrid">
    <w:name w:val="Table Grid"/>
    <w:basedOn w:val="TableNormal"/>
    <w:rsid w:val="007A50F8"/>
    <w:pPr>
      <w:overflowPunct w:val="0"/>
      <w:autoSpaceDE w:val="0"/>
      <w:autoSpaceDN w:val="0"/>
      <w:adjustRightInd w:val="0"/>
      <w:spacing w:before="60" w:after="120"/>
      <w:ind w:left="7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C45A80"/>
    <w:pPr>
      <w:shd w:val="clear" w:color="auto" w:fill="000080"/>
    </w:pPr>
    <w:rPr>
      <w:rFonts w:ascii="Tahoma" w:hAnsi="Tahoma" w:cs="Tahoma"/>
    </w:rPr>
  </w:style>
  <w:style w:type="paragraph" w:styleId="ListParagraph">
    <w:name w:val="List Paragraph"/>
    <w:basedOn w:val="Normal"/>
    <w:qFormat/>
    <w:rsid w:val="009B2F6E"/>
    <w:pPr>
      <w:contextualSpacing/>
    </w:pPr>
  </w:style>
  <w:style w:type="paragraph" w:styleId="BalloonText">
    <w:name w:val="Balloon Text"/>
    <w:basedOn w:val="Normal"/>
    <w:link w:val="BalloonTextChar"/>
    <w:rsid w:val="009315CF"/>
    <w:pPr>
      <w:spacing w:before="0" w:after="0"/>
    </w:pPr>
    <w:rPr>
      <w:rFonts w:ascii="Tahoma" w:hAnsi="Tahoma" w:cs="Tahoma"/>
      <w:sz w:val="16"/>
      <w:szCs w:val="16"/>
    </w:rPr>
  </w:style>
  <w:style w:type="character" w:customStyle="1" w:styleId="BalloonTextChar">
    <w:name w:val="Balloon Text Char"/>
    <w:basedOn w:val="DefaultParagraphFont"/>
    <w:link w:val="BalloonText"/>
    <w:rsid w:val="009315CF"/>
    <w:rPr>
      <w:rFonts w:ascii="Tahoma" w:hAnsi="Tahoma" w:cs="Tahoma"/>
      <w:sz w:val="16"/>
      <w:szCs w:val="16"/>
    </w:rPr>
  </w:style>
  <w:style w:type="paragraph" w:styleId="TOC6">
    <w:name w:val="toc 6"/>
    <w:basedOn w:val="Normal"/>
    <w:next w:val="Normal"/>
    <w:autoRedefine/>
    <w:rsid w:val="001463F4"/>
    <w:pPr>
      <w:spacing w:after="100"/>
      <w:ind w:left="1000"/>
    </w:pPr>
  </w:style>
  <w:style w:type="paragraph" w:styleId="TOCHeading">
    <w:name w:val="TOC Heading"/>
    <w:basedOn w:val="Heading1"/>
    <w:next w:val="Normal"/>
    <w:uiPriority w:val="39"/>
    <w:semiHidden/>
    <w:unhideWhenUsed/>
    <w:qFormat/>
    <w:rsid w:val="00DF5E2C"/>
    <w:pPr>
      <w:keepLines/>
      <w:numPr>
        <w:numId w:val="0"/>
      </w:numPr>
      <w:spacing w:before="480"/>
      <w:ind w:left="720"/>
      <w:outlineLvl w:val="9"/>
    </w:pPr>
    <w:rPr>
      <w:rFonts w:asciiTheme="majorHAnsi" w:eastAsiaTheme="majorEastAsia" w:hAnsiTheme="majorHAnsi" w:cstheme="majorBidi"/>
      <w:bCs/>
      <w:color w:val="365F91" w:themeColor="accent1" w:themeShade="BF"/>
      <w:szCs w:val="28"/>
    </w:rPr>
  </w:style>
  <w:style w:type="character" w:styleId="Emphasis">
    <w:name w:val="Emphasis"/>
    <w:basedOn w:val="DefaultParagraphFont"/>
    <w:uiPriority w:val="20"/>
    <w:qFormat/>
    <w:rsid w:val="00E86A8E"/>
    <w:rPr>
      <w:i/>
      <w:iCs/>
    </w:rPr>
  </w:style>
  <w:style w:type="paragraph" w:styleId="PlainText">
    <w:name w:val="Plain Text"/>
    <w:basedOn w:val="Normal"/>
    <w:link w:val="PlainTextChar"/>
    <w:uiPriority w:val="99"/>
    <w:unhideWhenUsed/>
    <w:rsid w:val="00E86A8E"/>
    <w:pPr>
      <w:overflowPunct/>
      <w:autoSpaceDE/>
      <w:autoSpaceDN/>
      <w:adjustRightInd/>
      <w:spacing w:before="0" w:after="0"/>
      <w:ind w:left="0"/>
      <w:textAlignment w:val="auto"/>
    </w:pPr>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E86A8E"/>
    <w:rPr>
      <w:rFonts w:ascii="Calibri" w:eastAsiaTheme="minorHAns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50F8"/>
    <w:pPr>
      <w:overflowPunct w:val="0"/>
      <w:autoSpaceDE w:val="0"/>
      <w:autoSpaceDN w:val="0"/>
      <w:adjustRightInd w:val="0"/>
      <w:spacing w:before="60" w:after="120"/>
      <w:ind w:left="720"/>
      <w:textAlignment w:val="baseline"/>
    </w:pPr>
    <w:rPr>
      <w:rFonts w:ascii="Arial" w:hAnsi="Arial"/>
    </w:rPr>
  </w:style>
  <w:style w:type="paragraph" w:styleId="Heading1">
    <w:name w:val="heading 1"/>
    <w:basedOn w:val="Normal"/>
    <w:next w:val="Normal"/>
    <w:qFormat/>
    <w:rsid w:val="00B60D0B"/>
    <w:pPr>
      <w:keepNext/>
      <w:numPr>
        <w:numId w:val="2"/>
      </w:numPr>
      <w:spacing w:before="120" w:after="0"/>
      <w:outlineLvl w:val="0"/>
    </w:pPr>
    <w:rPr>
      <w:b/>
      <w:sz w:val="28"/>
    </w:rPr>
  </w:style>
  <w:style w:type="paragraph" w:styleId="Heading2">
    <w:name w:val="heading 2"/>
    <w:basedOn w:val="Normal"/>
    <w:next w:val="Normal"/>
    <w:qFormat/>
    <w:rsid w:val="00B60D0B"/>
    <w:pPr>
      <w:keepNext/>
      <w:numPr>
        <w:ilvl w:val="1"/>
        <w:numId w:val="2"/>
      </w:numPr>
      <w:overflowPunct/>
      <w:autoSpaceDE/>
      <w:autoSpaceDN/>
      <w:adjustRightInd/>
      <w:spacing w:before="120" w:after="0"/>
      <w:textAlignment w:val="auto"/>
      <w:outlineLvl w:val="1"/>
    </w:pPr>
    <w:rPr>
      <w:b/>
      <w:sz w:val="24"/>
    </w:rPr>
  </w:style>
  <w:style w:type="paragraph" w:styleId="Heading3">
    <w:name w:val="heading 3"/>
    <w:basedOn w:val="Normal"/>
    <w:next w:val="Normal"/>
    <w:qFormat/>
    <w:rsid w:val="00B60D0B"/>
    <w:pPr>
      <w:keepNext/>
      <w:numPr>
        <w:ilvl w:val="2"/>
        <w:numId w:val="2"/>
      </w:numPr>
      <w:outlineLvl w:val="2"/>
    </w:pPr>
    <w:rPr>
      <w:b/>
      <w:sz w:val="22"/>
    </w:rPr>
  </w:style>
  <w:style w:type="paragraph" w:styleId="Heading4">
    <w:name w:val="heading 4"/>
    <w:basedOn w:val="Normal"/>
    <w:next w:val="Normal"/>
    <w:qFormat/>
    <w:rsid w:val="00B60D0B"/>
    <w:pPr>
      <w:keepNext/>
      <w:numPr>
        <w:ilvl w:val="3"/>
        <w:numId w:val="2"/>
      </w:numPr>
      <w:overflowPunct/>
      <w:autoSpaceDE/>
      <w:autoSpaceDN/>
      <w:adjustRightInd/>
      <w:textAlignment w:val="auto"/>
      <w:outlineLvl w:val="3"/>
    </w:pPr>
    <w:rPr>
      <w:b/>
    </w:rPr>
  </w:style>
  <w:style w:type="paragraph" w:styleId="Heading5">
    <w:name w:val="heading 5"/>
    <w:basedOn w:val="Normal"/>
    <w:next w:val="Normal"/>
    <w:qFormat/>
    <w:rsid w:val="00B60D0B"/>
    <w:pPr>
      <w:keepNext/>
      <w:outlineLvl w:val="4"/>
    </w:pPr>
    <w:rPr>
      <w:b/>
    </w:rPr>
  </w:style>
  <w:style w:type="paragraph" w:styleId="Heading6">
    <w:name w:val="heading 6"/>
    <w:basedOn w:val="Normal"/>
    <w:next w:val="Normal"/>
    <w:qFormat/>
    <w:rsid w:val="00B60D0B"/>
    <w:pPr>
      <w:keepNext/>
      <w:jc w:val="center"/>
      <w:outlineLvl w:val="5"/>
    </w:pPr>
    <w:rPr>
      <w:b/>
      <w:sz w:val="28"/>
    </w:rPr>
  </w:style>
  <w:style w:type="paragraph" w:styleId="Heading7">
    <w:name w:val="heading 7"/>
    <w:basedOn w:val="Normal"/>
    <w:next w:val="Normal"/>
    <w:qFormat/>
    <w:rsid w:val="00126DFB"/>
    <w:pPr>
      <w:tabs>
        <w:tab w:val="num" w:pos="1296"/>
      </w:tabs>
      <w:overflowPunct/>
      <w:autoSpaceDE/>
      <w:autoSpaceDN/>
      <w:adjustRightInd/>
      <w:spacing w:before="240"/>
      <w:ind w:left="1296" w:hanging="1296"/>
      <w:textAlignment w:val="auto"/>
      <w:outlineLvl w:val="6"/>
    </w:pPr>
    <w:rPr>
      <w:sz w:val="24"/>
    </w:rPr>
  </w:style>
  <w:style w:type="paragraph" w:styleId="Heading9">
    <w:name w:val="heading 9"/>
    <w:basedOn w:val="Normal"/>
    <w:next w:val="Normal"/>
    <w:qFormat/>
    <w:rsid w:val="00126DFB"/>
    <w:pPr>
      <w:spacing w:before="24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B60D0B"/>
    <w:pPr>
      <w:tabs>
        <w:tab w:val="center" w:pos="4320"/>
        <w:tab w:val="right" w:pos="8640"/>
      </w:tabs>
    </w:pPr>
  </w:style>
  <w:style w:type="paragraph" w:styleId="BodyTextIndent">
    <w:name w:val="Body Text Indent"/>
    <w:basedOn w:val="Normal"/>
    <w:rsid w:val="000C273D"/>
    <w:pPr>
      <w:tabs>
        <w:tab w:val="left" w:pos="1440"/>
      </w:tabs>
      <w:ind w:left="1440" w:hanging="1800"/>
    </w:pPr>
  </w:style>
  <w:style w:type="paragraph" w:customStyle="1" w:styleId="DocType">
    <w:name w:val="DocType"/>
    <w:basedOn w:val="Normal"/>
    <w:rsid w:val="00B60D0B"/>
    <w:pPr>
      <w:spacing w:before="0"/>
      <w:ind w:left="0"/>
    </w:pPr>
    <w:rPr>
      <w:b/>
      <w:sz w:val="24"/>
    </w:rPr>
  </w:style>
  <w:style w:type="paragraph" w:styleId="Footer">
    <w:name w:val="footer"/>
    <w:basedOn w:val="Normal"/>
    <w:rsid w:val="00B60D0B"/>
    <w:pPr>
      <w:tabs>
        <w:tab w:val="center" w:pos="4320"/>
        <w:tab w:val="right" w:pos="8640"/>
      </w:tabs>
      <w:spacing w:before="0" w:after="0"/>
    </w:pPr>
    <w:rPr>
      <w:sz w:val="16"/>
    </w:rPr>
  </w:style>
  <w:style w:type="character" w:styleId="PageNumber">
    <w:name w:val="page number"/>
    <w:basedOn w:val="DefaultParagraphFont"/>
    <w:semiHidden/>
    <w:rsid w:val="00B60D0B"/>
  </w:style>
  <w:style w:type="paragraph" w:styleId="Title">
    <w:name w:val="Title"/>
    <w:aliases w:val="DocTitle"/>
    <w:basedOn w:val="Normal"/>
    <w:qFormat/>
    <w:rsid w:val="00B60D0B"/>
    <w:pPr>
      <w:spacing w:after="0"/>
      <w:ind w:left="0"/>
    </w:pPr>
    <w:rPr>
      <w:b/>
      <w:sz w:val="28"/>
    </w:rPr>
  </w:style>
  <w:style w:type="numbering" w:customStyle="1" w:styleId="StyleNumbered">
    <w:name w:val="Style Numbered"/>
    <w:basedOn w:val="NoList"/>
    <w:rsid w:val="00B60D0B"/>
    <w:pPr>
      <w:numPr>
        <w:numId w:val="4"/>
      </w:numPr>
    </w:pPr>
  </w:style>
  <w:style w:type="character" w:styleId="FootnoteReference">
    <w:name w:val="footnote reference"/>
    <w:basedOn w:val="DefaultParagraphFont"/>
    <w:semiHidden/>
    <w:rsid w:val="00126DFB"/>
    <w:rPr>
      <w:vertAlign w:val="superscript"/>
    </w:rPr>
  </w:style>
  <w:style w:type="paragraph" w:styleId="FootnoteText">
    <w:name w:val="footnote text"/>
    <w:basedOn w:val="Normal"/>
    <w:semiHidden/>
    <w:rsid w:val="00126DFB"/>
    <w:pPr>
      <w:overflowPunct/>
      <w:autoSpaceDE/>
      <w:autoSpaceDN/>
      <w:adjustRightInd/>
      <w:spacing w:before="0" w:after="0"/>
      <w:textAlignment w:val="auto"/>
    </w:pPr>
    <w:rPr>
      <w:rFonts w:ascii="Times New Roman" w:hAnsi="Times New Roman"/>
    </w:rPr>
  </w:style>
  <w:style w:type="paragraph" w:customStyle="1" w:styleId="Logo">
    <w:name w:val="Logo"/>
    <w:basedOn w:val="Normal"/>
    <w:rsid w:val="00B60D0B"/>
    <w:pPr>
      <w:ind w:left="0"/>
    </w:pPr>
  </w:style>
  <w:style w:type="numbering" w:customStyle="1" w:styleId="StyleBulleted">
    <w:name w:val="Style Bulleted"/>
    <w:basedOn w:val="NoList"/>
    <w:rsid w:val="00B60D0B"/>
    <w:pPr>
      <w:numPr>
        <w:numId w:val="3"/>
      </w:numPr>
    </w:pPr>
  </w:style>
  <w:style w:type="paragraph" w:styleId="TOC1">
    <w:name w:val="toc 1"/>
    <w:basedOn w:val="Normal"/>
    <w:next w:val="Normal"/>
    <w:autoRedefine/>
    <w:uiPriority w:val="39"/>
    <w:rsid w:val="008E0C51"/>
    <w:pPr>
      <w:tabs>
        <w:tab w:val="left" w:pos="1080"/>
        <w:tab w:val="right" w:leader="dot" w:pos="9360"/>
      </w:tabs>
      <w:spacing w:before="0"/>
    </w:pPr>
  </w:style>
  <w:style w:type="paragraph" w:styleId="TOC2">
    <w:name w:val="toc 2"/>
    <w:basedOn w:val="Normal"/>
    <w:next w:val="Normal"/>
    <w:autoRedefine/>
    <w:uiPriority w:val="39"/>
    <w:rsid w:val="008E0C51"/>
    <w:pPr>
      <w:tabs>
        <w:tab w:val="left" w:pos="1440"/>
        <w:tab w:val="right" w:leader="dot" w:pos="9360"/>
      </w:tabs>
      <w:spacing w:before="0"/>
      <w:ind w:left="1080"/>
    </w:pPr>
    <w:rPr>
      <w:noProof/>
    </w:rPr>
  </w:style>
  <w:style w:type="paragraph" w:styleId="TOC3">
    <w:name w:val="toc 3"/>
    <w:basedOn w:val="Normal"/>
    <w:next w:val="Normal"/>
    <w:autoRedefine/>
    <w:uiPriority w:val="39"/>
    <w:rsid w:val="00B60D0B"/>
    <w:pPr>
      <w:tabs>
        <w:tab w:val="left" w:pos="1800"/>
        <w:tab w:val="right" w:leader="dot" w:pos="9360"/>
      </w:tabs>
      <w:spacing w:before="0"/>
      <w:ind w:left="1440"/>
    </w:pPr>
  </w:style>
  <w:style w:type="paragraph" w:styleId="TOC4">
    <w:name w:val="toc 4"/>
    <w:basedOn w:val="Normal"/>
    <w:next w:val="Normal"/>
    <w:autoRedefine/>
    <w:rsid w:val="00B60D0B"/>
    <w:pPr>
      <w:tabs>
        <w:tab w:val="left" w:pos="2160"/>
        <w:tab w:val="right" w:leader="dot" w:pos="9360"/>
      </w:tabs>
      <w:spacing w:before="0"/>
      <w:ind w:left="1800"/>
    </w:pPr>
  </w:style>
  <w:style w:type="character" w:styleId="Hyperlink">
    <w:name w:val="Hyperlink"/>
    <w:basedOn w:val="DefaultParagraphFont"/>
    <w:uiPriority w:val="99"/>
    <w:rsid w:val="00B60D0B"/>
    <w:rPr>
      <w:color w:val="0000FF"/>
      <w:u w:val="single"/>
    </w:rPr>
  </w:style>
  <w:style w:type="paragraph" w:customStyle="1" w:styleId="DocNumberDates">
    <w:name w:val="Doc Number &amp; Dates"/>
    <w:basedOn w:val="Normal"/>
    <w:rsid w:val="00EE1D66"/>
    <w:pPr>
      <w:ind w:left="0"/>
    </w:pPr>
  </w:style>
  <w:style w:type="table" w:styleId="TableGrid">
    <w:name w:val="Table Grid"/>
    <w:basedOn w:val="TableNormal"/>
    <w:rsid w:val="007A50F8"/>
    <w:pPr>
      <w:overflowPunct w:val="0"/>
      <w:autoSpaceDE w:val="0"/>
      <w:autoSpaceDN w:val="0"/>
      <w:adjustRightInd w:val="0"/>
      <w:spacing w:before="60" w:after="120"/>
      <w:ind w:left="7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C45A80"/>
    <w:pPr>
      <w:shd w:val="clear" w:color="auto" w:fill="000080"/>
    </w:pPr>
    <w:rPr>
      <w:rFonts w:ascii="Tahoma" w:hAnsi="Tahoma" w:cs="Tahoma"/>
    </w:rPr>
  </w:style>
  <w:style w:type="paragraph" w:styleId="ListParagraph">
    <w:name w:val="List Paragraph"/>
    <w:basedOn w:val="Normal"/>
    <w:qFormat/>
    <w:rsid w:val="009B2F6E"/>
    <w:pPr>
      <w:contextualSpacing/>
    </w:pPr>
  </w:style>
  <w:style w:type="paragraph" w:styleId="BalloonText">
    <w:name w:val="Balloon Text"/>
    <w:basedOn w:val="Normal"/>
    <w:link w:val="BalloonTextChar"/>
    <w:rsid w:val="009315CF"/>
    <w:pPr>
      <w:spacing w:before="0" w:after="0"/>
    </w:pPr>
    <w:rPr>
      <w:rFonts w:ascii="Tahoma" w:hAnsi="Tahoma" w:cs="Tahoma"/>
      <w:sz w:val="16"/>
      <w:szCs w:val="16"/>
    </w:rPr>
  </w:style>
  <w:style w:type="character" w:customStyle="1" w:styleId="BalloonTextChar">
    <w:name w:val="Balloon Text Char"/>
    <w:basedOn w:val="DefaultParagraphFont"/>
    <w:link w:val="BalloonText"/>
    <w:rsid w:val="009315CF"/>
    <w:rPr>
      <w:rFonts w:ascii="Tahoma" w:hAnsi="Tahoma" w:cs="Tahoma"/>
      <w:sz w:val="16"/>
      <w:szCs w:val="16"/>
    </w:rPr>
  </w:style>
  <w:style w:type="paragraph" w:styleId="TOC6">
    <w:name w:val="toc 6"/>
    <w:basedOn w:val="Normal"/>
    <w:next w:val="Normal"/>
    <w:autoRedefine/>
    <w:rsid w:val="001463F4"/>
    <w:pPr>
      <w:spacing w:after="100"/>
      <w:ind w:left="1000"/>
    </w:pPr>
  </w:style>
  <w:style w:type="paragraph" w:styleId="TOCHeading">
    <w:name w:val="TOC Heading"/>
    <w:basedOn w:val="Heading1"/>
    <w:next w:val="Normal"/>
    <w:uiPriority w:val="39"/>
    <w:semiHidden/>
    <w:unhideWhenUsed/>
    <w:qFormat/>
    <w:rsid w:val="00DF5E2C"/>
    <w:pPr>
      <w:keepLines/>
      <w:numPr>
        <w:numId w:val="0"/>
      </w:numPr>
      <w:spacing w:before="480"/>
      <w:ind w:left="720"/>
      <w:outlineLvl w:val="9"/>
    </w:pPr>
    <w:rPr>
      <w:rFonts w:asciiTheme="majorHAnsi" w:eastAsiaTheme="majorEastAsia" w:hAnsiTheme="majorHAnsi" w:cstheme="majorBidi"/>
      <w:bCs/>
      <w:color w:val="365F91" w:themeColor="accent1" w:themeShade="BF"/>
      <w:szCs w:val="28"/>
    </w:rPr>
  </w:style>
  <w:style w:type="character" w:styleId="Emphasis">
    <w:name w:val="Emphasis"/>
    <w:basedOn w:val="DefaultParagraphFont"/>
    <w:uiPriority w:val="20"/>
    <w:qFormat/>
    <w:rsid w:val="00E86A8E"/>
    <w:rPr>
      <w:i/>
      <w:iCs/>
    </w:rPr>
  </w:style>
  <w:style w:type="paragraph" w:styleId="PlainText">
    <w:name w:val="Plain Text"/>
    <w:basedOn w:val="Normal"/>
    <w:link w:val="PlainTextChar"/>
    <w:uiPriority w:val="99"/>
    <w:unhideWhenUsed/>
    <w:rsid w:val="00E86A8E"/>
    <w:pPr>
      <w:overflowPunct/>
      <w:autoSpaceDE/>
      <w:autoSpaceDN/>
      <w:adjustRightInd/>
      <w:spacing w:before="0" w:after="0"/>
      <w:ind w:left="0"/>
      <w:textAlignment w:val="auto"/>
    </w:pPr>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E86A8E"/>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299268">
      <w:bodyDiv w:val="1"/>
      <w:marLeft w:val="0"/>
      <w:marRight w:val="0"/>
      <w:marTop w:val="0"/>
      <w:marBottom w:val="0"/>
      <w:divBdr>
        <w:top w:val="none" w:sz="0" w:space="0" w:color="auto"/>
        <w:left w:val="none" w:sz="0" w:space="0" w:color="auto"/>
        <w:bottom w:val="none" w:sz="0" w:space="0" w:color="auto"/>
        <w:right w:val="none" w:sz="0" w:space="0" w:color="auto"/>
      </w:divBdr>
    </w:div>
    <w:div w:id="987244876">
      <w:bodyDiv w:val="1"/>
      <w:marLeft w:val="0"/>
      <w:marRight w:val="0"/>
      <w:marTop w:val="0"/>
      <w:marBottom w:val="0"/>
      <w:divBdr>
        <w:top w:val="none" w:sz="0" w:space="0" w:color="auto"/>
        <w:left w:val="none" w:sz="0" w:space="0" w:color="auto"/>
        <w:bottom w:val="none" w:sz="0" w:space="0" w:color="auto"/>
        <w:right w:val="none" w:sz="0" w:space="0" w:color="auto"/>
      </w:divBdr>
    </w:div>
    <w:div w:id="1844976622">
      <w:bodyDiv w:val="1"/>
      <w:marLeft w:val="0"/>
      <w:marRight w:val="0"/>
      <w:marTop w:val="0"/>
      <w:marBottom w:val="0"/>
      <w:divBdr>
        <w:top w:val="none" w:sz="0" w:space="0" w:color="auto"/>
        <w:left w:val="none" w:sz="0" w:space="0" w:color="auto"/>
        <w:bottom w:val="none" w:sz="0" w:space="0" w:color="auto"/>
        <w:right w:val="none" w:sz="0" w:space="0" w:color="auto"/>
      </w:divBdr>
    </w:div>
    <w:div w:id="214423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dc.gov/vhf/ebola/hcp/interim-guidance-specimen-collection-submission-patients-suspected-infection-ebola.html" TargetMode="External"/><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hyperlink" Target="https://www.asm.org/images/PSAB/Ebola9-10-14.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A93EC-0AA0-490B-985B-8094B770B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887</Words>
  <Characters>5287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lpstr>
    </vt:vector>
  </TitlesOfParts>
  <Company>PAML</Company>
  <LinksUpToDate>false</LinksUpToDate>
  <CharactersWithSpaces>6162</CharactersWithSpaces>
  <SharedDoc>false</SharedDoc>
  <HLinks>
    <vt:vector size="204" baseType="variant">
      <vt:variant>
        <vt:i4>2031672</vt:i4>
      </vt:variant>
      <vt:variant>
        <vt:i4>200</vt:i4>
      </vt:variant>
      <vt:variant>
        <vt:i4>0</vt:i4>
      </vt:variant>
      <vt:variant>
        <vt:i4>5</vt:i4>
      </vt:variant>
      <vt:variant>
        <vt:lpwstr/>
      </vt:variant>
      <vt:variant>
        <vt:lpwstr>_Toc271880379</vt:lpwstr>
      </vt:variant>
      <vt:variant>
        <vt:i4>2031672</vt:i4>
      </vt:variant>
      <vt:variant>
        <vt:i4>194</vt:i4>
      </vt:variant>
      <vt:variant>
        <vt:i4>0</vt:i4>
      </vt:variant>
      <vt:variant>
        <vt:i4>5</vt:i4>
      </vt:variant>
      <vt:variant>
        <vt:lpwstr/>
      </vt:variant>
      <vt:variant>
        <vt:lpwstr>_Toc271880378</vt:lpwstr>
      </vt:variant>
      <vt:variant>
        <vt:i4>2031672</vt:i4>
      </vt:variant>
      <vt:variant>
        <vt:i4>188</vt:i4>
      </vt:variant>
      <vt:variant>
        <vt:i4>0</vt:i4>
      </vt:variant>
      <vt:variant>
        <vt:i4>5</vt:i4>
      </vt:variant>
      <vt:variant>
        <vt:lpwstr/>
      </vt:variant>
      <vt:variant>
        <vt:lpwstr>_Toc271880377</vt:lpwstr>
      </vt:variant>
      <vt:variant>
        <vt:i4>2031672</vt:i4>
      </vt:variant>
      <vt:variant>
        <vt:i4>182</vt:i4>
      </vt:variant>
      <vt:variant>
        <vt:i4>0</vt:i4>
      </vt:variant>
      <vt:variant>
        <vt:i4>5</vt:i4>
      </vt:variant>
      <vt:variant>
        <vt:lpwstr/>
      </vt:variant>
      <vt:variant>
        <vt:lpwstr>_Toc271880376</vt:lpwstr>
      </vt:variant>
      <vt:variant>
        <vt:i4>2031672</vt:i4>
      </vt:variant>
      <vt:variant>
        <vt:i4>176</vt:i4>
      </vt:variant>
      <vt:variant>
        <vt:i4>0</vt:i4>
      </vt:variant>
      <vt:variant>
        <vt:i4>5</vt:i4>
      </vt:variant>
      <vt:variant>
        <vt:lpwstr/>
      </vt:variant>
      <vt:variant>
        <vt:lpwstr>_Toc271880375</vt:lpwstr>
      </vt:variant>
      <vt:variant>
        <vt:i4>2031672</vt:i4>
      </vt:variant>
      <vt:variant>
        <vt:i4>170</vt:i4>
      </vt:variant>
      <vt:variant>
        <vt:i4>0</vt:i4>
      </vt:variant>
      <vt:variant>
        <vt:i4>5</vt:i4>
      </vt:variant>
      <vt:variant>
        <vt:lpwstr/>
      </vt:variant>
      <vt:variant>
        <vt:lpwstr>_Toc271880374</vt:lpwstr>
      </vt:variant>
      <vt:variant>
        <vt:i4>2031672</vt:i4>
      </vt:variant>
      <vt:variant>
        <vt:i4>164</vt:i4>
      </vt:variant>
      <vt:variant>
        <vt:i4>0</vt:i4>
      </vt:variant>
      <vt:variant>
        <vt:i4>5</vt:i4>
      </vt:variant>
      <vt:variant>
        <vt:lpwstr/>
      </vt:variant>
      <vt:variant>
        <vt:lpwstr>_Toc271880373</vt:lpwstr>
      </vt:variant>
      <vt:variant>
        <vt:i4>2031672</vt:i4>
      </vt:variant>
      <vt:variant>
        <vt:i4>158</vt:i4>
      </vt:variant>
      <vt:variant>
        <vt:i4>0</vt:i4>
      </vt:variant>
      <vt:variant>
        <vt:i4>5</vt:i4>
      </vt:variant>
      <vt:variant>
        <vt:lpwstr/>
      </vt:variant>
      <vt:variant>
        <vt:lpwstr>_Toc271880372</vt:lpwstr>
      </vt:variant>
      <vt:variant>
        <vt:i4>2031672</vt:i4>
      </vt:variant>
      <vt:variant>
        <vt:i4>152</vt:i4>
      </vt:variant>
      <vt:variant>
        <vt:i4>0</vt:i4>
      </vt:variant>
      <vt:variant>
        <vt:i4>5</vt:i4>
      </vt:variant>
      <vt:variant>
        <vt:lpwstr/>
      </vt:variant>
      <vt:variant>
        <vt:lpwstr>_Toc271880371</vt:lpwstr>
      </vt:variant>
      <vt:variant>
        <vt:i4>2031672</vt:i4>
      </vt:variant>
      <vt:variant>
        <vt:i4>146</vt:i4>
      </vt:variant>
      <vt:variant>
        <vt:i4>0</vt:i4>
      </vt:variant>
      <vt:variant>
        <vt:i4>5</vt:i4>
      </vt:variant>
      <vt:variant>
        <vt:lpwstr/>
      </vt:variant>
      <vt:variant>
        <vt:lpwstr>_Toc271880370</vt:lpwstr>
      </vt:variant>
      <vt:variant>
        <vt:i4>1966136</vt:i4>
      </vt:variant>
      <vt:variant>
        <vt:i4>140</vt:i4>
      </vt:variant>
      <vt:variant>
        <vt:i4>0</vt:i4>
      </vt:variant>
      <vt:variant>
        <vt:i4>5</vt:i4>
      </vt:variant>
      <vt:variant>
        <vt:lpwstr/>
      </vt:variant>
      <vt:variant>
        <vt:lpwstr>_Toc271880369</vt:lpwstr>
      </vt:variant>
      <vt:variant>
        <vt:i4>1966136</vt:i4>
      </vt:variant>
      <vt:variant>
        <vt:i4>134</vt:i4>
      </vt:variant>
      <vt:variant>
        <vt:i4>0</vt:i4>
      </vt:variant>
      <vt:variant>
        <vt:i4>5</vt:i4>
      </vt:variant>
      <vt:variant>
        <vt:lpwstr/>
      </vt:variant>
      <vt:variant>
        <vt:lpwstr>_Toc271880368</vt:lpwstr>
      </vt:variant>
      <vt:variant>
        <vt:i4>1966136</vt:i4>
      </vt:variant>
      <vt:variant>
        <vt:i4>128</vt:i4>
      </vt:variant>
      <vt:variant>
        <vt:i4>0</vt:i4>
      </vt:variant>
      <vt:variant>
        <vt:i4>5</vt:i4>
      </vt:variant>
      <vt:variant>
        <vt:lpwstr/>
      </vt:variant>
      <vt:variant>
        <vt:lpwstr>_Toc271880367</vt:lpwstr>
      </vt:variant>
      <vt:variant>
        <vt:i4>1966136</vt:i4>
      </vt:variant>
      <vt:variant>
        <vt:i4>122</vt:i4>
      </vt:variant>
      <vt:variant>
        <vt:i4>0</vt:i4>
      </vt:variant>
      <vt:variant>
        <vt:i4>5</vt:i4>
      </vt:variant>
      <vt:variant>
        <vt:lpwstr/>
      </vt:variant>
      <vt:variant>
        <vt:lpwstr>_Toc271880366</vt:lpwstr>
      </vt:variant>
      <vt:variant>
        <vt:i4>1966136</vt:i4>
      </vt:variant>
      <vt:variant>
        <vt:i4>116</vt:i4>
      </vt:variant>
      <vt:variant>
        <vt:i4>0</vt:i4>
      </vt:variant>
      <vt:variant>
        <vt:i4>5</vt:i4>
      </vt:variant>
      <vt:variant>
        <vt:lpwstr/>
      </vt:variant>
      <vt:variant>
        <vt:lpwstr>_Toc271880365</vt:lpwstr>
      </vt:variant>
      <vt:variant>
        <vt:i4>1966136</vt:i4>
      </vt:variant>
      <vt:variant>
        <vt:i4>110</vt:i4>
      </vt:variant>
      <vt:variant>
        <vt:i4>0</vt:i4>
      </vt:variant>
      <vt:variant>
        <vt:i4>5</vt:i4>
      </vt:variant>
      <vt:variant>
        <vt:lpwstr/>
      </vt:variant>
      <vt:variant>
        <vt:lpwstr>_Toc271880364</vt:lpwstr>
      </vt:variant>
      <vt:variant>
        <vt:i4>1966136</vt:i4>
      </vt:variant>
      <vt:variant>
        <vt:i4>104</vt:i4>
      </vt:variant>
      <vt:variant>
        <vt:i4>0</vt:i4>
      </vt:variant>
      <vt:variant>
        <vt:i4>5</vt:i4>
      </vt:variant>
      <vt:variant>
        <vt:lpwstr/>
      </vt:variant>
      <vt:variant>
        <vt:lpwstr>_Toc271880363</vt:lpwstr>
      </vt:variant>
      <vt:variant>
        <vt:i4>1966136</vt:i4>
      </vt:variant>
      <vt:variant>
        <vt:i4>98</vt:i4>
      </vt:variant>
      <vt:variant>
        <vt:i4>0</vt:i4>
      </vt:variant>
      <vt:variant>
        <vt:i4>5</vt:i4>
      </vt:variant>
      <vt:variant>
        <vt:lpwstr/>
      </vt:variant>
      <vt:variant>
        <vt:lpwstr>_Toc271880362</vt:lpwstr>
      </vt:variant>
      <vt:variant>
        <vt:i4>1966136</vt:i4>
      </vt:variant>
      <vt:variant>
        <vt:i4>92</vt:i4>
      </vt:variant>
      <vt:variant>
        <vt:i4>0</vt:i4>
      </vt:variant>
      <vt:variant>
        <vt:i4>5</vt:i4>
      </vt:variant>
      <vt:variant>
        <vt:lpwstr/>
      </vt:variant>
      <vt:variant>
        <vt:lpwstr>_Toc271880361</vt:lpwstr>
      </vt:variant>
      <vt:variant>
        <vt:i4>1966136</vt:i4>
      </vt:variant>
      <vt:variant>
        <vt:i4>86</vt:i4>
      </vt:variant>
      <vt:variant>
        <vt:i4>0</vt:i4>
      </vt:variant>
      <vt:variant>
        <vt:i4>5</vt:i4>
      </vt:variant>
      <vt:variant>
        <vt:lpwstr/>
      </vt:variant>
      <vt:variant>
        <vt:lpwstr>_Toc271880360</vt:lpwstr>
      </vt:variant>
      <vt:variant>
        <vt:i4>1900600</vt:i4>
      </vt:variant>
      <vt:variant>
        <vt:i4>80</vt:i4>
      </vt:variant>
      <vt:variant>
        <vt:i4>0</vt:i4>
      </vt:variant>
      <vt:variant>
        <vt:i4>5</vt:i4>
      </vt:variant>
      <vt:variant>
        <vt:lpwstr/>
      </vt:variant>
      <vt:variant>
        <vt:lpwstr>_Toc271880359</vt:lpwstr>
      </vt:variant>
      <vt:variant>
        <vt:i4>1900600</vt:i4>
      </vt:variant>
      <vt:variant>
        <vt:i4>74</vt:i4>
      </vt:variant>
      <vt:variant>
        <vt:i4>0</vt:i4>
      </vt:variant>
      <vt:variant>
        <vt:i4>5</vt:i4>
      </vt:variant>
      <vt:variant>
        <vt:lpwstr/>
      </vt:variant>
      <vt:variant>
        <vt:lpwstr>_Toc271880358</vt:lpwstr>
      </vt:variant>
      <vt:variant>
        <vt:i4>1900600</vt:i4>
      </vt:variant>
      <vt:variant>
        <vt:i4>68</vt:i4>
      </vt:variant>
      <vt:variant>
        <vt:i4>0</vt:i4>
      </vt:variant>
      <vt:variant>
        <vt:i4>5</vt:i4>
      </vt:variant>
      <vt:variant>
        <vt:lpwstr/>
      </vt:variant>
      <vt:variant>
        <vt:lpwstr>_Toc271880357</vt:lpwstr>
      </vt:variant>
      <vt:variant>
        <vt:i4>1900600</vt:i4>
      </vt:variant>
      <vt:variant>
        <vt:i4>62</vt:i4>
      </vt:variant>
      <vt:variant>
        <vt:i4>0</vt:i4>
      </vt:variant>
      <vt:variant>
        <vt:i4>5</vt:i4>
      </vt:variant>
      <vt:variant>
        <vt:lpwstr/>
      </vt:variant>
      <vt:variant>
        <vt:lpwstr>_Toc271880356</vt:lpwstr>
      </vt:variant>
      <vt:variant>
        <vt:i4>1900600</vt:i4>
      </vt:variant>
      <vt:variant>
        <vt:i4>56</vt:i4>
      </vt:variant>
      <vt:variant>
        <vt:i4>0</vt:i4>
      </vt:variant>
      <vt:variant>
        <vt:i4>5</vt:i4>
      </vt:variant>
      <vt:variant>
        <vt:lpwstr/>
      </vt:variant>
      <vt:variant>
        <vt:lpwstr>_Toc271880355</vt:lpwstr>
      </vt:variant>
      <vt:variant>
        <vt:i4>1900600</vt:i4>
      </vt:variant>
      <vt:variant>
        <vt:i4>50</vt:i4>
      </vt:variant>
      <vt:variant>
        <vt:i4>0</vt:i4>
      </vt:variant>
      <vt:variant>
        <vt:i4>5</vt:i4>
      </vt:variant>
      <vt:variant>
        <vt:lpwstr/>
      </vt:variant>
      <vt:variant>
        <vt:lpwstr>_Toc271880354</vt:lpwstr>
      </vt:variant>
      <vt:variant>
        <vt:i4>1900600</vt:i4>
      </vt:variant>
      <vt:variant>
        <vt:i4>44</vt:i4>
      </vt:variant>
      <vt:variant>
        <vt:i4>0</vt:i4>
      </vt:variant>
      <vt:variant>
        <vt:i4>5</vt:i4>
      </vt:variant>
      <vt:variant>
        <vt:lpwstr/>
      </vt:variant>
      <vt:variant>
        <vt:lpwstr>_Toc271880353</vt:lpwstr>
      </vt:variant>
      <vt:variant>
        <vt:i4>1900600</vt:i4>
      </vt:variant>
      <vt:variant>
        <vt:i4>38</vt:i4>
      </vt:variant>
      <vt:variant>
        <vt:i4>0</vt:i4>
      </vt:variant>
      <vt:variant>
        <vt:i4>5</vt:i4>
      </vt:variant>
      <vt:variant>
        <vt:lpwstr/>
      </vt:variant>
      <vt:variant>
        <vt:lpwstr>_Toc271880352</vt:lpwstr>
      </vt:variant>
      <vt:variant>
        <vt:i4>1900600</vt:i4>
      </vt:variant>
      <vt:variant>
        <vt:i4>32</vt:i4>
      </vt:variant>
      <vt:variant>
        <vt:i4>0</vt:i4>
      </vt:variant>
      <vt:variant>
        <vt:i4>5</vt:i4>
      </vt:variant>
      <vt:variant>
        <vt:lpwstr/>
      </vt:variant>
      <vt:variant>
        <vt:lpwstr>_Toc271880351</vt:lpwstr>
      </vt:variant>
      <vt:variant>
        <vt:i4>1900600</vt:i4>
      </vt:variant>
      <vt:variant>
        <vt:i4>26</vt:i4>
      </vt:variant>
      <vt:variant>
        <vt:i4>0</vt:i4>
      </vt:variant>
      <vt:variant>
        <vt:i4>5</vt:i4>
      </vt:variant>
      <vt:variant>
        <vt:lpwstr/>
      </vt:variant>
      <vt:variant>
        <vt:lpwstr>_Toc271880350</vt:lpwstr>
      </vt:variant>
      <vt:variant>
        <vt:i4>1835064</vt:i4>
      </vt:variant>
      <vt:variant>
        <vt:i4>20</vt:i4>
      </vt:variant>
      <vt:variant>
        <vt:i4>0</vt:i4>
      </vt:variant>
      <vt:variant>
        <vt:i4>5</vt:i4>
      </vt:variant>
      <vt:variant>
        <vt:lpwstr/>
      </vt:variant>
      <vt:variant>
        <vt:lpwstr>_Toc271880349</vt:lpwstr>
      </vt:variant>
      <vt:variant>
        <vt:i4>1835064</vt:i4>
      </vt:variant>
      <vt:variant>
        <vt:i4>14</vt:i4>
      </vt:variant>
      <vt:variant>
        <vt:i4>0</vt:i4>
      </vt:variant>
      <vt:variant>
        <vt:i4>5</vt:i4>
      </vt:variant>
      <vt:variant>
        <vt:lpwstr/>
      </vt:variant>
      <vt:variant>
        <vt:lpwstr>_Toc271880348</vt:lpwstr>
      </vt:variant>
      <vt:variant>
        <vt:i4>1835064</vt:i4>
      </vt:variant>
      <vt:variant>
        <vt:i4>8</vt:i4>
      </vt:variant>
      <vt:variant>
        <vt:i4>0</vt:i4>
      </vt:variant>
      <vt:variant>
        <vt:i4>5</vt:i4>
      </vt:variant>
      <vt:variant>
        <vt:lpwstr/>
      </vt:variant>
      <vt:variant>
        <vt:lpwstr>_Toc271880347</vt:lpwstr>
      </vt:variant>
      <vt:variant>
        <vt:i4>1835064</vt:i4>
      </vt:variant>
      <vt:variant>
        <vt:i4>2</vt:i4>
      </vt:variant>
      <vt:variant>
        <vt:i4>0</vt:i4>
      </vt:variant>
      <vt:variant>
        <vt:i4>5</vt:i4>
      </vt:variant>
      <vt:variant>
        <vt:lpwstr/>
      </vt:variant>
      <vt:variant>
        <vt:lpwstr>_Toc271880346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lmcallister</dc:creator>
  <cp:keywords/>
  <dc:description/>
  <cp:lastModifiedBy>Majors, Michael L</cp:lastModifiedBy>
  <cp:revision>7</cp:revision>
  <cp:lastPrinted>2013-03-18T16:07:00Z</cp:lastPrinted>
  <dcterms:created xsi:type="dcterms:W3CDTF">2014-12-11T00:14:00Z</dcterms:created>
  <dcterms:modified xsi:type="dcterms:W3CDTF">2014-12-11T18:30:00Z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