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D4" w:rsidRPr="00D608EE" w:rsidRDefault="00FA30D4" w:rsidP="00B61BAA">
      <w:pPr>
        <w:pStyle w:val="NoSpacing"/>
        <w:rPr>
          <w:rFonts w:cs="Times New Roman"/>
          <w:sz w:val="20"/>
          <w:szCs w:val="20"/>
        </w:rPr>
      </w:pPr>
    </w:p>
    <w:p w:rsidR="00484A12" w:rsidRPr="00D608EE" w:rsidRDefault="00484A12" w:rsidP="00B61BAA">
      <w:pPr>
        <w:pStyle w:val="NoSpacing"/>
        <w:rPr>
          <w:rFonts w:cs="Times New Roman"/>
          <w:sz w:val="20"/>
          <w:szCs w:val="20"/>
        </w:rPr>
      </w:pPr>
      <w:r w:rsidRPr="00D608EE">
        <w:rPr>
          <w:rFonts w:cs="Times New Roman"/>
          <w:sz w:val="20"/>
          <w:szCs w:val="20"/>
        </w:rPr>
        <w:t>AABB Standards vol</w:t>
      </w:r>
      <w:r w:rsidR="00D608EE">
        <w:rPr>
          <w:rFonts w:cs="Times New Roman"/>
          <w:sz w:val="20"/>
          <w:szCs w:val="20"/>
        </w:rPr>
        <w:t>ume</w:t>
      </w:r>
      <w:r w:rsidRPr="00D608EE">
        <w:rPr>
          <w:rFonts w:cs="Times New Roman"/>
          <w:sz w:val="20"/>
          <w:szCs w:val="20"/>
        </w:rPr>
        <w:t xml:space="preserve"> 1</w:t>
      </w:r>
    </w:p>
    <w:p w:rsidR="00484A12" w:rsidRPr="00D608EE" w:rsidRDefault="00484A12" w:rsidP="00B61BAA">
      <w:pPr>
        <w:pStyle w:val="NoSpacing"/>
        <w:rPr>
          <w:rFonts w:cs="Times New Roman"/>
          <w:sz w:val="20"/>
          <w:szCs w:val="20"/>
        </w:rPr>
      </w:pPr>
    </w:p>
    <w:p w:rsidR="00B21272" w:rsidRPr="00D608EE" w:rsidRDefault="00D232AB" w:rsidP="00B61BAA">
      <w:pPr>
        <w:pStyle w:val="NoSpacing"/>
        <w:rPr>
          <w:rFonts w:cs="Times New Roman"/>
          <w:sz w:val="20"/>
          <w:szCs w:val="20"/>
        </w:rPr>
      </w:pPr>
      <w:r w:rsidRPr="00D608EE">
        <w:rPr>
          <w:rFonts w:cs="Times New Roman"/>
          <w:sz w:val="20"/>
          <w:szCs w:val="20"/>
        </w:rPr>
        <w:t>What are AABB standards?</w:t>
      </w:r>
    </w:p>
    <w:p w:rsidR="00D232AB" w:rsidRPr="00D608EE" w:rsidRDefault="00D232AB" w:rsidP="00B61BAA">
      <w:pPr>
        <w:pStyle w:val="NoSpacing"/>
        <w:numPr>
          <w:ilvl w:val="0"/>
          <w:numId w:val="14"/>
        </w:numPr>
        <w:ind w:left="450"/>
        <w:rPr>
          <w:rFonts w:cs="Times New Roman"/>
          <w:sz w:val="20"/>
          <w:szCs w:val="20"/>
        </w:rPr>
      </w:pPr>
      <w:r w:rsidRPr="00D608EE">
        <w:rPr>
          <w:rFonts w:cs="Times New Roman"/>
          <w:sz w:val="20"/>
          <w:szCs w:val="20"/>
        </w:rPr>
        <w:t>The AABB standards are a collection of requirements and recommendations  that provide a basis for the Accreditation Program of AABB</w:t>
      </w:r>
    </w:p>
    <w:p w:rsidR="00443AB5" w:rsidRPr="00D608EE" w:rsidRDefault="00443AB5" w:rsidP="00B61BAA">
      <w:pPr>
        <w:pStyle w:val="NoSpacing"/>
        <w:ind w:left="720"/>
        <w:rPr>
          <w:rFonts w:cs="Times New Roman"/>
          <w:sz w:val="20"/>
          <w:szCs w:val="20"/>
        </w:rPr>
      </w:pPr>
    </w:p>
    <w:p w:rsidR="00D232AB" w:rsidRPr="00D608EE" w:rsidRDefault="00D232AB" w:rsidP="00B61BAA">
      <w:pPr>
        <w:pStyle w:val="NoSpacing"/>
        <w:rPr>
          <w:rFonts w:cs="Times New Roman"/>
          <w:sz w:val="20"/>
          <w:szCs w:val="20"/>
        </w:rPr>
      </w:pPr>
      <w:r w:rsidRPr="00D608EE">
        <w:rPr>
          <w:rFonts w:cs="Times New Roman"/>
          <w:sz w:val="20"/>
          <w:szCs w:val="20"/>
        </w:rPr>
        <w:t>How do you tell if the standard is a requirement or a recommendation?</w:t>
      </w:r>
    </w:p>
    <w:p w:rsidR="00D232AB" w:rsidRPr="00D608EE" w:rsidRDefault="00D232AB" w:rsidP="00B61BAA">
      <w:pPr>
        <w:pStyle w:val="NoSpacing"/>
        <w:numPr>
          <w:ilvl w:val="0"/>
          <w:numId w:val="15"/>
        </w:numPr>
        <w:ind w:left="450"/>
        <w:rPr>
          <w:rFonts w:cs="Times New Roman"/>
          <w:sz w:val="20"/>
          <w:szCs w:val="20"/>
        </w:rPr>
      </w:pPr>
      <w:r w:rsidRPr="00D608EE">
        <w:rPr>
          <w:rFonts w:cs="Times New Roman"/>
          <w:sz w:val="20"/>
          <w:szCs w:val="20"/>
        </w:rPr>
        <w:t>Requirements within the collection of AABB standards use the term “</w:t>
      </w:r>
      <w:r w:rsidRPr="00D608EE">
        <w:rPr>
          <w:rFonts w:cs="Times New Roman"/>
          <w:b/>
          <w:i/>
          <w:sz w:val="20"/>
          <w:szCs w:val="20"/>
        </w:rPr>
        <w:t>shall</w:t>
      </w:r>
      <w:r w:rsidRPr="00D608EE">
        <w:rPr>
          <w:rFonts w:cs="Times New Roman"/>
          <w:sz w:val="20"/>
          <w:szCs w:val="20"/>
        </w:rPr>
        <w:t>”, which indicates that the statement is mandatory.</w:t>
      </w:r>
    </w:p>
    <w:p w:rsidR="00D232AB" w:rsidRPr="00D608EE" w:rsidRDefault="00D232AB" w:rsidP="00B61BAA">
      <w:pPr>
        <w:pStyle w:val="NoSpacing"/>
        <w:numPr>
          <w:ilvl w:val="0"/>
          <w:numId w:val="15"/>
        </w:numPr>
        <w:ind w:left="450"/>
        <w:rPr>
          <w:rFonts w:cs="Times New Roman"/>
          <w:sz w:val="20"/>
          <w:szCs w:val="20"/>
        </w:rPr>
      </w:pPr>
      <w:r w:rsidRPr="00D608EE">
        <w:rPr>
          <w:rFonts w:cs="Times New Roman"/>
          <w:sz w:val="20"/>
          <w:szCs w:val="20"/>
        </w:rPr>
        <w:t>Rarely, the term “</w:t>
      </w:r>
      <w:r w:rsidRPr="00D608EE">
        <w:rPr>
          <w:rFonts w:cs="Times New Roman"/>
          <w:b/>
          <w:i/>
          <w:sz w:val="20"/>
          <w:szCs w:val="20"/>
        </w:rPr>
        <w:t>may</w:t>
      </w:r>
      <w:r w:rsidRPr="00D608EE">
        <w:rPr>
          <w:rFonts w:cs="Times New Roman"/>
          <w:sz w:val="20"/>
          <w:szCs w:val="20"/>
        </w:rPr>
        <w:t>” is used, which indicates that the standard is not required.</w:t>
      </w:r>
    </w:p>
    <w:p w:rsidR="00443AB5" w:rsidRPr="00D608EE" w:rsidRDefault="00443AB5" w:rsidP="00B61BAA">
      <w:pPr>
        <w:pStyle w:val="NoSpacing"/>
        <w:ind w:left="720"/>
        <w:rPr>
          <w:rFonts w:cs="Times New Roman"/>
          <w:sz w:val="20"/>
          <w:szCs w:val="20"/>
        </w:rPr>
      </w:pPr>
    </w:p>
    <w:p w:rsidR="00D232AB" w:rsidRPr="00D608EE" w:rsidRDefault="00D232AB" w:rsidP="00B61BAA">
      <w:pPr>
        <w:pStyle w:val="NoSpacing"/>
        <w:rPr>
          <w:rFonts w:cs="Times New Roman"/>
          <w:sz w:val="20"/>
          <w:szCs w:val="20"/>
        </w:rPr>
      </w:pPr>
      <w:r w:rsidRPr="00D608EE">
        <w:rPr>
          <w:rFonts w:cs="Times New Roman"/>
          <w:sz w:val="20"/>
          <w:szCs w:val="20"/>
        </w:rPr>
        <w:t>Who prepares the AABB standards?</w:t>
      </w:r>
    </w:p>
    <w:p w:rsidR="00D232AB" w:rsidRPr="00D608EE" w:rsidRDefault="007B76A7" w:rsidP="00B61BAA">
      <w:pPr>
        <w:pStyle w:val="NoSpacing"/>
        <w:numPr>
          <w:ilvl w:val="0"/>
          <w:numId w:val="16"/>
        </w:numPr>
        <w:ind w:left="450"/>
        <w:rPr>
          <w:rFonts w:cs="Times New Roman"/>
          <w:sz w:val="20"/>
          <w:szCs w:val="20"/>
        </w:rPr>
      </w:pPr>
      <w:r w:rsidRPr="00D608EE">
        <w:rPr>
          <w:rFonts w:cs="Times New Roman"/>
          <w:sz w:val="20"/>
          <w:szCs w:val="20"/>
        </w:rPr>
        <w:t>The most recent set of standards were prepared by the Blood Banks and Transfusion Services Standards Committee (BB/TS SC) and the Standards Program Committee of AABB.</w:t>
      </w:r>
    </w:p>
    <w:p w:rsidR="00741E7F" w:rsidRPr="00D608EE" w:rsidRDefault="00741E7F" w:rsidP="00B61BAA">
      <w:pPr>
        <w:pStyle w:val="NoSpacing"/>
        <w:numPr>
          <w:ilvl w:val="0"/>
          <w:numId w:val="16"/>
        </w:numPr>
        <w:ind w:left="450"/>
        <w:rPr>
          <w:rFonts w:cs="Times New Roman"/>
          <w:sz w:val="20"/>
          <w:szCs w:val="20"/>
        </w:rPr>
      </w:pPr>
      <w:r w:rsidRPr="00D608EE">
        <w:rPr>
          <w:rFonts w:cs="Times New Roman"/>
          <w:sz w:val="20"/>
          <w:szCs w:val="20"/>
        </w:rPr>
        <w:t>The most recent (31</w:t>
      </w:r>
      <w:r w:rsidRPr="00D608EE">
        <w:rPr>
          <w:rFonts w:cs="Times New Roman"/>
          <w:sz w:val="20"/>
          <w:szCs w:val="20"/>
          <w:vertAlign w:val="superscript"/>
        </w:rPr>
        <w:t>st</w:t>
      </w:r>
      <w:r w:rsidRPr="00D608EE">
        <w:rPr>
          <w:rFonts w:cs="Times New Roman"/>
          <w:sz w:val="20"/>
          <w:szCs w:val="20"/>
        </w:rPr>
        <w:t xml:space="preserve"> edition) became effective 4/1/2018</w:t>
      </w:r>
    </w:p>
    <w:p w:rsidR="00741E7F" w:rsidRDefault="00741E7F" w:rsidP="00B61BAA">
      <w:pPr>
        <w:pStyle w:val="NoSpacing"/>
        <w:numPr>
          <w:ilvl w:val="0"/>
          <w:numId w:val="16"/>
        </w:numPr>
        <w:ind w:left="450"/>
        <w:rPr>
          <w:rFonts w:cs="Times New Roman"/>
          <w:sz w:val="20"/>
          <w:szCs w:val="20"/>
        </w:rPr>
      </w:pPr>
      <w:r w:rsidRPr="00D608EE">
        <w:rPr>
          <w:rFonts w:cs="Times New Roman"/>
          <w:sz w:val="20"/>
          <w:szCs w:val="20"/>
        </w:rPr>
        <w:t>You have access to review these standards on the J</w:t>
      </w:r>
      <w:proofErr w:type="gramStart"/>
      <w:r w:rsidRPr="00D608EE">
        <w:rPr>
          <w:rFonts w:cs="Times New Roman"/>
          <w:sz w:val="20"/>
          <w:szCs w:val="20"/>
        </w:rPr>
        <w:t>:/</w:t>
      </w:r>
      <w:proofErr w:type="gramEnd"/>
      <w:r w:rsidRPr="00D608EE">
        <w:rPr>
          <w:rFonts w:cs="Times New Roman"/>
          <w:sz w:val="20"/>
          <w:szCs w:val="20"/>
        </w:rPr>
        <w:t xml:space="preserve"> drive.</w:t>
      </w:r>
      <w:r w:rsidR="00ED6BC3">
        <w:rPr>
          <w:rFonts w:cs="Times New Roman"/>
          <w:sz w:val="20"/>
          <w:szCs w:val="20"/>
        </w:rPr>
        <w:br/>
      </w:r>
    </w:p>
    <w:p w:rsidR="00ED6BC3" w:rsidRPr="00D608EE" w:rsidRDefault="00ED6BC3" w:rsidP="00B61BAA">
      <w:pPr>
        <w:pStyle w:val="NoSpacing"/>
        <w:rPr>
          <w:rFonts w:cs="Times New Roman"/>
          <w:sz w:val="20"/>
          <w:szCs w:val="20"/>
        </w:rPr>
      </w:pPr>
      <w:r w:rsidRPr="00D608EE">
        <w:rPr>
          <w:rFonts w:cs="Times New Roman"/>
          <w:sz w:val="20"/>
          <w:szCs w:val="20"/>
        </w:rPr>
        <w:t>What is the goal of the BB/TS Standards?</w:t>
      </w:r>
    </w:p>
    <w:p w:rsidR="00ED6BC3" w:rsidRPr="00D608EE" w:rsidRDefault="00ED6BC3" w:rsidP="00B61BAA">
      <w:pPr>
        <w:pStyle w:val="NoSpacing"/>
        <w:numPr>
          <w:ilvl w:val="0"/>
          <w:numId w:val="16"/>
        </w:numPr>
        <w:ind w:left="450"/>
        <w:rPr>
          <w:rFonts w:cs="Times New Roman"/>
          <w:sz w:val="20"/>
          <w:szCs w:val="20"/>
        </w:rPr>
      </w:pPr>
      <w:r w:rsidRPr="00D608EE">
        <w:rPr>
          <w:rFonts w:cs="Times New Roman"/>
          <w:sz w:val="20"/>
          <w:szCs w:val="20"/>
        </w:rPr>
        <w:t>To maintain and enhance the quality and safety services provided by blood banks and transfusion services and to provide a basis for the Accreditation Program of AABB</w:t>
      </w:r>
    </w:p>
    <w:p w:rsidR="00ED6BC3" w:rsidRPr="00ED6BC3" w:rsidRDefault="00ED6BC3" w:rsidP="00B61BAA">
      <w:pPr>
        <w:pStyle w:val="NoSpacing"/>
        <w:numPr>
          <w:ilvl w:val="0"/>
          <w:numId w:val="16"/>
        </w:numPr>
        <w:ind w:left="450"/>
        <w:rPr>
          <w:rFonts w:cs="Times New Roman"/>
          <w:sz w:val="20"/>
          <w:szCs w:val="20"/>
        </w:rPr>
      </w:pPr>
      <w:r w:rsidRPr="00D608EE">
        <w:rPr>
          <w:rFonts w:cs="Times New Roman"/>
          <w:sz w:val="20"/>
          <w:szCs w:val="20"/>
        </w:rPr>
        <w:t>These standards provide the backbone to many of the procedures that we operate under.</w:t>
      </w:r>
    </w:p>
    <w:p w:rsidR="00443AB5" w:rsidRPr="00D608EE" w:rsidRDefault="00443AB5" w:rsidP="00B61BAA">
      <w:pPr>
        <w:pStyle w:val="NoSpacing"/>
        <w:ind w:left="720"/>
        <w:rPr>
          <w:rFonts w:cs="Times New Roman"/>
          <w:sz w:val="20"/>
          <w:szCs w:val="20"/>
        </w:rPr>
      </w:pPr>
    </w:p>
    <w:p w:rsidR="007B76A7" w:rsidRPr="00D608EE" w:rsidRDefault="007B76A7" w:rsidP="00B61BAA">
      <w:pPr>
        <w:pStyle w:val="NoSpacing"/>
        <w:rPr>
          <w:rFonts w:cs="Times New Roman"/>
          <w:sz w:val="20"/>
          <w:szCs w:val="20"/>
        </w:rPr>
      </w:pPr>
      <w:r w:rsidRPr="00D608EE">
        <w:rPr>
          <w:rFonts w:cs="Times New Roman"/>
          <w:sz w:val="20"/>
          <w:szCs w:val="20"/>
        </w:rPr>
        <w:t>With that in mind, let’s talk about a standard that you may already be familiar with</w:t>
      </w:r>
    </w:p>
    <w:p w:rsidR="00443AB5" w:rsidRPr="00D608EE" w:rsidRDefault="00443AB5" w:rsidP="00B61BAA">
      <w:pPr>
        <w:pStyle w:val="NoSpacing"/>
        <w:rPr>
          <w:rFonts w:cs="Times New Roman"/>
          <w:b/>
          <w:sz w:val="20"/>
          <w:szCs w:val="20"/>
        </w:rPr>
      </w:pPr>
    </w:p>
    <w:p w:rsidR="007B76A7" w:rsidRPr="00D608EE" w:rsidRDefault="00443AB5" w:rsidP="00B61BAA">
      <w:pPr>
        <w:pStyle w:val="NoSpacing"/>
        <w:rPr>
          <w:rFonts w:cs="Times New Roman"/>
          <w:sz w:val="20"/>
          <w:szCs w:val="20"/>
        </w:rPr>
      </w:pPr>
      <w:r w:rsidRPr="00D608EE">
        <w:rPr>
          <w:rFonts w:cs="Times New Roman"/>
          <w:b/>
          <w:sz w:val="20"/>
          <w:szCs w:val="20"/>
        </w:rPr>
        <w:t xml:space="preserve">1.1 </w:t>
      </w:r>
      <w:r w:rsidR="007B76A7" w:rsidRPr="00D608EE">
        <w:rPr>
          <w:rFonts w:cs="Times New Roman"/>
          <w:b/>
          <w:sz w:val="20"/>
          <w:szCs w:val="20"/>
        </w:rPr>
        <w:t>Executive Management</w:t>
      </w:r>
      <w:r w:rsidR="00EA075D" w:rsidRPr="00D608EE">
        <w:rPr>
          <w:rFonts w:cs="Times New Roman"/>
          <w:b/>
          <w:sz w:val="20"/>
          <w:szCs w:val="20"/>
        </w:rPr>
        <w:t xml:space="preserve">: </w:t>
      </w:r>
    </w:p>
    <w:p w:rsidR="007B76A7" w:rsidRPr="00D608EE" w:rsidRDefault="007B76A7" w:rsidP="00B61BAA">
      <w:pPr>
        <w:pStyle w:val="NoSpacing"/>
        <w:tabs>
          <w:tab w:val="left" w:pos="360"/>
        </w:tabs>
        <w:rPr>
          <w:rFonts w:cs="Times New Roman"/>
          <w:sz w:val="20"/>
          <w:szCs w:val="20"/>
        </w:rPr>
      </w:pPr>
      <w:r w:rsidRPr="00D608EE">
        <w:rPr>
          <w:rFonts w:cs="Times New Roman"/>
          <w:sz w:val="20"/>
          <w:szCs w:val="20"/>
        </w:rPr>
        <w:t xml:space="preserve">The BB/TS </w:t>
      </w:r>
      <w:r w:rsidRPr="00D608EE">
        <w:rPr>
          <w:rFonts w:cs="Times New Roman"/>
          <w:b/>
          <w:i/>
          <w:sz w:val="20"/>
          <w:szCs w:val="20"/>
        </w:rPr>
        <w:t>shall</w:t>
      </w:r>
      <w:r w:rsidRPr="00D608EE">
        <w:rPr>
          <w:rFonts w:cs="Times New Roman"/>
          <w:sz w:val="20"/>
          <w:szCs w:val="20"/>
        </w:rPr>
        <w:t xml:space="preserve"> have a defined executive management.  Executive management </w:t>
      </w:r>
      <w:r w:rsidRPr="00D608EE">
        <w:rPr>
          <w:rFonts w:cs="Times New Roman"/>
          <w:b/>
          <w:i/>
          <w:sz w:val="20"/>
          <w:szCs w:val="20"/>
        </w:rPr>
        <w:t>shall</w:t>
      </w:r>
      <w:r w:rsidRPr="00D608EE">
        <w:rPr>
          <w:rFonts w:cs="Times New Roman"/>
          <w:sz w:val="20"/>
          <w:szCs w:val="20"/>
        </w:rPr>
        <w:t xml:space="preserve"> have:</w:t>
      </w:r>
    </w:p>
    <w:p w:rsidR="007B76A7" w:rsidRPr="00D608EE" w:rsidRDefault="00443AB5" w:rsidP="00B61BAA">
      <w:pPr>
        <w:pStyle w:val="NoSpacing"/>
        <w:numPr>
          <w:ilvl w:val="0"/>
          <w:numId w:val="6"/>
        </w:numPr>
        <w:ind w:left="540"/>
        <w:rPr>
          <w:rFonts w:cs="Times New Roman"/>
          <w:sz w:val="20"/>
          <w:szCs w:val="20"/>
        </w:rPr>
      </w:pPr>
      <w:r w:rsidRPr="00D608EE">
        <w:rPr>
          <w:rFonts w:cs="Times New Roman"/>
          <w:sz w:val="20"/>
          <w:szCs w:val="20"/>
        </w:rPr>
        <w:t>Responsibility and authority for the blood bank’s or transfusion service’s operations.</w:t>
      </w:r>
    </w:p>
    <w:p w:rsidR="00443AB5" w:rsidRPr="00D608EE" w:rsidRDefault="00443AB5" w:rsidP="00B61BAA">
      <w:pPr>
        <w:pStyle w:val="NoSpacing"/>
        <w:numPr>
          <w:ilvl w:val="0"/>
          <w:numId w:val="6"/>
        </w:numPr>
        <w:ind w:left="540"/>
        <w:rPr>
          <w:rFonts w:cs="Times New Roman"/>
          <w:sz w:val="20"/>
          <w:szCs w:val="20"/>
        </w:rPr>
      </w:pPr>
      <w:r w:rsidRPr="00D608EE">
        <w:rPr>
          <w:rFonts w:cs="Times New Roman"/>
          <w:sz w:val="20"/>
          <w:szCs w:val="20"/>
        </w:rPr>
        <w:t>The authority to establish or make changes to the blood bank’s or transfusion service’s quality system.</w:t>
      </w:r>
    </w:p>
    <w:p w:rsidR="00443AB5" w:rsidRPr="00D608EE" w:rsidRDefault="00443AB5" w:rsidP="00B61BAA">
      <w:pPr>
        <w:pStyle w:val="NoSpacing"/>
        <w:numPr>
          <w:ilvl w:val="0"/>
          <w:numId w:val="6"/>
        </w:numPr>
        <w:ind w:left="540"/>
        <w:rPr>
          <w:rFonts w:cs="Times New Roman"/>
          <w:sz w:val="20"/>
          <w:szCs w:val="20"/>
        </w:rPr>
      </w:pPr>
      <w:r w:rsidRPr="00D608EE">
        <w:rPr>
          <w:rFonts w:cs="Times New Roman"/>
          <w:sz w:val="20"/>
          <w:szCs w:val="20"/>
        </w:rPr>
        <w:t xml:space="preserve">The responsibility for compliance with these </w:t>
      </w:r>
      <w:r w:rsidRPr="00D608EE">
        <w:rPr>
          <w:rFonts w:cs="Times New Roman"/>
          <w:i/>
          <w:sz w:val="20"/>
          <w:szCs w:val="20"/>
        </w:rPr>
        <w:t>BB/TS Standards</w:t>
      </w:r>
      <w:r w:rsidRPr="00D608EE">
        <w:rPr>
          <w:rFonts w:cs="Times New Roman"/>
          <w:sz w:val="20"/>
          <w:szCs w:val="20"/>
        </w:rPr>
        <w:t xml:space="preserve"> and applicable laws and regulations</w:t>
      </w:r>
    </w:p>
    <w:p w:rsidR="00443AB5" w:rsidRPr="00D608EE" w:rsidRDefault="00443AB5" w:rsidP="00B61BAA">
      <w:pPr>
        <w:pStyle w:val="NoSpacing"/>
        <w:numPr>
          <w:ilvl w:val="0"/>
          <w:numId w:val="6"/>
        </w:numPr>
        <w:ind w:left="540"/>
        <w:rPr>
          <w:rFonts w:cs="Times New Roman"/>
          <w:sz w:val="20"/>
          <w:szCs w:val="20"/>
        </w:rPr>
      </w:pPr>
      <w:r w:rsidRPr="00D608EE">
        <w:rPr>
          <w:rFonts w:cs="Times New Roman"/>
          <w:sz w:val="20"/>
          <w:szCs w:val="20"/>
        </w:rPr>
        <w:t>Participation in management review of quality system.</w:t>
      </w:r>
    </w:p>
    <w:p w:rsidR="00EA075D" w:rsidRDefault="00796BF3" w:rsidP="00B61BAA">
      <w:pPr>
        <w:pStyle w:val="NoSpacing"/>
        <w:numPr>
          <w:ilvl w:val="1"/>
          <w:numId w:val="9"/>
        </w:numPr>
        <w:ind w:left="720"/>
        <w:rPr>
          <w:rFonts w:cs="Times New Roman"/>
          <w:sz w:val="20"/>
          <w:szCs w:val="20"/>
        </w:rPr>
      </w:pPr>
      <w:r w:rsidRPr="00D608EE">
        <w:rPr>
          <w:rFonts w:cs="Times New Roman"/>
          <w:sz w:val="20"/>
          <w:szCs w:val="20"/>
        </w:rPr>
        <w:t xml:space="preserve">Sometimes it may be unclear as to why a policy or procedure updated, or why we need to review them so frequently.  One of the many reasons is that </w:t>
      </w:r>
      <w:r w:rsidR="008531D9" w:rsidRPr="00D608EE">
        <w:rPr>
          <w:rFonts w:cs="Times New Roman"/>
          <w:sz w:val="20"/>
          <w:szCs w:val="20"/>
        </w:rPr>
        <w:t>our Blood Bank Medical Director is legally responsible for the adoption, implementation and compliance of our SOPs.</w:t>
      </w:r>
    </w:p>
    <w:p w:rsidR="004D4517" w:rsidRDefault="004D4517" w:rsidP="00B61BAA">
      <w:pPr>
        <w:pStyle w:val="NoSpacing"/>
        <w:numPr>
          <w:ilvl w:val="1"/>
          <w:numId w:val="9"/>
        </w:numPr>
        <w:ind w:left="720"/>
        <w:rPr>
          <w:rFonts w:cs="Times New Roman"/>
          <w:sz w:val="20"/>
          <w:szCs w:val="20"/>
        </w:rPr>
      </w:pPr>
      <w:r>
        <w:rPr>
          <w:rFonts w:cs="Times New Roman"/>
          <w:sz w:val="20"/>
          <w:szCs w:val="20"/>
        </w:rPr>
        <w:t xml:space="preserve">The </w:t>
      </w:r>
      <w:r>
        <w:rPr>
          <w:rFonts w:cs="Times New Roman"/>
          <w:i/>
          <w:sz w:val="20"/>
          <w:szCs w:val="20"/>
        </w:rPr>
        <w:t>Transfusion Service Department Organization Chart</w:t>
      </w:r>
      <w:r>
        <w:rPr>
          <w:rFonts w:cs="Times New Roman"/>
          <w:sz w:val="20"/>
          <w:szCs w:val="20"/>
        </w:rPr>
        <w:t xml:space="preserve"> policy outlines the structure of the department based off of this standard. </w:t>
      </w:r>
    </w:p>
    <w:p w:rsidR="004D4517" w:rsidRPr="004D4517" w:rsidRDefault="004D4517" w:rsidP="00B61BAA">
      <w:pPr>
        <w:pStyle w:val="NoSpacing"/>
        <w:numPr>
          <w:ilvl w:val="1"/>
          <w:numId w:val="9"/>
        </w:numPr>
        <w:ind w:left="720"/>
        <w:rPr>
          <w:rFonts w:cs="Times New Roman"/>
          <w:sz w:val="20"/>
          <w:szCs w:val="20"/>
        </w:rPr>
      </w:pPr>
      <w:r>
        <w:rPr>
          <w:rFonts w:cs="Times New Roman"/>
          <w:sz w:val="20"/>
          <w:szCs w:val="20"/>
        </w:rPr>
        <w:t xml:space="preserve">The </w:t>
      </w:r>
      <w:r>
        <w:rPr>
          <w:rFonts w:cs="Times New Roman"/>
          <w:i/>
          <w:sz w:val="20"/>
          <w:szCs w:val="20"/>
        </w:rPr>
        <w:t>Staffing Responsibilities</w:t>
      </w:r>
      <w:r>
        <w:rPr>
          <w:rFonts w:cs="Times New Roman"/>
          <w:sz w:val="20"/>
          <w:szCs w:val="20"/>
        </w:rPr>
        <w:t xml:space="preserve"> policy is complementary to the organization chart in that is provides a list of responsibilities that the Medical Director and Pathology residents/fellow are officially responsible for.</w:t>
      </w:r>
    </w:p>
    <w:p w:rsidR="00EA075D" w:rsidRPr="00D608EE" w:rsidRDefault="00EA075D" w:rsidP="00B61BAA">
      <w:pPr>
        <w:pStyle w:val="NoSpacing"/>
        <w:ind w:left="720"/>
        <w:rPr>
          <w:rFonts w:cs="Times New Roman"/>
          <w:sz w:val="20"/>
          <w:szCs w:val="20"/>
        </w:rPr>
      </w:pPr>
    </w:p>
    <w:p w:rsidR="00443AB5" w:rsidRPr="00D608EE" w:rsidRDefault="00443AB5" w:rsidP="00B61BAA">
      <w:pPr>
        <w:pStyle w:val="NoSpacing"/>
        <w:rPr>
          <w:rFonts w:cs="Times New Roman"/>
          <w:sz w:val="20"/>
          <w:szCs w:val="20"/>
        </w:rPr>
      </w:pPr>
      <w:r w:rsidRPr="00D608EE">
        <w:rPr>
          <w:rFonts w:cs="Times New Roman"/>
          <w:b/>
          <w:sz w:val="20"/>
          <w:szCs w:val="20"/>
        </w:rPr>
        <w:t>1.1.1 Medical Director Qualifications and Responsibilities</w:t>
      </w:r>
      <w:r w:rsidRPr="00D608EE">
        <w:rPr>
          <w:rFonts w:cs="Times New Roman"/>
          <w:sz w:val="20"/>
          <w:szCs w:val="20"/>
        </w:rPr>
        <w:t xml:space="preserve"> </w:t>
      </w:r>
    </w:p>
    <w:p w:rsidR="008531D9" w:rsidRPr="00D608EE" w:rsidRDefault="00443AB5" w:rsidP="00B61BAA">
      <w:pPr>
        <w:pStyle w:val="NoSpacing"/>
        <w:numPr>
          <w:ilvl w:val="0"/>
          <w:numId w:val="8"/>
        </w:numPr>
        <w:ind w:left="540"/>
        <w:rPr>
          <w:rFonts w:cs="Times New Roman"/>
          <w:sz w:val="20"/>
          <w:szCs w:val="20"/>
        </w:rPr>
      </w:pPr>
      <w:r w:rsidRPr="00D608EE">
        <w:rPr>
          <w:rFonts w:cs="Times New Roman"/>
          <w:sz w:val="20"/>
          <w:szCs w:val="20"/>
        </w:rPr>
        <w:t xml:space="preserve">The BB/TS </w:t>
      </w:r>
      <w:r w:rsidRPr="00D608EE">
        <w:rPr>
          <w:rFonts w:cs="Times New Roman"/>
          <w:b/>
          <w:i/>
          <w:sz w:val="20"/>
          <w:szCs w:val="20"/>
        </w:rPr>
        <w:t>shall</w:t>
      </w:r>
      <w:r w:rsidRPr="00D608EE">
        <w:rPr>
          <w:rFonts w:cs="Times New Roman"/>
          <w:sz w:val="20"/>
          <w:szCs w:val="20"/>
        </w:rPr>
        <w:t xml:space="preserve"> have a medical director who is a licensed physician and qualified by education, training, and/or experience. The medical director </w:t>
      </w:r>
      <w:r w:rsidRPr="00D608EE">
        <w:rPr>
          <w:rFonts w:cs="Times New Roman"/>
          <w:b/>
          <w:i/>
          <w:sz w:val="20"/>
          <w:szCs w:val="20"/>
        </w:rPr>
        <w:t>shall</w:t>
      </w:r>
      <w:r w:rsidRPr="00D608EE">
        <w:rPr>
          <w:rFonts w:cs="Times New Roman"/>
          <w:sz w:val="20"/>
          <w:szCs w:val="20"/>
        </w:rPr>
        <w:t xml:space="preserve"> have responsibility and authority for all medical and technical policies, processes, and procedures—including those that pertain to laboratory personnel and test performance—and for the consultative and support services that relate to the care and safety of donors and/or transfusion recipients. The medical director </w:t>
      </w:r>
      <w:r w:rsidRPr="00D608EE">
        <w:rPr>
          <w:rFonts w:cs="Times New Roman"/>
          <w:b/>
          <w:i/>
          <w:sz w:val="20"/>
          <w:szCs w:val="20"/>
        </w:rPr>
        <w:t>may</w:t>
      </w:r>
      <w:r w:rsidRPr="00D608EE">
        <w:rPr>
          <w:rFonts w:cs="Times New Roman"/>
          <w:sz w:val="20"/>
          <w:szCs w:val="20"/>
        </w:rPr>
        <w:t xml:space="preserve"> delegate these responsibilities to another qualified physician; however, the medical director </w:t>
      </w:r>
      <w:r w:rsidRPr="00D608EE">
        <w:rPr>
          <w:rFonts w:cs="Times New Roman"/>
          <w:b/>
          <w:i/>
          <w:sz w:val="20"/>
          <w:szCs w:val="20"/>
        </w:rPr>
        <w:t>shall</w:t>
      </w:r>
      <w:r w:rsidRPr="00D608EE">
        <w:rPr>
          <w:rFonts w:cs="Times New Roman"/>
          <w:sz w:val="20"/>
          <w:szCs w:val="20"/>
        </w:rPr>
        <w:t xml:space="preserve"> retain ultimate responsibility for medical director duties</w:t>
      </w:r>
      <w:r w:rsidR="00910A7F" w:rsidRPr="00D608EE">
        <w:rPr>
          <w:rFonts w:cs="Times New Roman"/>
          <w:sz w:val="20"/>
          <w:szCs w:val="20"/>
        </w:rPr>
        <w:t>.</w:t>
      </w:r>
    </w:p>
    <w:p w:rsidR="00B61BAA" w:rsidRDefault="00B61BAA" w:rsidP="00B61BAA">
      <w:pPr>
        <w:pStyle w:val="NoSpacing"/>
        <w:numPr>
          <w:ilvl w:val="1"/>
          <w:numId w:val="10"/>
        </w:numPr>
        <w:ind w:left="720"/>
        <w:rPr>
          <w:rFonts w:cs="Times New Roman"/>
          <w:sz w:val="20"/>
          <w:szCs w:val="20"/>
        </w:rPr>
      </w:pPr>
      <w:r>
        <w:rPr>
          <w:rFonts w:cs="Times New Roman"/>
          <w:sz w:val="20"/>
          <w:szCs w:val="20"/>
        </w:rPr>
        <w:t xml:space="preserve">Like the broader standard above, the </w:t>
      </w:r>
      <w:r>
        <w:rPr>
          <w:rFonts w:cs="Times New Roman"/>
          <w:i/>
          <w:sz w:val="20"/>
          <w:szCs w:val="20"/>
        </w:rPr>
        <w:t>Transfusion Service Department Organization Chart</w:t>
      </w:r>
      <w:r>
        <w:rPr>
          <w:rFonts w:cs="Times New Roman"/>
          <w:sz w:val="20"/>
          <w:szCs w:val="20"/>
        </w:rPr>
        <w:t xml:space="preserve"> policy and the </w:t>
      </w:r>
      <w:r>
        <w:rPr>
          <w:rFonts w:cs="Times New Roman"/>
          <w:i/>
          <w:sz w:val="20"/>
          <w:szCs w:val="20"/>
        </w:rPr>
        <w:t xml:space="preserve">Staffing Responsibilities </w:t>
      </w:r>
      <w:r>
        <w:rPr>
          <w:rFonts w:cs="Times New Roman"/>
          <w:sz w:val="20"/>
          <w:szCs w:val="20"/>
        </w:rPr>
        <w:t xml:space="preserve">policies are also directly influenced by this standard.  For example, in the </w:t>
      </w:r>
      <w:r>
        <w:rPr>
          <w:rFonts w:cs="Times New Roman"/>
          <w:i/>
          <w:sz w:val="20"/>
          <w:szCs w:val="20"/>
        </w:rPr>
        <w:t xml:space="preserve">Staffing Responsibilities </w:t>
      </w:r>
      <w:r>
        <w:rPr>
          <w:rFonts w:cs="Times New Roman"/>
          <w:sz w:val="20"/>
          <w:szCs w:val="20"/>
        </w:rPr>
        <w:t>policy it points out that it is the responsibility of the Medical Director to ensure we are in compliance with AABB, CAP, Joint Commission, FDA, and the State of Wisconsin.</w:t>
      </w:r>
    </w:p>
    <w:p w:rsidR="00FA30D4" w:rsidRPr="00D608EE" w:rsidRDefault="008531D9" w:rsidP="00B61BAA">
      <w:pPr>
        <w:pStyle w:val="NoSpacing"/>
        <w:numPr>
          <w:ilvl w:val="1"/>
          <w:numId w:val="10"/>
        </w:numPr>
        <w:ind w:left="720"/>
        <w:rPr>
          <w:rFonts w:cs="Times New Roman"/>
          <w:sz w:val="20"/>
          <w:szCs w:val="20"/>
        </w:rPr>
      </w:pPr>
      <w:r w:rsidRPr="00D608EE">
        <w:rPr>
          <w:rFonts w:cs="Times New Roman"/>
          <w:sz w:val="20"/>
          <w:szCs w:val="20"/>
        </w:rPr>
        <w:t xml:space="preserve">The Blood Bank Medical Director is even </w:t>
      </w:r>
      <w:r w:rsidR="00626F9B" w:rsidRPr="00D608EE">
        <w:rPr>
          <w:rFonts w:cs="Times New Roman"/>
          <w:sz w:val="20"/>
          <w:szCs w:val="20"/>
        </w:rPr>
        <w:t>responsible for the educational requirements of hospital staff physicians, residents, nurses, and blood bankers.</w:t>
      </w:r>
    </w:p>
    <w:p w:rsidR="00FA30D4" w:rsidRPr="00D608EE" w:rsidRDefault="00FA30D4" w:rsidP="00B61BAA">
      <w:pPr>
        <w:pStyle w:val="NoSpacing"/>
        <w:rPr>
          <w:rFonts w:cs="Times New Roman"/>
          <w:sz w:val="20"/>
          <w:szCs w:val="20"/>
        </w:rPr>
      </w:pPr>
    </w:p>
    <w:p w:rsidR="00C326D9" w:rsidRDefault="00FA30D4" w:rsidP="00B61BAA">
      <w:pPr>
        <w:pStyle w:val="NoSpacing"/>
        <w:rPr>
          <w:rFonts w:cs="Times New Roman"/>
          <w:sz w:val="20"/>
          <w:szCs w:val="20"/>
        </w:rPr>
      </w:pPr>
      <w:r w:rsidRPr="00D608EE">
        <w:rPr>
          <w:rFonts w:cs="Times New Roman"/>
          <w:sz w:val="20"/>
          <w:szCs w:val="20"/>
        </w:rPr>
        <w:t>The goal of the AABB Standards Chat is to increase staff awareness as to their purpose and how they impact the blood banks policies and procedures.  If you have a question about AABB standards, please see a member of BB Leadership.</w:t>
      </w:r>
    </w:p>
    <w:p w:rsidR="00FD4E7D" w:rsidRPr="00C326D9" w:rsidRDefault="00C326D9" w:rsidP="00C326D9">
      <w:pPr>
        <w:tabs>
          <w:tab w:val="left" w:pos="7185"/>
        </w:tabs>
      </w:pPr>
      <w:r>
        <w:tab/>
      </w:r>
    </w:p>
    <w:sectPr w:rsidR="00FD4E7D" w:rsidRPr="00C326D9" w:rsidSect="00555327">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14" w:rsidRDefault="00104414" w:rsidP="00D232AB">
      <w:pPr>
        <w:spacing w:after="0" w:line="240" w:lineRule="auto"/>
      </w:pPr>
      <w:r>
        <w:separator/>
      </w:r>
    </w:p>
  </w:endnote>
  <w:endnote w:type="continuationSeparator" w:id="0">
    <w:p w:rsidR="00104414" w:rsidRDefault="00104414" w:rsidP="00D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9" w:rsidRDefault="00C3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013092"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013092"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AABB Standards</w:t>
    </w:r>
    <w:r w:rsidR="00054B2A">
      <w:rPr>
        <w:rFonts w:ascii="Times New Roman" w:hAnsi="Times New Roman" w:cs="Times New Roman"/>
        <w:sz w:val="16"/>
        <w:szCs w:val="16"/>
      </w:rPr>
      <w:t>\AABB Standards 1</w:t>
    </w:r>
    <w:r w:rsidR="00054B2A">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r>
    <w:r w:rsidRPr="00013092">
      <w:rPr>
        <w:rFonts w:ascii="Times New Roman" w:hAnsi="Times New Roman" w:cs="Times New Roman"/>
        <w:sz w:val="16"/>
        <w:szCs w:val="16"/>
      </w:rPr>
      <w:t xml:space="preserve"> REVISED:  </w:t>
    </w:r>
    <w:r w:rsidR="00C326D9">
      <w:rPr>
        <w:rFonts w:ascii="Times New Roman" w:hAnsi="Times New Roman" w:cs="Times New Roman"/>
        <w:sz w:val="16"/>
        <w:szCs w:val="16"/>
      </w:rPr>
      <w:t>9</w:t>
    </w:r>
    <w:r w:rsidRPr="00013092">
      <w:rPr>
        <w:rFonts w:ascii="Times New Roman" w:hAnsi="Times New Roman" w:cs="Times New Roman"/>
        <w:sz w:val="16"/>
        <w:szCs w:val="16"/>
      </w:rPr>
      <w:t>/</w:t>
    </w:r>
    <w:r w:rsidR="00C326D9">
      <w:rPr>
        <w:rFonts w:ascii="Times New Roman" w:hAnsi="Times New Roman" w:cs="Times New Roman"/>
        <w:sz w:val="16"/>
        <w:szCs w:val="16"/>
      </w:rPr>
      <w:t>4</w:t>
    </w:r>
    <w:r w:rsidRPr="00013092">
      <w:rPr>
        <w:rFonts w:ascii="Times New Roman" w:hAnsi="Times New Roman" w:cs="Times New Roman"/>
        <w:sz w:val="16"/>
        <w:szCs w:val="16"/>
      </w:rPr>
      <w:t xml:space="preserve">/19 AP   EFFECTIVE:  </w:t>
    </w:r>
    <w:r w:rsidR="00800830">
      <w:rPr>
        <w:rFonts w:ascii="Times New Roman" w:hAnsi="Times New Roman" w:cs="Times New Roman"/>
        <w:sz w:val="16"/>
        <w:szCs w:val="16"/>
      </w:rPr>
      <w:t>9</w:t>
    </w:r>
    <w:r w:rsidRPr="00013092">
      <w:rPr>
        <w:rFonts w:ascii="Times New Roman" w:hAnsi="Times New Roman" w:cs="Times New Roman"/>
        <w:sz w:val="16"/>
        <w:szCs w:val="16"/>
      </w:rPr>
      <w:t>/</w:t>
    </w:r>
    <w:r w:rsidR="00800830">
      <w:rPr>
        <w:rFonts w:ascii="Times New Roman" w:hAnsi="Times New Roman" w:cs="Times New Roman"/>
        <w:sz w:val="16"/>
        <w:szCs w:val="16"/>
      </w:rPr>
      <w:t>10</w:t>
    </w:r>
    <w:r w:rsidRPr="00013092">
      <w:rPr>
        <w:rFonts w:ascii="Times New Roman" w:hAnsi="Times New Roman" w:cs="Times New Roman"/>
        <w:sz w:val="16"/>
        <w:szCs w:val="16"/>
      </w:rPr>
      <w:t>/</w:t>
    </w:r>
    <w:r w:rsidR="00800830">
      <w:rPr>
        <w:rFonts w:ascii="Times New Roman" w:hAnsi="Times New Roman" w:cs="Times New Roman"/>
        <w:sz w:val="16"/>
        <w:szCs w:val="16"/>
      </w:rPr>
      <w:t>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9" w:rsidRDefault="00C3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14" w:rsidRDefault="00104414" w:rsidP="00D232AB">
      <w:pPr>
        <w:spacing w:after="0" w:line="240" w:lineRule="auto"/>
      </w:pPr>
      <w:r>
        <w:separator/>
      </w:r>
    </w:p>
  </w:footnote>
  <w:footnote w:type="continuationSeparator" w:id="0">
    <w:p w:rsidR="00104414" w:rsidRDefault="00104414" w:rsidP="00D2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9" w:rsidRDefault="00C3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D232AB"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D232AB"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sidR="00C67118">
      <w:rPr>
        <w:rFonts w:ascii="Times New Roman" w:hAnsi="Times New Roman" w:cs="Times New Roman"/>
        <w:sz w:val="20"/>
      </w:rPr>
      <w:t>U</w:t>
    </w:r>
    <w:r w:rsidRPr="00D232AB">
      <w:rPr>
        <w:rFonts w:ascii="Times New Roman" w:hAnsi="Times New Roman" w:cs="Times New Roman"/>
        <w:sz w:val="20"/>
      </w:rPr>
      <w:t>ING EDUCATION MATERIAL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9" w:rsidRDefault="00C3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086"/>
      </v:shape>
    </w:pict>
  </w:numPicBullet>
  <w:abstractNum w:abstractNumId="0" w15:restartNumberingAfterBreak="0">
    <w:nsid w:val="0D35534C"/>
    <w:multiLevelType w:val="hybridMultilevel"/>
    <w:tmpl w:val="9D3EE8C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BE1B72"/>
    <w:multiLevelType w:val="hybridMultilevel"/>
    <w:tmpl w:val="97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46C14"/>
    <w:multiLevelType w:val="multilevel"/>
    <w:tmpl w:val="F438C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E329F"/>
    <w:multiLevelType w:val="hybridMultilevel"/>
    <w:tmpl w:val="78DACC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B2028"/>
    <w:multiLevelType w:val="hybridMultilevel"/>
    <w:tmpl w:val="8196FDB8"/>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60882"/>
    <w:multiLevelType w:val="hybridMultilevel"/>
    <w:tmpl w:val="48BCB9FE"/>
    <w:lvl w:ilvl="0" w:tplc="04090001">
      <w:start w:val="1"/>
      <w:numFmt w:val="bullet"/>
      <w:lvlText w:val=""/>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A7236B"/>
    <w:multiLevelType w:val="hybridMultilevel"/>
    <w:tmpl w:val="F8DA7252"/>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000B"/>
    <w:multiLevelType w:val="hybridMultilevel"/>
    <w:tmpl w:val="B3EE48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1097F"/>
    <w:multiLevelType w:val="hybridMultilevel"/>
    <w:tmpl w:val="2646C49C"/>
    <w:lvl w:ilvl="0" w:tplc="04090001">
      <w:start w:val="1"/>
      <w:numFmt w:val="bullet"/>
      <w:lvlText w:val=""/>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4B4877"/>
    <w:multiLevelType w:val="hybridMultilevel"/>
    <w:tmpl w:val="816C9CB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0376E"/>
    <w:multiLevelType w:val="multilevel"/>
    <w:tmpl w:val="5EC88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6E6DED"/>
    <w:multiLevelType w:val="hybridMultilevel"/>
    <w:tmpl w:val="D8B8A828"/>
    <w:lvl w:ilvl="0" w:tplc="04090001">
      <w:start w:val="1"/>
      <w:numFmt w:val="bullet"/>
      <w:lvlText w:val=""/>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155B4D"/>
    <w:multiLevelType w:val="multilevel"/>
    <w:tmpl w:val="B5E6DED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51950A8F"/>
    <w:multiLevelType w:val="hybridMultilevel"/>
    <w:tmpl w:val="62EC7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B3793C"/>
    <w:multiLevelType w:val="hybridMultilevel"/>
    <w:tmpl w:val="4FAA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B33DA"/>
    <w:multiLevelType w:val="hybridMultilevel"/>
    <w:tmpl w:val="7AFA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34E1C"/>
    <w:multiLevelType w:val="hybridMultilevel"/>
    <w:tmpl w:val="A30EE61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81931"/>
    <w:multiLevelType w:val="hybridMultilevel"/>
    <w:tmpl w:val="BA0E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2"/>
  </w:num>
  <w:num w:numId="4">
    <w:abstractNumId w:val="10"/>
  </w:num>
  <w:num w:numId="5">
    <w:abstractNumId w:val="1"/>
  </w:num>
  <w:num w:numId="6">
    <w:abstractNumId w:val="15"/>
  </w:num>
  <w:num w:numId="7">
    <w:abstractNumId w:val="12"/>
  </w:num>
  <w:num w:numId="8">
    <w:abstractNumId w:val="8"/>
  </w:num>
  <w:num w:numId="9">
    <w:abstractNumId w:val="6"/>
  </w:num>
  <w:num w:numId="10">
    <w:abstractNumId w:val="5"/>
  </w:num>
  <w:num w:numId="11">
    <w:abstractNumId w:val="11"/>
  </w:num>
  <w:num w:numId="12">
    <w:abstractNumId w:val="13"/>
  </w:num>
  <w:num w:numId="13">
    <w:abstractNumId w:val="0"/>
  </w:num>
  <w:num w:numId="14">
    <w:abstractNumId w:val="3"/>
  </w:num>
  <w:num w:numId="15">
    <w:abstractNumId w:val="7"/>
  </w:num>
  <w:num w:numId="16">
    <w:abstractNumId w:val="1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AB"/>
    <w:rsid w:val="00013092"/>
    <w:rsid w:val="0003638A"/>
    <w:rsid w:val="00054B2A"/>
    <w:rsid w:val="000F4836"/>
    <w:rsid w:val="00104414"/>
    <w:rsid w:val="003A7FBE"/>
    <w:rsid w:val="00443AB5"/>
    <w:rsid w:val="00484A12"/>
    <w:rsid w:val="004D4517"/>
    <w:rsid w:val="004E269A"/>
    <w:rsid w:val="00555327"/>
    <w:rsid w:val="00626F9B"/>
    <w:rsid w:val="00705911"/>
    <w:rsid w:val="00741E7F"/>
    <w:rsid w:val="00796BF3"/>
    <w:rsid w:val="007B76A7"/>
    <w:rsid w:val="007C4A09"/>
    <w:rsid w:val="00800830"/>
    <w:rsid w:val="008531D9"/>
    <w:rsid w:val="00910A7F"/>
    <w:rsid w:val="00916F14"/>
    <w:rsid w:val="00AA693D"/>
    <w:rsid w:val="00AC1570"/>
    <w:rsid w:val="00B204DD"/>
    <w:rsid w:val="00B21272"/>
    <w:rsid w:val="00B51E7F"/>
    <w:rsid w:val="00B61BAA"/>
    <w:rsid w:val="00BC27A1"/>
    <w:rsid w:val="00C326D9"/>
    <w:rsid w:val="00C60FBB"/>
    <w:rsid w:val="00C67118"/>
    <w:rsid w:val="00CC5B47"/>
    <w:rsid w:val="00CD24DC"/>
    <w:rsid w:val="00D232AB"/>
    <w:rsid w:val="00D608EE"/>
    <w:rsid w:val="00EA075D"/>
    <w:rsid w:val="00EB7F0F"/>
    <w:rsid w:val="00ED6BC3"/>
    <w:rsid w:val="00FA30D4"/>
    <w:rsid w:val="00FD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345106"/>
  <w15:docId w15:val="{A52D0831-1762-4A2F-B35A-372845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AB"/>
  </w:style>
  <w:style w:type="paragraph" w:styleId="Footer">
    <w:name w:val="footer"/>
    <w:basedOn w:val="Normal"/>
    <w:link w:val="FooterChar"/>
    <w:uiPriority w:val="99"/>
    <w:unhideWhenUsed/>
    <w:rsid w:val="00D2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AB"/>
  </w:style>
  <w:style w:type="paragraph" w:styleId="ListParagraph">
    <w:name w:val="List Paragraph"/>
    <w:basedOn w:val="Normal"/>
    <w:uiPriority w:val="34"/>
    <w:qFormat/>
    <w:rsid w:val="00D232AB"/>
    <w:pPr>
      <w:ind w:left="720"/>
      <w:contextualSpacing/>
    </w:pPr>
  </w:style>
  <w:style w:type="paragraph" w:styleId="NoSpacing">
    <w:name w:val="No Spacing"/>
    <w:uiPriority w:val="1"/>
    <w:qFormat/>
    <w:rsid w:val="00443AB5"/>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910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Peterson, Anthony</cp:lastModifiedBy>
  <cp:revision>6</cp:revision>
  <cp:lastPrinted>2019-09-05T01:22:00Z</cp:lastPrinted>
  <dcterms:created xsi:type="dcterms:W3CDTF">2019-09-05T01:00:00Z</dcterms:created>
  <dcterms:modified xsi:type="dcterms:W3CDTF">2019-09-11T17:38:00Z</dcterms:modified>
</cp:coreProperties>
</file>