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B9" w:rsidRPr="00AD7F8C" w:rsidRDefault="006363B9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</w:p>
    <w:p w:rsidR="00484A12" w:rsidRPr="00AD7F8C" w:rsidRDefault="00484A12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  <w:r w:rsidRPr="00AD7F8C">
        <w:rPr>
          <w:rFonts w:cs="Times New Roman"/>
          <w:sz w:val="20"/>
          <w:szCs w:val="20"/>
        </w:rPr>
        <w:t>AABB Standards vol</w:t>
      </w:r>
      <w:r w:rsidR="00D608EE" w:rsidRPr="00AD7F8C">
        <w:rPr>
          <w:rFonts w:cs="Times New Roman"/>
          <w:sz w:val="20"/>
          <w:szCs w:val="20"/>
        </w:rPr>
        <w:t>ume</w:t>
      </w:r>
      <w:r w:rsidRPr="00AD7F8C">
        <w:rPr>
          <w:rFonts w:cs="Times New Roman"/>
          <w:sz w:val="20"/>
          <w:szCs w:val="20"/>
        </w:rPr>
        <w:t xml:space="preserve"> </w:t>
      </w:r>
      <w:r w:rsidR="00E351CF" w:rsidRPr="00AD7F8C">
        <w:rPr>
          <w:rFonts w:cs="Times New Roman"/>
          <w:sz w:val="20"/>
          <w:szCs w:val="20"/>
        </w:rPr>
        <w:t>3</w:t>
      </w:r>
    </w:p>
    <w:p w:rsidR="00FD4E7D" w:rsidRPr="00AD7F8C" w:rsidRDefault="00FD4E7D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</w:p>
    <w:p w:rsidR="00626F9B" w:rsidRPr="00AD7F8C" w:rsidRDefault="00E351CF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  <w:r w:rsidRPr="00AD7F8C">
        <w:rPr>
          <w:rFonts w:cs="Times New Roman"/>
          <w:sz w:val="20"/>
          <w:szCs w:val="20"/>
        </w:rPr>
        <w:t xml:space="preserve">In the previous standards chat, we discussed how the </w:t>
      </w:r>
      <w:r w:rsidRPr="00AD7F8C">
        <w:rPr>
          <w:rFonts w:cs="Times New Roman"/>
          <w:i/>
          <w:sz w:val="20"/>
          <w:szCs w:val="20"/>
        </w:rPr>
        <w:t xml:space="preserve">Quality Program </w:t>
      </w:r>
      <w:r w:rsidRPr="00AD7F8C">
        <w:rPr>
          <w:rFonts w:cs="Times New Roman"/>
          <w:sz w:val="20"/>
          <w:szCs w:val="20"/>
        </w:rPr>
        <w:t xml:space="preserve">and </w:t>
      </w:r>
      <w:r w:rsidRPr="00AD7F8C">
        <w:rPr>
          <w:rFonts w:cs="Times New Roman"/>
          <w:i/>
          <w:sz w:val="20"/>
          <w:szCs w:val="20"/>
        </w:rPr>
        <w:t>Internal Audits</w:t>
      </w:r>
      <w:r w:rsidRPr="00AD7F8C">
        <w:rPr>
          <w:rFonts w:cs="Times New Roman"/>
          <w:sz w:val="20"/>
          <w:szCs w:val="20"/>
        </w:rPr>
        <w:t xml:space="preserve"> lay the groundwork for improving and assessing the Blood Bank.  In this chat we will discuss the effect that AABB Standards have on our policies and procedures.</w:t>
      </w:r>
      <w:r w:rsidR="00C60FBB" w:rsidRPr="00AD7F8C">
        <w:rPr>
          <w:rFonts w:cs="Times New Roman"/>
          <w:sz w:val="20"/>
          <w:szCs w:val="20"/>
        </w:rPr>
        <w:br/>
      </w:r>
    </w:p>
    <w:p w:rsidR="00C60FBB" w:rsidRPr="00AD7F8C" w:rsidRDefault="00C60FBB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  <w:r w:rsidRPr="00AD7F8C">
        <w:rPr>
          <w:rFonts w:cs="Times New Roman"/>
          <w:b/>
          <w:sz w:val="20"/>
          <w:szCs w:val="20"/>
        </w:rPr>
        <w:t>1.3</w:t>
      </w:r>
      <w:r w:rsidRPr="00AD7F8C">
        <w:rPr>
          <w:rFonts w:cs="Times New Roman"/>
          <w:sz w:val="20"/>
          <w:szCs w:val="20"/>
        </w:rPr>
        <w:t xml:space="preserve"> </w:t>
      </w:r>
      <w:r w:rsidRPr="00AD7F8C">
        <w:rPr>
          <w:rFonts w:cs="Times New Roman"/>
          <w:b/>
          <w:sz w:val="20"/>
          <w:szCs w:val="20"/>
        </w:rPr>
        <w:t>Policies, Processes and Procedures</w:t>
      </w:r>
      <w:r w:rsidRPr="00AD7F8C">
        <w:rPr>
          <w:rFonts w:cs="Times New Roman"/>
          <w:sz w:val="20"/>
          <w:szCs w:val="20"/>
        </w:rPr>
        <w:t xml:space="preserve"> </w:t>
      </w:r>
    </w:p>
    <w:p w:rsidR="00C60FBB" w:rsidRPr="00AD7F8C" w:rsidRDefault="00C60FBB" w:rsidP="00C17167">
      <w:pPr>
        <w:pStyle w:val="NoSpacing"/>
        <w:numPr>
          <w:ilvl w:val="0"/>
          <w:numId w:val="18"/>
        </w:numPr>
        <w:spacing w:line="276" w:lineRule="auto"/>
        <w:ind w:left="540"/>
        <w:rPr>
          <w:rFonts w:cs="Times New Roman"/>
          <w:b/>
          <w:sz w:val="20"/>
          <w:szCs w:val="20"/>
        </w:rPr>
      </w:pPr>
      <w:r w:rsidRPr="00AD7F8C">
        <w:rPr>
          <w:rFonts w:cs="Times New Roman"/>
          <w:sz w:val="20"/>
          <w:szCs w:val="20"/>
        </w:rPr>
        <w:t>Quality and operational policies, processes, and procedures shall be developed and implemented to ensure that the requirements of these BB/TS Standards are satisfied. All such policies, processes, and procedures shall be in writing or captured electronically and shall be followed.</w:t>
      </w:r>
    </w:p>
    <w:p w:rsidR="00C60FBB" w:rsidRPr="009C140A" w:rsidRDefault="00C60FBB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b/>
          <w:sz w:val="20"/>
          <w:szCs w:val="20"/>
        </w:rPr>
      </w:pPr>
      <w:r w:rsidRPr="00AD7F8C">
        <w:rPr>
          <w:rFonts w:cs="Times New Roman"/>
          <w:sz w:val="20"/>
          <w:szCs w:val="20"/>
        </w:rPr>
        <w:t xml:space="preserve">Per AABB Standards, we even have a policy dictating how a policy/procedure is created and changed.  </w:t>
      </w:r>
      <w:r w:rsidR="00D608EE" w:rsidRPr="00AD7F8C">
        <w:rPr>
          <w:rFonts w:cs="Times New Roman"/>
          <w:i/>
          <w:sz w:val="20"/>
          <w:szCs w:val="20"/>
        </w:rPr>
        <w:t>Policy and Procedure Creation/Revision Procedure</w:t>
      </w:r>
    </w:p>
    <w:p w:rsidR="00AF1DCA" w:rsidRDefault="00AF1DCA" w:rsidP="00C17167">
      <w:pPr>
        <w:pStyle w:val="NoSpacing"/>
        <w:numPr>
          <w:ilvl w:val="2"/>
          <w:numId w:val="18"/>
        </w:numPr>
        <w:spacing w:line="276" w:lineRule="auto"/>
        <w:ind w:left="99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Our </w:t>
      </w:r>
      <w:r w:rsidR="009C140A" w:rsidRPr="00AD7F8C">
        <w:rPr>
          <w:rFonts w:cs="Times New Roman"/>
          <w:sz w:val="20"/>
          <w:szCs w:val="20"/>
        </w:rPr>
        <w:t>Blood Bank SOPs may</w:t>
      </w:r>
      <w:r>
        <w:rPr>
          <w:rFonts w:cs="Times New Roman"/>
          <w:sz w:val="20"/>
          <w:szCs w:val="20"/>
        </w:rPr>
        <w:t xml:space="preserve"> be</w:t>
      </w:r>
      <w:r w:rsidR="009C140A" w:rsidRPr="00AD7F8C">
        <w:rPr>
          <w:rFonts w:cs="Times New Roman"/>
          <w:sz w:val="20"/>
          <w:szCs w:val="20"/>
        </w:rPr>
        <w:t xml:space="preserve"> constrain</w:t>
      </w:r>
      <w:r w:rsidR="009C140A">
        <w:rPr>
          <w:rFonts w:cs="Times New Roman"/>
          <w:sz w:val="20"/>
          <w:szCs w:val="20"/>
        </w:rPr>
        <w:t xml:space="preserve">ed further by Lab-wide policies such as the </w:t>
      </w:r>
      <w:r w:rsidR="009C140A">
        <w:rPr>
          <w:rFonts w:cs="Times New Roman"/>
          <w:i/>
          <w:sz w:val="20"/>
          <w:szCs w:val="20"/>
        </w:rPr>
        <w:t>Policy and Procedure Creation/Revision</w:t>
      </w:r>
      <w:r w:rsidR="00CA390B">
        <w:rPr>
          <w:rFonts w:cs="Times New Roman"/>
          <w:i/>
          <w:sz w:val="20"/>
          <w:szCs w:val="20"/>
        </w:rPr>
        <w:t>-Global</w:t>
      </w:r>
      <w:r>
        <w:rPr>
          <w:rFonts w:cs="Times New Roman"/>
          <w:sz w:val="20"/>
          <w:szCs w:val="20"/>
        </w:rPr>
        <w:t xml:space="preserve">.  </w:t>
      </w:r>
    </w:p>
    <w:p w:rsidR="009C140A" w:rsidRPr="009C140A" w:rsidRDefault="00AF1DCA" w:rsidP="00C17167">
      <w:pPr>
        <w:pStyle w:val="NoSpacing"/>
        <w:numPr>
          <w:ilvl w:val="2"/>
          <w:numId w:val="18"/>
        </w:numPr>
        <w:spacing w:line="276" w:lineRule="auto"/>
        <w:ind w:left="99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If the global policy has a requirement, we must also follow that requirement, however, our Blood Bank specific policies are often more specific and specialized than the comparable global policies.</w:t>
      </w:r>
    </w:p>
    <w:p w:rsidR="00B204DD" w:rsidRPr="00AD7F8C" w:rsidRDefault="00C60FBB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b/>
          <w:sz w:val="20"/>
          <w:szCs w:val="20"/>
        </w:rPr>
      </w:pPr>
      <w:r w:rsidRPr="00AD7F8C">
        <w:rPr>
          <w:rFonts w:cs="Times New Roman"/>
          <w:sz w:val="20"/>
          <w:szCs w:val="20"/>
        </w:rPr>
        <w:t xml:space="preserve">SOPs are to be considered written instructions from the BB Medical Director.  This is especially important since Dr. Treml is legally responsible for the Blood Bank (as discussed in </w:t>
      </w:r>
      <w:proofErr w:type="spellStart"/>
      <w:r w:rsidRPr="00AD7F8C">
        <w:rPr>
          <w:rFonts w:cs="Times New Roman"/>
          <w:sz w:val="20"/>
          <w:szCs w:val="20"/>
        </w:rPr>
        <w:t>vol</w:t>
      </w:r>
      <w:proofErr w:type="spellEnd"/>
      <w:r w:rsidRPr="00AD7F8C">
        <w:rPr>
          <w:rFonts w:cs="Times New Roman"/>
          <w:sz w:val="20"/>
          <w:szCs w:val="20"/>
        </w:rPr>
        <w:t xml:space="preserve"> 1).</w:t>
      </w:r>
    </w:p>
    <w:p w:rsidR="00AD7F8C" w:rsidRPr="00AD7F8C" w:rsidRDefault="00D608EE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sz w:val="20"/>
          <w:szCs w:val="20"/>
        </w:rPr>
      </w:pPr>
      <w:r w:rsidRPr="00AD7F8C">
        <w:rPr>
          <w:rFonts w:cs="Times New Roman"/>
          <w:sz w:val="20"/>
          <w:szCs w:val="20"/>
        </w:rPr>
        <w:t>Did you know?  When a revision is implemented in a procedure, all prior versio</w:t>
      </w:r>
      <w:r w:rsidR="005A6834" w:rsidRPr="00AD7F8C">
        <w:rPr>
          <w:rFonts w:cs="Times New Roman"/>
          <w:sz w:val="20"/>
          <w:szCs w:val="20"/>
        </w:rPr>
        <w:t xml:space="preserve">ns of the SOP are saved in </w:t>
      </w:r>
      <w:proofErr w:type="spellStart"/>
      <w:r w:rsidR="005A6834" w:rsidRPr="00AD7F8C">
        <w:rPr>
          <w:rFonts w:cs="Times New Roman"/>
          <w:sz w:val="20"/>
          <w:szCs w:val="20"/>
        </w:rPr>
        <w:t>Polic</w:t>
      </w:r>
      <w:r w:rsidRPr="00AD7F8C">
        <w:rPr>
          <w:rFonts w:cs="Times New Roman"/>
          <w:sz w:val="20"/>
          <w:szCs w:val="20"/>
        </w:rPr>
        <w:t>ystat</w:t>
      </w:r>
      <w:proofErr w:type="spellEnd"/>
      <w:r w:rsidRPr="00AD7F8C">
        <w:rPr>
          <w:rFonts w:cs="Times New Roman"/>
          <w:sz w:val="20"/>
          <w:szCs w:val="20"/>
        </w:rPr>
        <w:t>!</w:t>
      </w:r>
    </w:p>
    <w:p w:rsidR="00AD7F8C" w:rsidRDefault="00AD7F8C" w:rsidP="00C171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140A" w:rsidRDefault="00AD7F8C" w:rsidP="00C17167">
      <w:pPr>
        <w:autoSpaceDE w:val="0"/>
        <w:autoSpaceDN w:val="0"/>
        <w:adjustRightInd w:val="0"/>
        <w:spacing w:after="0"/>
        <w:rPr>
          <w:rFonts w:cs="Times New Roman"/>
          <w:color w:val="0000FF"/>
          <w:sz w:val="20"/>
          <w:szCs w:val="20"/>
        </w:rPr>
      </w:pPr>
      <w:r w:rsidRPr="00AD7F8C">
        <w:rPr>
          <w:rFonts w:ascii="Times New Roman" w:hAnsi="Times New Roman" w:cs="Times New Roman"/>
          <w:b/>
          <w:bCs/>
          <w:sz w:val="20"/>
          <w:szCs w:val="20"/>
        </w:rPr>
        <w:t xml:space="preserve">1.3.1 </w:t>
      </w:r>
      <w:r w:rsidRPr="00AD7F8C">
        <w:rPr>
          <w:rFonts w:ascii="Times New Roman" w:hAnsi="Times New Roman" w:cs="Times New Roman"/>
          <w:sz w:val="20"/>
          <w:szCs w:val="20"/>
        </w:rPr>
        <w:t>The medical director shall approve all medical and technical policies, processes, and</w:t>
      </w:r>
      <w:r w:rsidR="009C140A">
        <w:rPr>
          <w:rFonts w:ascii="Times New Roman" w:hAnsi="Times New Roman" w:cs="Times New Roman"/>
          <w:sz w:val="20"/>
          <w:szCs w:val="20"/>
        </w:rPr>
        <w:t xml:space="preserve"> </w:t>
      </w:r>
      <w:r w:rsidRPr="00AD7F8C">
        <w:rPr>
          <w:rFonts w:ascii="Times New Roman" w:hAnsi="Times New Roman" w:cs="Times New Roman"/>
          <w:sz w:val="20"/>
          <w:szCs w:val="20"/>
        </w:rPr>
        <w:t>procedures.</w:t>
      </w:r>
      <w:r w:rsidR="009C140A">
        <w:rPr>
          <w:rFonts w:cs="Times New Roman"/>
          <w:sz w:val="20"/>
          <w:szCs w:val="20"/>
        </w:rPr>
        <w:t xml:space="preserve"> </w:t>
      </w:r>
      <w:r w:rsidRPr="00AD7F8C">
        <w:rPr>
          <w:rFonts w:cs="Times New Roman"/>
          <w:color w:val="0000FF"/>
          <w:sz w:val="20"/>
          <w:szCs w:val="20"/>
        </w:rPr>
        <w:t xml:space="preserve"> </w:t>
      </w:r>
    </w:p>
    <w:p w:rsidR="00AD7F8C" w:rsidRPr="009C140A" w:rsidRDefault="009C140A" w:rsidP="00C1716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left="540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D7F8C" w:rsidRPr="009C140A">
        <w:rPr>
          <w:rFonts w:ascii="Times New Roman" w:hAnsi="Times New Roman" w:cs="Times New Roman"/>
          <w:sz w:val="20"/>
          <w:szCs w:val="20"/>
        </w:rPr>
        <w:t>42 CFR 493.1251(b)</w:t>
      </w:r>
    </w:p>
    <w:p w:rsidR="009C140A" w:rsidRDefault="009C140A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sz w:val="20"/>
          <w:szCs w:val="20"/>
        </w:rPr>
      </w:pPr>
      <w:r w:rsidRPr="009C140A">
        <w:rPr>
          <w:rFonts w:cs="Times New Roman"/>
          <w:sz w:val="20"/>
          <w:szCs w:val="20"/>
        </w:rPr>
        <w:t>This is the first AABB Standard to list an applicable federal guideline.  The CFR guideline listed above is a detailed list of what a procedure manual</w:t>
      </w:r>
      <w:r w:rsidR="00CA390B">
        <w:rPr>
          <w:rFonts w:cs="Times New Roman"/>
          <w:sz w:val="20"/>
          <w:szCs w:val="20"/>
        </w:rPr>
        <w:t xml:space="preserve"> should consist of</w:t>
      </w:r>
      <w:r w:rsidR="00C17167">
        <w:rPr>
          <w:rFonts w:cs="Times New Roman"/>
          <w:sz w:val="20"/>
          <w:szCs w:val="20"/>
        </w:rPr>
        <w:t>,</w:t>
      </w:r>
      <w:r w:rsidR="00CA390B">
        <w:rPr>
          <w:rFonts w:cs="Times New Roman"/>
          <w:sz w:val="20"/>
          <w:szCs w:val="20"/>
        </w:rPr>
        <w:t xml:space="preserve"> such as</w:t>
      </w:r>
      <w:r w:rsidR="00C17167">
        <w:rPr>
          <w:rFonts w:cs="Times New Roman"/>
          <w:sz w:val="20"/>
          <w:szCs w:val="20"/>
        </w:rPr>
        <w:t>:</w:t>
      </w:r>
      <w:r w:rsidR="00CA390B">
        <w:rPr>
          <w:rFonts w:cs="Times New Roman"/>
          <w:sz w:val="20"/>
          <w:szCs w:val="20"/>
        </w:rPr>
        <w:t xml:space="preserve"> control procedures, limitations of the methodology, pertinent literature references, and more.</w:t>
      </w:r>
    </w:p>
    <w:p w:rsidR="00CA390B" w:rsidRDefault="00CA390B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Per the </w:t>
      </w:r>
      <w:r>
        <w:rPr>
          <w:rFonts w:cs="Times New Roman"/>
          <w:i/>
          <w:sz w:val="20"/>
          <w:szCs w:val="20"/>
        </w:rPr>
        <w:t>Policy and Procedure Creation/Revision Procedure</w:t>
      </w:r>
      <w:r>
        <w:rPr>
          <w:rFonts w:cs="Times New Roman"/>
          <w:sz w:val="20"/>
          <w:szCs w:val="20"/>
        </w:rPr>
        <w:t xml:space="preserve"> policy, the Blood Bank Manager and Medical Director must approve every new policy or procedu</w:t>
      </w:r>
      <w:r w:rsidR="00C17167">
        <w:rPr>
          <w:rFonts w:cs="Times New Roman"/>
          <w:sz w:val="20"/>
          <w:szCs w:val="20"/>
        </w:rPr>
        <w:t>re which is then given an immediate effective date.</w:t>
      </w:r>
    </w:p>
    <w:p w:rsidR="00C17167" w:rsidRPr="00C17167" w:rsidRDefault="00AF1DCA" w:rsidP="00C17167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It is vital that our procedure manuals are kept current, therefore</w:t>
      </w:r>
      <w:r w:rsidR="00C17167" w:rsidRPr="00AD7F8C">
        <w:rPr>
          <w:rFonts w:cs="Times New Roman"/>
          <w:sz w:val="20"/>
          <w:szCs w:val="20"/>
        </w:rPr>
        <w:t xml:space="preserve"> all policies, training materials and downtime forms are</w:t>
      </w:r>
      <w:r w:rsidR="00C17167">
        <w:rPr>
          <w:rFonts w:cs="Times New Roman"/>
          <w:sz w:val="20"/>
          <w:szCs w:val="20"/>
        </w:rPr>
        <w:t xml:space="preserve"> required to be</w:t>
      </w:r>
      <w:r w:rsidR="00C17167" w:rsidRPr="00AD7F8C">
        <w:rPr>
          <w:rFonts w:cs="Times New Roman"/>
          <w:sz w:val="20"/>
          <w:szCs w:val="20"/>
        </w:rPr>
        <w:t xml:space="preserve"> reviewed by Chris on a biennial basis.</w:t>
      </w:r>
    </w:p>
    <w:p w:rsidR="00AD7F8C" w:rsidRDefault="00AD7F8C" w:rsidP="00C171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140A" w:rsidRDefault="00AD7F8C" w:rsidP="00C17167">
      <w:pPr>
        <w:autoSpaceDE w:val="0"/>
        <w:autoSpaceDN w:val="0"/>
        <w:adjustRightInd w:val="0"/>
        <w:spacing w:after="0"/>
        <w:ind w:left="450" w:hanging="450"/>
        <w:rPr>
          <w:rFonts w:cs="Times New Roman"/>
          <w:sz w:val="20"/>
          <w:szCs w:val="20"/>
        </w:rPr>
      </w:pPr>
      <w:r w:rsidRPr="00AD7F8C">
        <w:rPr>
          <w:rFonts w:ascii="Times New Roman" w:hAnsi="Times New Roman" w:cs="Times New Roman"/>
          <w:b/>
          <w:bCs/>
          <w:sz w:val="20"/>
          <w:szCs w:val="20"/>
        </w:rPr>
        <w:t xml:space="preserve">1.3.2 </w:t>
      </w:r>
      <w:r w:rsidRPr="00AD7F8C">
        <w:rPr>
          <w:rFonts w:ascii="Times New Roman" w:hAnsi="Times New Roman" w:cs="Times New Roman"/>
          <w:sz w:val="20"/>
          <w:szCs w:val="20"/>
        </w:rPr>
        <w:t>Any exceptions to policies, processes, and procedures warranted by clinical situations</w:t>
      </w:r>
      <w:r w:rsidR="009C140A">
        <w:rPr>
          <w:rFonts w:ascii="Times New Roman" w:hAnsi="Times New Roman" w:cs="Times New Roman"/>
          <w:sz w:val="20"/>
          <w:szCs w:val="20"/>
        </w:rPr>
        <w:t xml:space="preserve"> </w:t>
      </w:r>
      <w:r w:rsidRPr="00AD7F8C">
        <w:rPr>
          <w:rFonts w:ascii="Times New Roman" w:hAnsi="Times New Roman" w:cs="Times New Roman"/>
          <w:sz w:val="20"/>
          <w:szCs w:val="20"/>
        </w:rPr>
        <w:t>shall require justification and preapproval by the medical director. Chapter 7, Deviations,</w:t>
      </w:r>
      <w:r w:rsidR="009C14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7F8C">
        <w:rPr>
          <w:rFonts w:ascii="Times New Roman" w:hAnsi="Times New Roman" w:cs="Times New Roman"/>
          <w:sz w:val="20"/>
          <w:szCs w:val="20"/>
        </w:rPr>
        <w:t>Nonconformances</w:t>
      </w:r>
      <w:proofErr w:type="spellEnd"/>
      <w:r w:rsidRPr="00AD7F8C">
        <w:rPr>
          <w:rFonts w:ascii="Times New Roman" w:hAnsi="Times New Roman" w:cs="Times New Roman"/>
          <w:sz w:val="20"/>
          <w:szCs w:val="20"/>
        </w:rPr>
        <w:t>, and Adverse Events, applies.</w:t>
      </w:r>
    </w:p>
    <w:p w:rsidR="00C17167" w:rsidRDefault="00C17167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This standard may be more familiar as we frequently access the </w:t>
      </w:r>
      <w:r>
        <w:rPr>
          <w:rFonts w:cs="Times New Roman"/>
          <w:i/>
          <w:sz w:val="20"/>
          <w:szCs w:val="20"/>
        </w:rPr>
        <w:t>Exceptions to Policies, Processes, and Procedures</w:t>
      </w:r>
      <w:r>
        <w:rPr>
          <w:rFonts w:cs="Times New Roman"/>
          <w:sz w:val="20"/>
          <w:szCs w:val="20"/>
        </w:rPr>
        <w:t xml:space="preserve"> policy in our day-to-day in the Blood Bank.</w:t>
      </w:r>
    </w:p>
    <w:p w:rsidR="00C17167" w:rsidRDefault="00C17167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 accommodate this standard, the Exception to Policy Process or Procedure form was created and is used to document any situation that the Medical Director deems an exception is required.</w:t>
      </w:r>
    </w:p>
    <w:p w:rsidR="00C60FBB" w:rsidRPr="00AD7F8C" w:rsidRDefault="00C17167" w:rsidP="00C17167">
      <w:pPr>
        <w:pStyle w:val="NoSpacing"/>
        <w:numPr>
          <w:ilvl w:val="1"/>
          <w:numId w:val="18"/>
        </w:numPr>
        <w:spacing w:line="276" w:lineRule="auto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justification must be included on every form, and must be retained for a minimum of 10 years.</w:t>
      </w:r>
      <w:r w:rsidR="00C60FBB" w:rsidRPr="00AD7F8C">
        <w:rPr>
          <w:rFonts w:cs="Times New Roman"/>
          <w:sz w:val="20"/>
          <w:szCs w:val="20"/>
        </w:rPr>
        <w:br/>
      </w:r>
    </w:p>
    <w:p w:rsidR="00C17167" w:rsidRDefault="00C17167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</w:p>
    <w:p w:rsidR="00C17167" w:rsidRDefault="00C17167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</w:p>
    <w:p w:rsidR="00C17167" w:rsidRDefault="00C17167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</w:p>
    <w:p w:rsidR="00C17167" w:rsidRDefault="00C17167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</w:p>
    <w:p w:rsidR="00C17167" w:rsidRDefault="00C17167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</w:p>
    <w:p w:rsidR="000D4B2B" w:rsidRDefault="004E269A" w:rsidP="00C17167">
      <w:pPr>
        <w:pStyle w:val="NoSpacing"/>
        <w:spacing w:line="276" w:lineRule="auto"/>
        <w:rPr>
          <w:rFonts w:cs="Times New Roman"/>
          <w:sz w:val="20"/>
          <w:szCs w:val="20"/>
        </w:rPr>
      </w:pPr>
      <w:r w:rsidRPr="00AD7F8C">
        <w:rPr>
          <w:rFonts w:cs="Times New Roman"/>
          <w:sz w:val="20"/>
          <w:szCs w:val="20"/>
        </w:rPr>
        <w:t>The goal of the AABB Standards Chat is to increase staff awareness as to their purpose and how they impact the blood banks policies and procedures.  If you have a question about AABB standards, please see a member of BB Leadership.</w:t>
      </w:r>
    </w:p>
    <w:p w:rsidR="00443AB5" w:rsidRPr="000D4B2B" w:rsidRDefault="000D4B2B" w:rsidP="000D4B2B">
      <w:pPr>
        <w:tabs>
          <w:tab w:val="left" w:pos="8040"/>
        </w:tabs>
      </w:pPr>
      <w:r>
        <w:tab/>
      </w:r>
    </w:p>
    <w:sectPr w:rsidR="00443AB5" w:rsidRPr="000D4B2B" w:rsidSect="00555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14" w:rsidRDefault="00104414" w:rsidP="00D232AB">
      <w:pPr>
        <w:spacing w:after="0" w:line="240" w:lineRule="auto"/>
      </w:pPr>
      <w:r>
        <w:separator/>
      </w:r>
    </w:p>
  </w:endnote>
  <w:endnote w:type="continuationSeparator" w:id="0">
    <w:p w:rsidR="00104414" w:rsidRDefault="00104414" w:rsidP="00D2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2B" w:rsidRDefault="000D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92" w:rsidRPr="00013092" w:rsidRDefault="00013092" w:rsidP="00013092">
    <w:pPr>
      <w:pStyle w:val="Footer"/>
      <w:rPr>
        <w:rFonts w:ascii="Times New Roman" w:hAnsi="Times New Roman" w:cs="Times New Roman"/>
        <w:sz w:val="16"/>
        <w:szCs w:val="16"/>
      </w:rPr>
    </w:pPr>
    <w:r w:rsidRPr="00013092">
      <w:rPr>
        <w:rFonts w:ascii="Times New Roman" w:hAnsi="Times New Roman" w:cs="Times New Roman"/>
        <w:sz w:val="16"/>
        <w:szCs w:val="16"/>
      </w:rPr>
      <w:t>Wisconsin Diagnostic Laboratories, Blood Bank, 9200 West Wisconsin Avenue, Milwaukee, WI 53226</w:t>
    </w:r>
  </w:p>
  <w:p w:rsidR="00013092" w:rsidRPr="00013092" w:rsidRDefault="00013092" w:rsidP="0001309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</w:t>
    </w:r>
    <w:r w:rsidRPr="00013092">
      <w:rPr>
        <w:rFonts w:ascii="Times New Roman" w:hAnsi="Times New Roman" w:cs="Times New Roman"/>
        <w:sz w:val="16"/>
        <w:szCs w:val="16"/>
      </w:rPr>
      <w:t>:\</w:t>
    </w:r>
    <w:r>
      <w:rPr>
        <w:rFonts w:ascii="Times New Roman" w:hAnsi="Times New Roman" w:cs="Times New Roman"/>
        <w:sz w:val="16"/>
        <w:szCs w:val="16"/>
      </w:rPr>
      <w:t>AABB Standards</w:t>
    </w:r>
    <w:r w:rsidR="00AD7F8C">
      <w:rPr>
        <w:rFonts w:ascii="Times New Roman" w:hAnsi="Times New Roman" w:cs="Times New Roman"/>
        <w:sz w:val="16"/>
        <w:szCs w:val="16"/>
      </w:rPr>
      <w:t>\AABB Standards 3</w:t>
    </w:r>
    <w:r w:rsidR="00054B2A">
      <w:rPr>
        <w:rFonts w:ascii="Times New Roman" w:hAnsi="Times New Roman" w:cs="Times New Roman"/>
        <w:sz w:val="16"/>
        <w:szCs w:val="16"/>
      </w:rPr>
      <w:tab/>
    </w:r>
    <w:r w:rsidRPr="00013092">
      <w:rPr>
        <w:rFonts w:ascii="Times New Roman" w:hAnsi="Times New Roman" w:cs="Times New Roman"/>
        <w:sz w:val="16"/>
        <w:szCs w:val="16"/>
      </w:rPr>
      <w:t xml:space="preserve">        </w:t>
    </w:r>
    <w:r>
      <w:rPr>
        <w:rFonts w:ascii="Times New Roman" w:hAnsi="Times New Roman" w:cs="Times New Roman"/>
        <w:sz w:val="16"/>
        <w:szCs w:val="16"/>
      </w:rPr>
      <w:tab/>
    </w:r>
    <w:r w:rsidRPr="00013092">
      <w:rPr>
        <w:rFonts w:ascii="Times New Roman" w:hAnsi="Times New Roman" w:cs="Times New Roman"/>
        <w:sz w:val="16"/>
        <w:szCs w:val="16"/>
      </w:rPr>
      <w:t xml:space="preserve"> </w:t>
    </w:r>
    <w:bookmarkStart w:id="0" w:name="_GoBack"/>
    <w:bookmarkEnd w:id="0"/>
    <w:r w:rsidR="000D4B2B">
      <w:rPr>
        <w:rFonts w:ascii="Times New Roman" w:hAnsi="Times New Roman" w:cs="Times New Roman"/>
        <w:sz w:val="16"/>
        <w:szCs w:val="16"/>
      </w:rPr>
      <w:t>AP   EFFECTIVE:  9</w:t>
    </w:r>
    <w:r w:rsidRPr="00013092">
      <w:rPr>
        <w:rFonts w:ascii="Times New Roman" w:hAnsi="Times New Roman" w:cs="Times New Roman"/>
        <w:sz w:val="16"/>
        <w:szCs w:val="16"/>
      </w:rPr>
      <w:t>/</w:t>
    </w:r>
    <w:r w:rsidR="000D4B2B">
      <w:rPr>
        <w:rFonts w:ascii="Times New Roman" w:hAnsi="Times New Roman" w:cs="Times New Roman"/>
        <w:sz w:val="16"/>
        <w:szCs w:val="16"/>
      </w:rPr>
      <w:t>10</w:t>
    </w:r>
    <w:r w:rsidRPr="00013092">
      <w:rPr>
        <w:rFonts w:ascii="Times New Roman" w:hAnsi="Times New Roman" w:cs="Times New Roman"/>
        <w:sz w:val="16"/>
        <w:szCs w:val="16"/>
      </w:rPr>
      <w:t>/</w:t>
    </w:r>
    <w:r w:rsidR="000D4B2B">
      <w:rPr>
        <w:rFonts w:ascii="Times New Roman" w:hAnsi="Times New Roman" w:cs="Times New Roman"/>
        <w:sz w:val="16"/>
        <w:szCs w:val="16"/>
      </w:rP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2B" w:rsidRDefault="000D4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14" w:rsidRDefault="00104414" w:rsidP="00D232AB">
      <w:pPr>
        <w:spacing w:after="0" w:line="240" w:lineRule="auto"/>
      </w:pPr>
      <w:r>
        <w:separator/>
      </w:r>
    </w:p>
  </w:footnote>
  <w:footnote w:type="continuationSeparator" w:id="0">
    <w:p w:rsidR="00104414" w:rsidRDefault="00104414" w:rsidP="00D2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2B" w:rsidRDefault="000D4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Pr="00D232AB" w:rsidRDefault="00D232AB" w:rsidP="00D232AB">
    <w:pPr>
      <w:pStyle w:val="Header"/>
      <w:jc w:val="center"/>
      <w:rPr>
        <w:rFonts w:ascii="Times New Roman" w:hAnsi="Times New Roman" w:cs="Times New Roman"/>
      </w:rPr>
    </w:pPr>
    <w:r w:rsidRPr="00D232AB">
      <w:rPr>
        <w:rFonts w:ascii="Times New Roman" w:hAnsi="Times New Roman" w:cs="Times New Roman"/>
      </w:rPr>
      <w:t>AABB STANDARDS CHAT</w:t>
    </w:r>
  </w:p>
  <w:p w:rsidR="00D232AB" w:rsidRPr="00D232AB" w:rsidRDefault="00D232AB" w:rsidP="00D232AB">
    <w:pPr>
      <w:pStyle w:val="Header"/>
      <w:jc w:val="center"/>
      <w:rPr>
        <w:rFonts w:ascii="Times New Roman" w:hAnsi="Times New Roman" w:cs="Times New Roman"/>
        <w:sz w:val="20"/>
      </w:rPr>
    </w:pPr>
    <w:r w:rsidRPr="00D232AB">
      <w:rPr>
        <w:rFonts w:ascii="Times New Roman" w:hAnsi="Times New Roman" w:cs="Times New Roman"/>
        <w:sz w:val="20"/>
      </w:rPr>
      <w:t>BLOOD BANK CONTIN</w:t>
    </w:r>
    <w:r w:rsidR="00C67118">
      <w:rPr>
        <w:rFonts w:ascii="Times New Roman" w:hAnsi="Times New Roman" w:cs="Times New Roman"/>
        <w:sz w:val="20"/>
      </w:rPr>
      <w:t>U</w:t>
    </w:r>
    <w:r w:rsidRPr="00D232AB">
      <w:rPr>
        <w:rFonts w:ascii="Times New Roman" w:hAnsi="Times New Roman" w:cs="Times New Roman"/>
        <w:sz w:val="20"/>
      </w:rPr>
      <w:t>ING EDUCATION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2B" w:rsidRDefault="000D4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86"/>
      </v:shape>
    </w:pict>
  </w:numPicBullet>
  <w:abstractNum w:abstractNumId="0" w15:restartNumberingAfterBreak="0">
    <w:nsid w:val="0B531F07"/>
    <w:multiLevelType w:val="hybridMultilevel"/>
    <w:tmpl w:val="160050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34C"/>
    <w:multiLevelType w:val="hybridMultilevel"/>
    <w:tmpl w:val="9D3EE8C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E1B72"/>
    <w:multiLevelType w:val="hybridMultilevel"/>
    <w:tmpl w:val="9776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1E04"/>
    <w:multiLevelType w:val="multilevel"/>
    <w:tmpl w:val="54D28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57266"/>
    <w:multiLevelType w:val="multilevel"/>
    <w:tmpl w:val="F3606D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46C14"/>
    <w:multiLevelType w:val="multilevel"/>
    <w:tmpl w:val="F438C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EE329F"/>
    <w:multiLevelType w:val="hybridMultilevel"/>
    <w:tmpl w:val="78DACC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B2028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60882"/>
    <w:multiLevelType w:val="hybridMultilevel"/>
    <w:tmpl w:val="48BCB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A7236B"/>
    <w:multiLevelType w:val="hybridMultilevel"/>
    <w:tmpl w:val="F8DA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1000B"/>
    <w:multiLevelType w:val="hybridMultilevel"/>
    <w:tmpl w:val="B3EE4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1097F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B4877"/>
    <w:multiLevelType w:val="hybridMultilevel"/>
    <w:tmpl w:val="816C9C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376E"/>
    <w:multiLevelType w:val="multilevel"/>
    <w:tmpl w:val="5EC88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6E6DED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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1389E"/>
    <w:multiLevelType w:val="multilevel"/>
    <w:tmpl w:val="F3606D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155B4D"/>
    <w:multiLevelType w:val="multilevel"/>
    <w:tmpl w:val="B5E6DED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51950A8F"/>
    <w:multiLevelType w:val="hybridMultilevel"/>
    <w:tmpl w:val="62EC7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B3793C"/>
    <w:multiLevelType w:val="hybridMultilevel"/>
    <w:tmpl w:val="4FAA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B33DA"/>
    <w:multiLevelType w:val="hybridMultilevel"/>
    <w:tmpl w:val="7AFA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77AD8"/>
    <w:multiLevelType w:val="multilevel"/>
    <w:tmpl w:val="44E6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1B2A02"/>
    <w:multiLevelType w:val="multilevel"/>
    <w:tmpl w:val="4A982E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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525DA7"/>
    <w:multiLevelType w:val="multilevel"/>
    <w:tmpl w:val="547468A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34E1C"/>
    <w:multiLevelType w:val="hybridMultilevel"/>
    <w:tmpl w:val="A30EE6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81931"/>
    <w:multiLevelType w:val="hybridMultilevel"/>
    <w:tmpl w:val="BA0E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441FD0"/>
    <w:multiLevelType w:val="multilevel"/>
    <w:tmpl w:val="54D28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13"/>
  </w:num>
  <w:num w:numId="5">
    <w:abstractNumId w:val="2"/>
  </w:num>
  <w:num w:numId="6">
    <w:abstractNumId w:val="19"/>
  </w:num>
  <w:num w:numId="7">
    <w:abstractNumId w:val="16"/>
  </w:num>
  <w:num w:numId="8">
    <w:abstractNumId w:val="11"/>
  </w:num>
  <w:num w:numId="9">
    <w:abstractNumId w:val="9"/>
  </w:num>
  <w:num w:numId="10">
    <w:abstractNumId w:val="8"/>
  </w:num>
  <w:num w:numId="11">
    <w:abstractNumId w:val="14"/>
  </w:num>
  <w:num w:numId="12">
    <w:abstractNumId w:val="17"/>
  </w:num>
  <w:num w:numId="13">
    <w:abstractNumId w:val="1"/>
  </w:num>
  <w:num w:numId="14">
    <w:abstractNumId w:val="6"/>
  </w:num>
  <w:num w:numId="15">
    <w:abstractNumId w:val="10"/>
  </w:num>
  <w:num w:numId="16">
    <w:abstractNumId w:val="23"/>
  </w:num>
  <w:num w:numId="17">
    <w:abstractNumId w:val="12"/>
  </w:num>
  <w:num w:numId="18">
    <w:abstractNumId w:val="7"/>
  </w:num>
  <w:num w:numId="19">
    <w:abstractNumId w:val="0"/>
  </w:num>
  <w:num w:numId="20">
    <w:abstractNumId w:val="21"/>
  </w:num>
  <w:num w:numId="21">
    <w:abstractNumId w:val="1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PicBulletId w:val="0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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22">
    <w:abstractNumId w:val="20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AB"/>
    <w:rsid w:val="00013092"/>
    <w:rsid w:val="0003638A"/>
    <w:rsid w:val="00054B2A"/>
    <w:rsid w:val="000D4B2B"/>
    <w:rsid w:val="000F0172"/>
    <w:rsid w:val="000F4836"/>
    <w:rsid w:val="00104414"/>
    <w:rsid w:val="003A7FBE"/>
    <w:rsid w:val="003F6131"/>
    <w:rsid w:val="00443AB5"/>
    <w:rsid w:val="00484A12"/>
    <w:rsid w:val="004E269A"/>
    <w:rsid w:val="00555327"/>
    <w:rsid w:val="005A6834"/>
    <w:rsid w:val="00626F9B"/>
    <w:rsid w:val="006363B9"/>
    <w:rsid w:val="00642072"/>
    <w:rsid w:val="006D2042"/>
    <w:rsid w:val="006D68EB"/>
    <w:rsid w:val="00705911"/>
    <w:rsid w:val="00741E7F"/>
    <w:rsid w:val="00796BF3"/>
    <w:rsid w:val="007B76A7"/>
    <w:rsid w:val="007C4A09"/>
    <w:rsid w:val="008531D9"/>
    <w:rsid w:val="0085491D"/>
    <w:rsid w:val="00910A7F"/>
    <w:rsid w:val="00916F14"/>
    <w:rsid w:val="009C140A"/>
    <w:rsid w:val="00AA693D"/>
    <w:rsid w:val="00AC1570"/>
    <w:rsid w:val="00AC7B3D"/>
    <w:rsid w:val="00AD7F8C"/>
    <w:rsid w:val="00AF1DCA"/>
    <w:rsid w:val="00B204DD"/>
    <w:rsid w:val="00B21272"/>
    <w:rsid w:val="00B4771F"/>
    <w:rsid w:val="00BC27A1"/>
    <w:rsid w:val="00C17167"/>
    <w:rsid w:val="00C60FBB"/>
    <w:rsid w:val="00C67118"/>
    <w:rsid w:val="00C67706"/>
    <w:rsid w:val="00CA390B"/>
    <w:rsid w:val="00CC5B47"/>
    <w:rsid w:val="00CD24DC"/>
    <w:rsid w:val="00D16AF7"/>
    <w:rsid w:val="00D232AB"/>
    <w:rsid w:val="00D608EE"/>
    <w:rsid w:val="00E351CF"/>
    <w:rsid w:val="00EA075D"/>
    <w:rsid w:val="00EB7F0F"/>
    <w:rsid w:val="00F82EAA"/>
    <w:rsid w:val="00FA30D4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0F2E97"/>
  <w15:docId w15:val="{A52D0831-1762-4A2F-B35A-3728455D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AB"/>
  </w:style>
  <w:style w:type="paragraph" w:styleId="Footer">
    <w:name w:val="footer"/>
    <w:basedOn w:val="Normal"/>
    <w:link w:val="FooterChar"/>
    <w:uiPriority w:val="99"/>
    <w:unhideWhenUsed/>
    <w:rsid w:val="00D2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AB"/>
  </w:style>
  <w:style w:type="paragraph" w:styleId="ListParagraph">
    <w:name w:val="List Paragraph"/>
    <w:basedOn w:val="Normal"/>
    <w:uiPriority w:val="34"/>
    <w:qFormat/>
    <w:rsid w:val="00D232AB"/>
    <w:pPr>
      <w:ind w:left="720"/>
      <w:contextualSpacing/>
    </w:pPr>
  </w:style>
  <w:style w:type="paragraph" w:styleId="NoSpacing">
    <w:name w:val="No Spacing"/>
    <w:uiPriority w:val="1"/>
    <w:qFormat/>
    <w:rsid w:val="00443AB5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Peterson, Anthony</cp:lastModifiedBy>
  <cp:revision>6</cp:revision>
  <cp:lastPrinted>2019-09-05T03:49:00Z</cp:lastPrinted>
  <dcterms:created xsi:type="dcterms:W3CDTF">2019-09-05T02:30:00Z</dcterms:created>
  <dcterms:modified xsi:type="dcterms:W3CDTF">2019-10-25T03:27:00Z</dcterms:modified>
</cp:coreProperties>
</file>