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7D" w:rsidRPr="002D2200" w:rsidRDefault="00484A12" w:rsidP="009D6146">
      <w:pPr>
        <w:pStyle w:val="NoSpacing"/>
        <w:tabs>
          <w:tab w:val="left" w:pos="540"/>
        </w:tabs>
        <w:spacing w:line="276" w:lineRule="auto"/>
        <w:rPr>
          <w:rFonts w:cs="Times New Roman"/>
        </w:rPr>
      </w:pPr>
      <w:r w:rsidRPr="002D2200">
        <w:rPr>
          <w:rFonts w:cs="Times New Roman"/>
        </w:rPr>
        <w:t>AABB Standards vol</w:t>
      </w:r>
      <w:r w:rsidR="00D608EE" w:rsidRPr="002D2200">
        <w:rPr>
          <w:rFonts w:cs="Times New Roman"/>
        </w:rPr>
        <w:t>ume</w:t>
      </w:r>
      <w:r w:rsidRPr="002D2200">
        <w:rPr>
          <w:rFonts w:cs="Times New Roman"/>
        </w:rPr>
        <w:t xml:space="preserve"> </w:t>
      </w:r>
      <w:r w:rsidR="00816643" w:rsidRPr="002D2200">
        <w:rPr>
          <w:rFonts w:cs="Times New Roman"/>
        </w:rPr>
        <w:t>5</w:t>
      </w:r>
      <w:r w:rsidR="006F26E4" w:rsidRPr="002D2200">
        <w:rPr>
          <w:rFonts w:cs="Times New Roman"/>
        </w:rPr>
        <w:br/>
      </w:r>
    </w:p>
    <w:p w:rsidR="00626F9B" w:rsidRPr="002D2200" w:rsidRDefault="00E351CF" w:rsidP="009D6146">
      <w:pPr>
        <w:pStyle w:val="NoSpacing"/>
        <w:tabs>
          <w:tab w:val="left" w:pos="540"/>
        </w:tabs>
        <w:spacing w:line="276" w:lineRule="auto"/>
        <w:rPr>
          <w:rFonts w:cs="Times New Roman"/>
        </w:rPr>
      </w:pPr>
      <w:r w:rsidRPr="002D2200">
        <w:rPr>
          <w:rFonts w:cs="Times New Roman"/>
        </w:rPr>
        <w:t>In the previous stan</w:t>
      </w:r>
      <w:r w:rsidR="00816643" w:rsidRPr="002D2200">
        <w:rPr>
          <w:rFonts w:cs="Times New Roman"/>
        </w:rPr>
        <w:t>dards chat, we discussed</w:t>
      </w:r>
      <w:r w:rsidR="009A6E39" w:rsidRPr="002D2200">
        <w:rPr>
          <w:rFonts w:cs="Times New Roman"/>
        </w:rPr>
        <w:t xml:space="preserve"> how the standards “Emergency Preparedness” and “Communications of Concerns” guide the Blood Bank’s policies and procedures</w:t>
      </w:r>
      <w:r w:rsidR="00816643" w:rsidRPr="002D2200">
        <w:rPr>
          <w:rFonts w:cs="Times New Roman"/>
        </w:rPr>
        <w:t xml:space="preserve">.  </w:t>
      </w:r>
      <w:r w:rsidR="00B17EA7" w:rsidRPr="002D2200">
        <w:rPr>
          <w:rFonts w:cs="Times New Roman"/>
        </w:rPr>
        <w:t xml:space="preserve">In this chat we will </w:t>
      </w:r>
      <w:r w:rsidR="00816643" w:rsidRPr="002D2200">
        <w:rPr>
          <w:rFonts w:cs="Times New Roman"/>
        </w:rPr>
        <w:t>discuss</w:t>
      </w:r>
      <w:r w:rsidR="009A6E39" w:rsidRPr="002D2200">
        <w:rPr>
          <w:rFonts w:cs="Times New Roman"/>
        </w:rPr>
        <w:t xml:space="preserve"> our customers and resources</w:t>
      </w:r>
      <w:r w:rsidR="009A2058" w:rsidRPr="002D2200">
        <w:rPr>
          <w:rFonts w:cs="Times New Roman"/>
        </w:rPr>
        <w:t>.</w:t>
      </w:r>
      <w:r w:rsidR="00C60FBB" w:rsidRPr="002D2200">
        <w:rPr>
          <w:rFonts w:cs="Times New Roman"/>
        </w:rPr>
        <w:br/>
      </w:r>
    </w:p>
    <w:p w:rsidR="00C60FBB" w:rsidRPr="002D2200" w:rsidRDefault="00C60FBB" w:rsidP="009D6146">
      <w:pPr>
        <w:pStyle w:val="NoSpacing"/>
        <w:spacing w:line="276" w:lineRule="auto"/>
        <w:rPr>
          <w:rFonts w:cs="Times New Roman"/>
          <w:b/>
        </w:rPr>
      </w:pPr>
      <w:r w:rsidRPr="002D2200">
        <w:rPr>
          <w:rFonts w:cs="Times New Roman"/>
          <w:b/>
        </w:rPr>
        <w:t>1.</w:t>
      </w:r>
      <w:r w:rsidR="00E6492D" w:rsidRPr="002D2200">
        <w:rPr>
          <w:rFonts w:cs="Times New Roman"/>
          <w:b/>
        </w:rPr>
        <w:t>6</w:t>
      </w:r>
      <w:r w:rsidRPr="002D2200">
        <w:rPr>
          <w:rFonts w:cs="Times New Roman"/>
          <w:b/>
        </w:rPr>
        <w:t xml:space="preserve"> </w:t>
      </w:r>
      <w:r w:rsidR="00E6492D" w:rsidRPr="002D2200">
        <w:rPr>
          <w:rFonts w:cs="Times New Roman"/>
          <w:b/>
        </w:rPr>
        <w:t>Customer Focus</w:t>
      </w:r>
      <w:r w:rsidRPr="002D2200">
        <w:rPr>
          <w:rFonts w:cs="Times New Roman"/>
          <w:b/>
        </w:rPr>
        <w:t xml:space="preserve"> </w:t>
      </w:r>
    </w:p>
    <w:p w:rsidR="00C60FBB" w:rsidRPr="002D2200" w:rsidRDefault="00E6492D" w:rsidP="009D6146">
      <w:pPr>
        <w:pStyle w:val="NoSpacing"/>
        <w:numPr>
          <w:ilvl w:val="0"/>
          <w:numId w:val="18"/>
        </w:numPr>
        <w:tabs>
          <w:tab w:val="left" w:pos="540"/>
        </w:tabs>
        <w:spacing w:line="276" w:lineRule="auto"/>
        <w:ind w:left="540"/>
        <w:rPr>
          <w:rFonts w:cs="Times New Roman"/>
        </w:rPr>
      </w:pPr>
      <w:r w:rsidRPr="002D2200">
        <w:rPr>
          <w:rFonts w:cs="Times New Roman"/>
        </w:rPr>
        <w:t>Executive management shall identify the blood bank’s or transfusion service’s customers and their needs and expectations for products and services.</w:t>
      </w:r>
    </w:p>
    <w:p w:rsidR="001630C6" w:rsidRPr="002D2200" w:rsidRDefault="001630C6" w:rsidP="009D6146">
      <w:pPr>
        <w:pStyle w:val="NoSpacing"/>
        <w:numPr>
          <w:ilvl w:val="0"/>
          <w:numId w:val="30"/>
        </w:numPr>
        <w:spacing w:line="276" w:lineRule="auto"/>
        <w:ind w:left="630"/>
        <w:rPr>
          <w:rFonts w:cs="Times New Roman"/>
        </w:rPr>
      </w:pPr>
      <w:r w:rsidRPr="002D2200">
        <w:rPr>
          <w:rFonts w:cs="Times New Roman"/>
        </w:rPr>
        <w:t>These products and services are defined in a service agreement</w:t>
      </w:r>
    </w:p>
    <w:p w:rsidR="001630C6" w:rsidRPr="002D2200" w:rsidRDefault="001630C6" w:rsidP="00CB2E35">
      <w:pPr>
        <w:pStyle w:val="NoSpacing"/>
        <w:numPr>
          <w:ilvl w:val="1"/>
          <w:numId w:val="30"/>
        </w:numPr>
        <w:spacing w:line="276" w:lineRule="auto"/>
        <w:ind w:left="990"/>
        <w:rPr>
          <w:rFonts w:cs="Times New Roman"/>
        </w:rPr>
      </w:pPr>
      <w:r w:rsidRPr="002D2200">
        <w:rPr>
          <w:rFonts w:cs="Times New Roman"/>
        </w:rPr>
        <w:t>Service agreements are required for any entities that we provide products.  Moorland Reserve and Flight for Life are examples of entities that we have service agreements with.</w:t>
      </w:r>
    </w:p>
    <w:p w:rsidR="00C60FBB" w:rsidRPr="002D2200" w:rsidRDefault="00287B83" w:rsidP="009D6146">
      <w:pPr>
        <w:pStyle w:val="NoSpacing"/>
        <w:numPr>
          <w:ilvl w:val="0"/>
          <w:numId w:val="30"/>
        </w:numPr>
        <w:spacing w:line="276" w:lineRule="auto"/>
        <w:ind w:left="630"/>
        <w:rPr>
          <w:rFonts w:cs="Times New Roman"/>
          <w:b/>
        </w:rPr>
      </w:pPr>
      <w:r w:rsidRPr="002D2200">
        <w:rPr>
          <w:rFonts w:cs="Times New Roman"/>
        </w:rPr>
        <w:t xml:space="preserve">The </w:t>
      </w:r>
      <w:r w:rsidRPr="002D2200">
        <w:rPr>
          <w:rFonts w:cs="Times New Roman"/>
          <w:i/>
        </w:rPr>
        <w:t>Type and Crossmatch/Type and Screen</w:t>
      </w:r>
      <w:r w:rsidRPr="002D2200">
        <w:rPr>
          <w:rFonts w:cs="Times New Roman"/>
        </w:rPr>
        <w:t xml:space="preserve"> procedure outlines the process by which physicians can request products for transfusion.</w:t>
      </w:r>
    </w:p>
    <w:p w:rsidR="00287B83" w:rsidRPr="002D2200" w:rsidRDefault="00287B83" w:rsidP="00287B83">
      <w:pPr>
        <w:pStyle w:val="NoSpacing"/>
        <w:numPr>
          <w:ilvl w:val="1"/>
          <w:numId w:val="30"/>
        </w:numPr>
        <w:spacing w:line="276" w:lineRule="auto"/>
        <w:ind w:left="990"/>
        <w:rPr>
          <w:rFonts w:cs="Times New Roman"/>
          <w:b/>
        </w:rPr>
      </w:pPr>
      <w:r w:rsidRPr="002D2200">
        <w:rPr>
          <w:rFonts w:cs="Times New Roman"/>
        </w:rPr>
        <w:t>This includes requests that arrive via EPIC, downtime forms, and phone orders.</w:t>
      </w:r>
    </w:p>
    <w:p w:rsidR="00AD7F8C" w:rsidRPr="002D2200" w:rsidRDefault="006D6ED5" w:rsidP="009A6E39">
      <w:pPr>
        <w:pStyle w:val="NoSpacing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630"/>
        <w:rPr>
          <w:rFonts w:cs="Times New Roman"/>
          <w:b/>
          <w:bCs/>
          <w:i/>
        </w:rPr>
      </w:pPr>
      <w:r w:rsidRPr="002D2200">
        <w:rPr>
          <w:rFonts w:cs="Times New Roman"/>
          <w:i/>
        </w:rPr>
        <w:t>Flight for Life Blood Product Storage</w:t>
      </w:r>
      <w:r w:rsidR="00287B83" w:rsidRPr="002D2200">
        <w:rPr>
          <w:rFonts w:cs="Times New Roman"/>
        </w:rPr>
        <w:t xml:space="preserve"> and </w:t>
      </w:r>
      <w:r w:rsidR="00287B83" w:rsidRPr="002D2200">
        <w:rPr>
          <w:rFonts w:cs="Times New Roman"/>
          <w:i/>
        </w:rPr>
        <w:t>Supplying Blood for Moorland Reserve Emergency Department</w:t>
      </w:r>
      <w:r w:rsidR="00287B83" w:rsidRPr="002D2200">
        <w:rPr>
          <w:rFonts w:cs="Times New Roman"/>
        </w:rPr>
        <w:t xml:space="preserve"> are procedures that outline the process by which we provide emergency products to our external customers.  </w:t>
      </w:r>
    </w:p>
    <w:p w:rsidR="00B17EA7" w:rsidRPr="002D2200" w:rsidRDefault="00287B83" w:rsidP="00816643">
      <w:pPr>
        <w:pStyle w:val="NoSpacing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990"/>
        <w:rPr>
          <w:rFonts w:cs="Times New Roman"/>
          <w:b/>
          <w:bCs/>
        </w:rPr>
      </w:pPr>
      <w:r w:rsidRPr="002D2200">
        <w:rPr>
          <w:rFonts w:cs="Times New Roman"/>
        </w:rPr>
        <w:t xml:space="preserve">These procedures further detail the </w:t>
      </w:r>
      <w:r w:rsidR="009A6E39" w:rsidRPr="002D2200">
        <w:rPr>
          <w:rFonts w:cs="Times New Roman"/>
        </w:rPr>
        <w:t>process by which these customers request replacement products, whether this need is the result of a transfusion or not.</w:t>
      </w:r>
      <w:r w:rsidR="00816643" w:rsidRPr="002D2200">
        <w:rPr>
          <w:rFonts w:cs="Times New Roman"/>
        </w:rPr>
        <w:br/>
      </w:r>
    </w:p>
    <w:p w:rsidR="009D6146" w:rsidRPr="002D2200" w:rsidRDefault="00E6492D" w:rsidP="00E6492D">
      <w:pPr>
        <w:tabs>
          <w:tab w:val="left" w:pos="540"/>
        </w:tabs>
        <w:autoSpaceDE w:val="0"/>
        <w:autoSpaceDN w:val="0"/>
        <w:adjustRightInd w:val="0"/>
        <w:spacing w:after="0"/>
        <w:ind w:left="450" w:hanging="450"/>
        <w:rPr>
          <w:rFonts w:ascii="Times New Roman" w:hAnsi="Times New Roman" w:cs="Times New Roman"/>
          <w:b/>
        </w:rPr>
      </w:pPr>
      <w:r w:rsidRPr="002D2200">
        <w:rPr>
          <w:rFonts w:ascii="Times New Roman" w:hAnsi="Times New Roman" w:cs="Times New Roman"/>
          <w:b/>
          <w:bCs/>
        </w:rPr>
        <w:t>2.0</w:t>
      </w:r>
      <w:r w:rsidR="00AD7F8C" w:rsidRPr="002D2200">
        <w:rPr>
          <w:rFonts w:ascii="Times New Roman" w:hAnsi="Times New Roman" w:cs="Times New Roman"/>
          <w:b/>
          <w:bCs/>
        </w:rPr>
        <w:t xml:space="preserve"> </w:t>
      </w:r>
      <w:r w:rsidRPr="002D2200">
        <w:rPr>
          <w:rFonts w:ascii="Times New Roman" w:hAnsi="Times New Roman" w:cs="Times New Roman"/>
          <w:b/>
          <w:bCs/>
        </w:rPr>
        <w:t>Resources</w:t>
      </w:r>
    </w:p>
    <w:p w:rsidR="00E6492D" w:rsidRPr="002D2200" w:rsidRDefault="00E6492D" w:rsidP="00E6492D">
      <w:pPr>
        <w:pStyle w:val="ListParagraph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/>
        <w:ind w:left="54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The BB/TS shall have policies, processes, and procedures to ensure the provision of adequate resources to perform, verify, and manage all activities in the BB/TS</w:t>
      </w:r>
    </w:p>
    <w:p w:rsidR="00DE327F" w:rsidRPr="002D2200" w:rsidRDefault="00DE327F" w:rsidP="00DE327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 xml:space="preserve">The Blood Bank procedure </w:t>
      </w:r>
      <w:r w:rsidRPr="002D2200">
        <w:rPr>
          <w:rFonts w:ascii="Times New Roman" w:hAnsi="Times New Roman" w:cs="Times New Roman"/>
          <w:i/>
        </w:rPr>
        <w:t>Inventory</w:t>
      </w:r>
      <w:r w:rsidRPr="002D2200">
        <w:rPr>
          <w:rFonts w:ascii="Times New Roman" w:hAnsi="Times New Roman" w:cs="Times New Roman"/>
        </w:rPr>
        <w:t xml:space="preserve"> itemizes the appropriate volume levels of various types of blood products via the </w:t>
      </w:r>
      <w:r w:rsidR="006D6ED5" w:rsidRPr="002D2200">
        <w:rPr>
          <w:rFonts w:ascii="Times New Roman" w:hAnsi="Times New Roman" w:cs="Times New Roman"/>
        </w:rPr>
        <w:t>“</w:t>
      </w:r>
      <w:r w:rsidRPr="002D2200">
        <w:rPr>
          <w:rFonts w:ascii="Times New Roman" w:hAnsi="Times New Roman" w:cs="Times New Roman"/>
        </w:rPr>
        <w:t>Stock Summary Minimums Form</w:t>
      </w:r>
      <w:r w:rsidR="006D6ED5" w:rsidRPr="002D2200">
        <w:rPr>
          <w:rFonts w:ascii="Times New Roman" w:hAnsi="Times New Roman" w:cs="Times New Roman"/>
        </w:rPr>
        <w:t>”</w:t>
      </w:r>
      <w:r w:rsidRPr="002D2200">
        <w:rPr>
          <w:rFonts w:ascii="Times New Roman" w:hAnsi="Times New Roman" w:cs="Times New Roman"/>
          <w:i/>
        </w:rPr>
        <w:t xml:space="preserve"> </w:t>
      </w:r>
      <w:r w:rsidRPr="002D2200">
        <w:rPr>
          <w:rFonts w:ascii="Times New Roman" w:hAnsi="Times New Roman" w:cs="Times New Roman"/>
        </w:rPr>
        <w:t>attachment.</w:t>
      </w:r>
    </w:p>
    <w:p w:rsidR="00083BDA" w:rsidRPr="002D2200" w:rsidRDefault="00DE327F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 xml:space="preserve">The </w:t>
      </w:r>
      <w:r w:rsidRPr="002D2200">
        <w:rPr>
          <w:rFonts w:ascii="Times New Roman" w:hAnsi="Times New Roman" w:cs="Times New Roman"/>
          <w:i/>
        </w:rPr>
        <w:t>Inventory</w:t>
      </w:r>
      <w:r w:rsidRPr="002D2200">
        <w:rPr>
          <w:rFonts w:ascii="Times New Roman" w:hAnsi="Times New Roman" w:cs="Times New Roman"/>
        </w:rPr>
        <w:t xml:space="preserve"> procedure also lists a myriad of additional tools for managing our bloo</w:t>
      </w:r>
      <w:r w:rsidR="00887F45" w:rsidRPr="002D2200">
        <w:rPr>
          <w:rFonts w:ascii="Times New Roman" w:hAnsi="Times New Roman" w:cs="Times New Roman"/>
        </w:rPr>
        <w:t>d levels and reagent levels.</w:t>
      </w:r>
    </w:p>
    <w:p w:rsidR="00887F45" w:rsidRPr="002D2200" w:rsidRDefault="00887F45" w:rsidP="009A6E3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Reports such as the Batch Crossmatch Release Report, the Batch Transfusion Report, and the Stock Status Summary Report aid us in managing and accurately ascertaining our blood inventory levels.</w:t>
      </w:r>
    </w:p>
    <w:p w:rsidR="00887F45" w:rsidRPr="002D2200" w:rsidRDefault="00887F45" w:rsidP="009A6E3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The short outdate tags assist the Blood Bank with optimizing the distribution of our blood products so that none are expiring on the shelf.</w:t>
      </w:r>
    </w:p>
    <w:p w:rsidR="006D6ED5" w:rsidRPr="002D2200" w:rsidRDefault="006D6ED5" w:rsidP="009A6E3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 xml:space="preserve">The </w:t>
      </w:r>
      <w:r w:rsidRPr="002D2200">
        <w:rPr>
          <w:rFonts w:ascii="Times New Roman" w:hAnsi="Times New Roman" w:cs="Times New Roman"/>
          <w:i/>
        </w:rPr>
        <w:t xml:space="preserve">Quality </w:t>
      </w:r>
      <w:r w:rsidRPr="002D2200">
        <w:rPr>
          <w:rFonts w:ascii="Times New Roman" w:hAnsi="Times New Roman" w:cs="Times New Roman"/>
        </w:rPr>
        <w:t>policy</w:t>
      </w:r>
      <w:r w:rsidRPr="002D2200">
        <w:rPr>
          <w:rFonts w:ascii="Times New Roman" w:hAnsi="Times New Roman" w:cs="Times New Roman"/>
          <w:i/>
        </w:rPr>
        <w:t xml:space="preserve"> </w:t>
      </w:r>
      <w:r w:rsidRPr="002D2200">
        <w:rPr>
          <w:rFonts w:ascii="Times New Roman" w:hAnsi="Times New Roman" w:cs="Times New Roman"/>
        </w:rPr>
        <w:t>discusses the personnel, equipment, and supplier needs of the Blood Bank</w:t>
      </w:r>
    </w:p>
    <w:p w:rsidR="00AD7F8C" w:rsidRPr="002D2200" w:rsidRDefault="00AD7F8C" w:rsidP="009D6146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36502" w:rsidRPr="002D2200" w:rsidRDefault="00E6492D" w:rsidP="009D6146">
      <w:pPr>
        <w:tabs>
          <w:tab w:val="left" w:pos="540"/>
        </w:tabs>
        <w:autoSpaceDE w:val="0"/>
        <w:autoSpaceDN w:val="0"/>
        <w:adjustRightInd w:val="0"/>
        <w:spacing w:after="0"/>
        <w:ind w:left="450" w:hanging="45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  <w:b/>
          <w:bCs/>
        </w:rPr>
        <w:t>2.1</w:t>
      </w:r>
      <w:r w:rsidR="00AD7F8C" w:rsidRPr="002D2200">
        <w:rPr>
          <w:rFonts w:ascii="Times New Roman" w:hAnsi="Times New Roman" w:cs="Times New Roman"/>
          <w:b/>
          <w:bCs/>
        </w:rPr>
        <w:t xml:space="preserve"> </w:t>
      </w:r>
      <w:r w:rsidRPr="002D2200">
        <w:rPr>
          <w:rFonts w:ascii="Times New Roman" w:hAnsi="Times New Roman" w:cs="Times New Roman"/>
          <w:b/>
        </w:rPr>
        <w:t>Human Resources</w:t>
      </w:r>
      <w:r w:rsidR="00AD7F8C" w:rsidRPr="002D2200">
        <w:rPr>
          <w:rFonts w:ascii="Times New Roman" w:hAnsi="Times New Roman" w:cs="Times New Roman"/>
        </w:rPr>
        <w:t xml:space="preserve"> </w:t>
      </w:r>
    </w:p>
    <w:p w:rsidR="00DC67A9" w:rsidRPr="002D2200" w:rsidRDefault="00E6492D" w:rsidP="009D6146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54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  <w:color w:val="000000"/>
        </w:rPr>
        <w:t>The BB/TS shall have a process to ensure the employment of an adequate number of individuals qualified by education, training, and/or experience.  Current job descriptions shall be maintained and shall define appropriate qualifications for each job position.</w:t>
      </w:r>
    </w:p>
    <w:p w:rsidR="00DC67A9" w:rsidRPr="002D2200" w:rsidRDefault="009E2D3B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  <w:i/>
        </w:rPr>
        <w:t>Hiring Policy</w:t>
      </w:r>
      <w:r w:rsidRPr="002D2200">
        <w:rPr>
          <w:rFonts w:ascii="Times New Roman" w:hAnsi="Times New Roman" w:cs="Times New Roman"/>
        </w:rPr>
        <w:t xml:space="preserve"> can be found within the WDL Human Resources policy area.  It outlines the process for screening, interviewing and hiring new employees.</w:t>
      </w:r>
    </w:p>
    <w:p w:rsidR="009E2D3B" w:rsidRPr="002D2200" w:rsidRDefault="009E2D3B" w:rsidP="00C2633F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The initial screening includes a review of qualifications, education, and past job experiences.</w:t>
      </w:r>
    </w:p>
    <w:p w:rsidR="009E2D3B" w:rsidRPr="002D2200" w:rsidRDefault="009E2D3B" w:rsidP="00C2633F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After the completion of interviews, HR works with department leaders to determine the most qualified candidate.</w:t>
      </w:r>
    </w:p>
    <w:p w:rsidR="00AC18B8" w:rsidRPr="002D2200" w:rsidRDefault="009E2D3B" w:rsidP="003D444E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 xml:space="preserve">Once an offer has been extended, a series of background checks, lab tests, and a physical are </w:t>
      </w:r>
      <w:r w:rsidR="00267EF6" w:rsidRPr="002D2200">
        <w:rPr>
          <w:rFonts w:ascii="Times New Roman" w:hAnsi="Times New Roman" w:cs="Times New Roman"/>
        </w:rPr>
        <w:t>conducted</w:t>
      </w:r>
      <w:r w:rsidRPr="002D2200">
        <w:rPr>
          <w:rFonts w:ascii="Times New Roman" w:hAnsi="Times New Roman" w:cs="Times New Roman"/>
        </w:rPr>
        <w:t xml:space="preserve"> to verify an </w:t>
      </w:r>
      <w:r w:rsidR="00267EF6" w:rsidRPr="002D2200">
        <w:rPr>
          <w:rFonts w:ascii="Times New Roman" w:hAnsi="Times New Roman" w:cs="Times New Roman"/>
        </w:rPr>
        <w:t>ap</w:t>
      </w:r>
      <w:bookmarkStart w:id="0" w:name="_GoBack"/>
      <w:bookmarkEnd w:id="0"/>
      <w:r w:rsidR="00267EF6" w:rsidRPr="002D2200">
        <w:rPr>
          <w:rFonts w:ascii="Times New Roman" w:hAnsi="Times New Roman" w:cs="Times New Roman"/>
        </w:rPr>
        <w:t>plicant’s</w:t>
      </w:r>
      <w:r w:rsidRPr="002D2200">
        <w:rPr>
          <w:rFonts w:ascii="Times New Roman" w:hAnsi="Times New Roman" w:cs="Times New Roman"/>
        </w:rPr>
        <w:t xml:space="preserve"> </w:t>
      </w:r>
      <w:r w:rsidR="00267EF6" w:rsidRPr="002D2200">
        <w:rPr>
          <w:rFonts w:ascii="Times New Roman" w:hAnsi="Times New Roman" w:cs="Times New Roman"/>
        </w:rPr>
        <w:t>qualification.</w:t>
      </w:r>
      <w:r w:rsidR="00AC18B8" w:rsidRPr="002D2200">
        <w:rPr>
          <w:rFonts w:ascii="Times New Roman" w:hAnsi="Times New Roman" w:cs="Times New Roman"/>
        </w:rPr>
        <w:br w:type="page"/>
      </w:r>
    </w:p>
    <w:p w:rsidR="00C2633F" w:rsidRPr="002D2200" w:rsidRDefault="00267EF6" w:rsidP="009D614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63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lastRenderedPageBreak/>
        <w:t xml:space="preserve">The Blood Bank tracks staffing requirements in the policy </w:t>
      </w:r>
      <w:r w:rsidRPr="002D2200">
        <w:rPr>
          <w:rFonts w:ascii="Times New Roman" w:hAnsi="Times New Roman" w:cs="Times New Roman"/>
          <w:i/>
        </w:rPr>
        <w:t>Blood Bank Staffing Requirements</w:t>
      </w:r>
      <w:r w:rsidRPr="002D2200">
        <w:rPr>
          <w:rFonts w:ascii="Times New Roman" w:hAnsi="Times New Roman" w:cs="Times New Roman"/>
        </w:rPr>
        <w:t xml:space="preserve">.  </w:t>
      </w:r>
    </w:p>
    <w:p w:rsidR="00267EF6" w:rsidRPr="002D2200" w:rsidRDefault="00C2633F" w:rsidP="00C2633F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T</w:t>
      </w:r>
      <w:r w:rsidR="00267EF6" w:rsidRPr="002D2200">
        <w:rPr>
          <w:rFonts w:ascii="Times New Roman" w:hAnsi="Times New Roman" w:cs="Times New Roman"/>
        </w:rPr>
        <w:t>his policy</w:t>
      </w:r>
      <w:r w:rsidRPr="002D2200">
        <w:rPr>
          <w:rFonts w:ascii="Times New Roman" w:hAnsi="Times New Roman" w:cs="Times New Roman"/>
        </w:rPr>
        <w:t xml:space="preserve"> lists</w:t>
      </w:r>
      <w:r w:rsidR="00267EF6" w:rsidRPr="002D2200">
        <w:rPr>
          <w:rFonts w:ascii="Times New Roman" w:hAnsi="Times New Roman" w:cs="Times New Roman"/>
        </w:rPr>
        <w:t xml:space="preserve"> </w:t>
      </w:r>
      <w:r w:rsidRPr="002D2200">
        <w:rPr>
          <w:rFonts w:ascii="Times New Roman" w:hAnsi="Times New Roman" w:cs="Times New Roman"/>
        </w:rPr>
        <w:t>the minimum and maximum staffing for the Blood Bank, and is reviewed every two years, or as needed.</w:t>
      </w:r>
    </w:p>
    <w:p w:rsidR="00C17167" w:rsidRPr="002D2200" w:rsidRDefault="003A57FC" w:rsidP="00C2633F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/>
        <w:ind w:left="990"/>
        <w:rPr>
          <w:rFonts w:ascii="Times New Roman" w:hAnsi="Times New Roman" w:cs="Times New Roman"/>
        </w:rPr>
      </w:pPr>
      <w:r w:rsidRPr="002D2200">
        <w:rPr>
          <w:rFonts w:ascii="Times New Roman" w:hAnsi="Times New Roman" w:cs="Times New Roman"/>
        </w:rPr>
        <w:t>The staffing</w:t>
      </w:r>
      <w:r w:rsidR="00C2633F" w:rsidRPr="002D2200">
        <w:rPr>
          <w:rFonts w:ascii="Times New Roman" w:hAnsi="Times New Roman" w:cs="Times New Roman"/>
        </w:rPr>
        <w:t xml:space="preserve"> needs</w:t>
      </w:r>
      <w:r w:rsidRPr="002D2200">
        <w:rPr>
          <w:rFonts w:ascii="Times New Roman" w:hAnsi="Times New Roman" w:cs="Times New Roman"/>
        </w:rPr>
        <w:t xml:space="preserve"> of the department</w:t>
      </w:r>
      <w:r w:rsidR="00C2633F" w:rsidRPr="002D2200">
        <w:rPr>
          <w:rFonts w:ascii="Times New Roman" w:hAnsi="Times New Roman" w:cs="Times New Roman"/>
        </w:rPr>
        <w:t xml:space="preserve"> are further branched into LTAs, MTs, processor duties, and bench duties.</w:t>
      </w:r>
      <w:r w:rsidR="00C60FBB" w:rsidRPr="002D2200">
        <w:rPr>
          <w:rFonts w:ascii="Times New Roman" w:hAnsi="Times New Roman" w:cs="Times New Roman"/>
        </w:rPr>
        <w:br/>
      </w:r>
    </w:p>
    <w:p w:rsidR="00443AB5" w:rsidRPr="002D2200" w:rsidRDefault="004E269A" w:rsidP="009D6146">
      <w:pPr>
        <w:pStyle w:val="NoSpacing"/>
        <w:tabs>
          <w:tab w:val="left" w:pos="540"/>
        </w:tabs>
        <w:spacing w:line="276" w:lineRule="auto"/>
        <w:rPr>
          <w:rFonts w:cs="Times New Roman"/>
        </w:rPr>
      </w:pPr>
      <w:r w:rsidRPr="002D2200">
        <w:rPr>
          <w:rFonts w:cs="Times New Roman"/>
        </w:rPr>
        <w:t>The goal of the AABB Standards Chat is to increase staff awareness as to their p</w:t>
      </w:r>
      <w:r w:rsidR="00D76E31" w:rsidRPr="002D2200">
        <w:rPr>
          <w:rFonts w:cs="Times New Roman"/>
        </w:rPr>
        <w:t>urpose and how they impact the B</w:t>
      </w:r>
      <w:r w:rsidRPr="002D2200">
        <w:rPr>
          <w:rFonts w:cs="Times New Roman"/>
        </w:rPr>
        <w:t xml:space="preserve">lood </w:t>
      </w:r>
      <w:r w:rsidR="00D76E31" w:rsidRPr="002D2200">
        <w:rPr>
          <w:rFonts w:cs="Times New Roman"/>
        </w:rPr>
        <w:t>B</w:t>
      </w:r>
      <w:r w:rsidRPr="002D2200">
        <w:rPr>
          <w:rFonts w:cs="Times New Roman"/>
        </w:rPr>
        <w:t>ank</w:t>
      </w:r>
      <w:r w:rsidR="00D76E31" w:rsidRPr="002D2200">
        <w:rPr>
          <w:rFonts w:cs="Times New Roman"/>
        </w:rPr>
        <w:t>’</w:t>
      </w:r>
      <w:r w:rsidRPr="002D2200">
        <w:rPr>
          <w:rFonts w:cs="Times New Roman"/>
        </w:rPr>
        <w:t>s policies and procedures.  If you have a question about AABB standards, please see a member of BB Leadership.</w:t>
      </w:r>
    </w:p>
    <w:sectPr w:rsidR="00443AB5" w:rsidRPr="002D2200" w:rsidSect="002D2200">
      <w:headerReference w:type="default" r:id="rId8"/>
      <w:footerReference w:type="default" r:id="rId9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6D" w:rsidRDefault="000D276D" w:rsidP="00D232AB">
      <w:pPr>
        <w:spacing w:after="0" w:line="240" w:lineRule="auto"/>
      </w:pPr>
      <w:r>
        <w:separator/>
      </w:r>
    </w:p>
  </w:endnote>
  <w:endnote w:type="continuationSeparator" w:id="0">
    <w:p w:rsidR="000D276D" w:rsidRDefault="000D276D" w:rsidP="00D2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92" w:rsidRPr="00013092" w:rsidRDefault="00013092" w:rsidP="00013092">
    <w:pPr>
      <w:pStyle w:val="Footer"/>
      <w:rPr>
        <w:rFonts w:ascii="Times New Roman" w:hAnsi="Times New Roman" w:cs="Times New Roman"/>
        <w:sz w:val="16"/>
        <w:szCs w:val="16"/>
      </w:rPr>
    </w:pPr>
    <w:r w:rsidRPr="00013092">
      <w:rPr>
        <w:rFonts w:ascii="Times New Roman" w:hAnsi="Times New Roman" w:cs="Times New Roman"/>
        <w:sz w:val="16"/>
        <w:szCs w:val="16"/>
      </w:rPr>
      <w:t>Wisconsin Diagnostic Laboratories, Blood Bank, 9200 West Wisconsin Avenue, Milwaukee, WI 53226</w:t>
    </w:r>
  </w:p>
  <w:p w:rsidR="00013092" w:rsidRPr="00013092" w:rsidRDefault="00013092" w:rsidP="0001309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</w:t>
    </w:r>
    <w:r w:rsidRPr="00013092">
      <w:rPr>
        <w:rFonts w:ascii="Times New Roman" w:hAnsi="Times New Roman" w:cs="Times New Roman"/>
        <w:sz w:val="16"/>
        <w:szCs w:val="16"/>
      </w:rPr>
      <w:t>:\</w:t>
    </w:r>
    <w:r>
      <w:rPr>
        <w:rFonts w:ascii="Times New Roman" w:hAnsi="Times New Roman" w:cs="Times New Roman"/>
        <w:sz w:val="16"/>
        <w:szCs w:val="16"/>
      </w:rPr>
      <w:t>AABB Standards</w:t>
    </w:r>
    <w:r w:rsidR="009A2058">
      <w:rPr>
        <w:rFonts w:ascii="Times New Roman" w:hAnsi="Times New Roman" w:cs="Times New Roman"/>
        <w:sz w:val="16"/>
        <w:szCs w:val="16"/>
      </w:rPr>
      <w:t xml:space="preserve">\AABB Standards </w:t>
    </w:r>
    <w:r w:rsidR="00816643">
      <w:rPr>
        <w:rFonts w:ascii="Times New Roman" w:hAnsi="Times New Roman" w:cs="Times New Roman"/>
        <w:sz w:val="16"/>
        <w:szCs w:val="16"/>
      </w:rPr>
      <w:t>5</w:t>
    </w:r>
    <w:r w:rsidR="00054B2A">
      <w:rPr>
        <w:rFonts w:ascii="Times New Roman" w:hAnsi="Times New Roman" w:cs="Times New Roman"/>
        <w:sz w:val="16"/>
        <w:szCs w:val="16"/>
      </w:rPr>
      <w:tab/>
    </w:r>
    <w:r w:rsidRPr="00013092">
      <w:rPr>
        <w:rFonts w:ascii="Times New Roman" w:hAnsi="Times New Roman" w:cs="Times New Roman"/>
        <w:sz w:val="16"/>
        <w:szCs w:val="16"/>
      </w:rPr>
      <w:t xml:space="preserve">        </w:t>
    </w:r>
    <w:r>
      <w:rPr>
        <w:rFonts w:ascii="Times New Roman" w:hAnsi="Times New Roman" w:cs="Times New Roman"/>
        <w:sz w:val="16"/>
        <w:szCs w:val="16"/>
      </w:rPr>
      <w:tab/>
    </w:r>
    <w:r w:rsidR="009A2058">
      <w:rPr>
        <w:rFonts w:ascii="Times New Roman" w:hAnsi="Times New Roman" w:cs="Times New Roman"/>
        <w:sz w:val="16"/>
        <w:szCs w:val="16"/>
      </w:rPr>
      <w:t xml:space="preserve"> AP   </w:t>
    </w:r>
    <w:r w:rsidR="00AB5BE7">
      <w:rPr>
        <w:rFonts w:ascii="Times New Roman" w:hAnsi="Times New Roman" w:cs="Times New Roman"/>
        <w:sz w:val="16"/>
        <w:szCs w:val="16"/>
      </w:rPr>
      <w:t>CREATED</w:t>
    </w:r>
    <w:r w:rsidR="009A2058">
      <w:rPr>
        <w:rFonts w:ascii="Times New Roman" w:hAnsi="Times New Roman" w:cs="Times New Roman"/>
        <w:sz w:val="16"/>
        <w:szCs w:val="16"/>
      </w:rPr>
      <w:t xml:space="preserve">: </w:t>
    </w:r>
    <w:r w:rsidR="00136458">
      <w:rPr>
        <w:rFonts w:ascii="Times New Roman" w:hAnsi="Times New Roman" w:cs="Times New Roman"/>
        <w:sz w:val="16"/>
        <w:szCs w:val="16"/>
      </w:rPr>
      <w:t>1</w:t>
    </w:r>
    <w:r w:rsidR="003B06C1">
      <w:rPr>
        <w:rFonts w:ascii="Times New Roman" w:hAnsi="Times New Roman" w:cs="Times New Roman"/>
        <w:sz w:val="16"/>
        <w:szCs w:val="16"/>
      </w:rPr>
      <w:t>1</w:t>
    </w:r>
    <w:r w:rsidRPr="00013092">
      <w:rPr>
        <w:rFonts w:ascii="Times New Roman" w:hAnsi="Times New Roman" w:cs="Times New Roman"/>
        <w:sz w:val="16"/>
        <w:szCs w:val="16"/>
      </w:rPr>
      <w:t>/</w:t>
    </w:r>
    <w:r w:rsidR="003B06C1">
      <w:rPr>
        <w:rFonts w:ascii="Times New Roman" w:hAnsi="Times New Roman" w:cs="Times New Roman"/>
        <w:sz w:val="16"/>
        <w:szCs w:val="16"/>
      </w:rPr>
      <w:t>12</w:t>
    </w:r>
    <w:r w:rsidRPr="00013092">
      <w:rPr>
        <w:rFonts w:ascii="Times New Roman" w:hAnsi="Times New Roman" w:cs="Times New Roman"/>
        <w:sz w:val="16"/>
        <w:szCs w:val="16"/>
      </w:rPr>
      <w:t>/</w:t>
    </w:r>
    <w:r w:rsidR="00136458">
      <w:rPr>
        <w:rFonts w:ascii="Times New Roman" w:hAnsi="Times New Roman" w:cs="Times New Roman"/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6D" w:rsidRDefault="000D276D" w:rsidP="00D232AB">
      <w:pPr>
        <w:spacing w:after="0" w:line="240" w:lineRule="auto"/>
      </w:pPr>
      <w:r>
        <w:separator/>
      </w:r>
    </w:p>
  </w:footnote>
  <w:footnote w:type="continuationSeparator" w:id="0">
    <w:p w:rsidR="000D276D" w:rsidRDefault="000D276D" w:rsidP="00D2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Pr="00D232AB" w:rsidRDefault="00D232AB" w:rsidP="00D232AB">
    <w:pPr>
      <w:pStyle w:val="Header"/>
      <w:jc w:val="center"/>
      <w:rPr>
        <w:rFonts w:ascii="Times New Roman" w:hAnsi="Times New Roman" w:cs="Times New Roman"/>
      </w:rPr>
    </w:pPr>
    <w:r w:rsidRPr="00D232AB">
      <w:rPr>
        <w:rFonts w:ascii="Times New Roman" w:hAnsi="Times New Roman" w:cs="Times New Roman"/>
      </w:rPr>
      <w:t>AABB STANDARDS CHAT</w:t>
    </w:r>
  </w:p>
  <w:p w:rsidR="00D232AB" w:rsidRPr="00D232AB" w:rsidRDefault="00D232AB" w:rsidP="00D232AB">
    <w:pPr>
      <w:pStyle w:val="Header"/>
      <w:jc w:val="center"/>
      <w:rPr>
        <w:rFonts w:ascii="Times New Roman" w:hAnsi="Times New Roman" w:cs="Times New Roman"/>
        <w:sz w:val="20"/>
      </w:rPr>
    </w:pPr>
    <w:r w:rsidRPr="00D232AB">
      <w:rPr>
        <w:rFonts w:ascii="Times New Roman" w:hAnsi="Times New Roman" w:cs="Times New Roman"/>
        <w:sz w:val="20"/>
      </w:rPr>
      <w:t>BLOOD BANK CONTIN</w:t>
    </w:r>
    <w:r w:rsidR="00C67118">
      <w:rPr>
        <w:rFonts w:ascii="Times New Roman" w:hAnsi="Times New Roman" w:cs="Times New Roman"/>
        <w:sz w:val="20"/>
      </w:rPr>
      <w:t>U</w:t>
    </w:r>
    <w:r w:rsidRPr="00D232AB">
      <w:rPr>
        <w:rFonts w:ascii="Times New Roman" w:hAnsi="Times New Roman" w:cs="Times New Roman"/>
        <w:sz w:val="20"/>
      </w:rPr>
      <w:t>ING EDUCATION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86"/>
      </v:shape>
    </w:pict>
  </w:numPicBullet>
  <w:abstractNum w:abstractNumId="0" w15:restartNumberingAfterBreak="0">
    <w:nsid w:val="002E0B31"/>
    <w:multiLevelType w:val="hybridMultilevel"/>
    <w:tmpl w:val="9A5897E2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531F07"/>
    <w:multiLevelType w:val="hybridMultilevel"/>
    <w:tmpl w:val="160050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34C"/>
    <w:multiLevelType w:val="hybridMultilevel"/>
    <w:tmpl w:val="9D3EE8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E1B72"/>
    <w:multiLevelType w:val="hybridMultilevel"/>
    <w:tmpl w:val="977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1E04"/>
    <w:multiLevelType w:val="multilevel"/>
    <w:tmpl w:val="54D28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266"/>
    <w:multiLevelType w:val="multilevel"/>
    <w:tmpl w:val="F3606D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46C14"/>
    <w:multiLevelType w:val="multilevel"/>
    <w:tmpl w:val="F438C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EE329F"/>
    <w:multiLevelType w:val="hybridMultilevel"/>
    <w:tmpl w:val="78DACC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B2028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60882"/>
    <w:multiLevelType w:val="hybridMultilevel"/>
    <w:tmpl w:val="48BCB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7236B"/>
    <w:multiLevelType w:val="hybridMultilevel"/>
    <w:tmpl w:val="F8DA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00B"/>
    <w:multiLevelType w:val="hybridMultilevel"/>
    <w:tmpl w:val="B3EE4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33F64"/>
    <w:multiLevelType w:val="hybridMultilevel"/>
    <w:tmpl w:val="3C70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1097F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4B4877"/>
    <w:multiLevelType w:val="hybridMultilevel"/>
    <w:tmpl w:val="816C9C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376E"/>
    <w:multiLevelType w:val="multilevel"/>
    <w:tmpl w:val="5EC88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6E6DED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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1389E"/>
    <w:multiLevelType w:val="multilevel"/>
    <w:tmpl w:val="F3606D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55B4D"/>
    <w:multiLevelType w:val="multilevel"/>
    <w:tmpl w:val="B5E6DED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1950A8F"/>
    <w:multiLevelType w:val="hybridMultilevel"/>
    <w:tmpl w:val="62EC7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3793C"/>
    <w:multiLevelType w:val="hybridMultilevel"/>
    <w:tmpl w:val="4FA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77135"/>
    <w:multiLevelType w:val="hybridMultilevel"/>
    <w:tmpl w:val="983C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B33DA"/>
    <w:multiLevelType w:val="hybridMultilevel"/>
    <w:tmpl w:val="7AF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77AD8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1B2A02"/>
    <w:multiLevelType w:val="multilevel"/>
    <w:tmpl w:val="4A982E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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525DA7"/>
    <w:multiLevelType w:val="multilevel"/>
    <w:tmpl w:val="547468A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D4F87"/>
    <w:multiLevelType w:val="hybridMultilevel"/>
    <w:tmpl w:val="63B2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34E1C"/>
    <w:multiLevelType w:val="hybridMultilevel"/>
    <w:tmpl w:val="A30EE6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931"/>
    <w:multiLevelType w:val="hybridMultilevel"/>
    <w:tmpl w:val="BA0E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441FD0"/>
    <w:multiLevelType w:val="multilevel"/>
    <w:tmpl w:val="54D28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6"/>
  </w:num>
  <w:num w:numId="4">
    <w:abstractNumId w:val="15"/>
  </w:num>
  <w:num w:numId="5">
    <w:abstractNumId w:val="3"/>
  </w:num>
  <w:num w:numId="6">
    <w:abstractNumId w:val="22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7"/>
  </w:num>
  <w:num w:numId="17">
    <w:abstractNumId w:val="14"/>
  </w:num>
  <w:num w:numId="18">
    <w:abstractNumId w:val="8"/>
  </w:num>
  <w:num w:numId="19">
    <w:abstractNumId w:val="1"/>
  </w:num>
  <w:num w:numId="20">
    <w:abstractNumId w:val="24"/>
  </w:num>
  <w:num w:numId="21">
    <w:abstractNumId w:val="16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PicBulletId w:val="0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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22">
    <w:abstractNumId w:val="23"/>
  </w:num>
  <w:num w:numId="23">
    <w:abstractNumId w:val="4"/>
  </w:num>
  <w:num w:numId="24">
    <w:abstractNumId w:val="29"/>
  </w:num>
  <w:num w:numId="25">
    <w:abstractNumId w:val="5"/>
  </w:num>
  <w:num w:numId="26">
    <w:abstractNumId w:val="17"/>
  </w:num>
  <w:num w:numId="27">
    <w:abstractNumId w:val="25"/>
  </w:num>
  <w:num w:numId="28">
    <w:abstractNumId w:val="26"/>
  </w:num>
  <w:num w:numId="29">
    <w:abstractNumId w:val="12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AB"/>
    <w:rsid w:val="00013092"/>
    <w:rsid w:val="0003638A"/>
    <w:rsid w:val="00054B2A"/>
    <w:rsid w:val="00083BDA"/>
    <w:rsid w:val="000D276D"/>
    <w:rsid w:val="000D4B2B"/>
    <w:rsid w:val="000F0172"/>
    <w:rsid w:val="000F4836"/>
    <w:rsid w:val="00104414"/>
    <w:rsid w:val="00136458"/>
    <w:rsid w:val="00142F25"/>
    <w:rsid w:val="001630C6"/>
    <w:rsid w:val="001803E9"/>
    <w:rsid w:val="001A6932"/>
    <w:rsid w:val="001F7CE5"/>
    <w:rsid w:val="00235F63"/>
    <w:rsid w:val="00267EF6"/>
    <w:rsid w:val="00287B83"/>
    <w:rsid w:val="002D2200"/>
    <w:rsid w:val="00366943"/>
    <w:rsid w:val="003A57FC"/>
    <w:rsid w:val="003A7FBE"/>
    <w:rsid w:val="003B06C1"/>
    <w:rsid w:val="003F6131"/>
    <w:rsid w:val="00443AB5"/>
    <w:rsid w:val="00484A12"/>
    <w:rsid w:val="004E269A"/>
    <w:rsid w:val="00555327"/>
    <w:rsid w:val="005A6834"/>
    <w:rsid w:val="0060251B"/>
    <w:rsid w:val="00626F9B"/>
    <w:rsid w:val="00633F21"/>
    <w:rsid w:val="006363B9"/>
    <w:rsid w:val="00642072"/>
    <w:rsid w:val="006574E0"/>
    <w:rsid w:val="006D2042"/>
    <w:rsid w:val="006D6ED5"/>
    <w:rsid w:val="006F26E4"/>
    <w:rsid w:val="00705911"/>
    <w:rsid w:val="00717D48"/>
    <w:rsid w:val="00741E7F"/>
    <w:rsid w:val="00796BF3"/>
    <w:rsid w:val="007B76A7"/>
    <w:rsid w:val="007C4A09"/>
    <w:rsid w:val="00816643"/>
    <w:rsid w:val="008531D9"/>
    <w:rsid w:val="0085491D"/>
    <w:rsid w:val="00887F45"/>
    <w:rsid w:val="00910A7F"/>
    <w:rsid w:val="00916F14"/>
    <w:rsid w:val="0092360B"/>
    <w:rsid w:val="009A2058"/>
    <w:rsid w:val="009A6E39"/>
    <w:rsid w:val="009C140A"/>
    <w:rsid w:val="009D6146"/>
    <w:rsid w:val="009E2D3B"/>
    <w:rsid w:val="00AA11CD"/>
    <w:rsid w:val="00AA693D"/>
    <w:rsid w:val="00AB5BE7"/>
    <w:rsid w:val="00AC1570"/>
    <w:rsid w:val="00AC18B8"/>
    <w:rsid w:val="00AC7B3D"/>
    <w:rsid w:val="00AD7F8C"/>
    <w:rsid w:val="00AF1DCA"/>
    <w:rsid w:val="00B17EA7"/>
    <w:rsid w:val="00B204DD"/>
    <w:rsid w:val="00B21272"/>
    <w:rsid w:val="00B4771F"/>
    <w:rsid w:val="00BC27A1"/>
    <w:rsid w:val="00C17167"/>
    <w:rsid w:val="00C2633F"/>
    <w:rsid w:val="00C60FBB"/>
    <w:rsid w:val="00C67118"/>
    <w:rsid w:val="00C67706"/>
    <w:rsid w:val="00CA390B"/>
    <w:rsid w:val="00CB2E35"/>
    <w:rsid w:val="00CC5B47"/>
    <w:rsid w:val="00CD24DC"/>
    <w:rsid w:val="00D16AF7"/>
    <w:rsid w:val="00D232AB"/>
    <w:rsid w:val="00D608EE"/>
    <w:rsid w:val="00D76E31"/>
    <w:rsid w:val="00DC67A9"/>
    <w:rsid w:val="00DE327F"/>
    <w:rsid w:val="00E351CF"/>
    <w:rsid w:val="00E36502"/>
    <w:rsid w:val="00E45944"/>
    <w:rsid w:val="00E6492D"/>
    <w:rsid w:val="00EA075D"/>
    <w:rsid w:val="00EB7F0F"/>
    <w:rsid w:val="00F82EAA"/>
    <w:rsid w:val="00FA30D4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BBDB92-994C-417A-809A-7579CB97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AB"/>
  </w:style>
  <w:style w:type="paragraph" w:styleId="Footer">
    <w:name w:val="footer"/>
    <w:basedOn w:val="Normal"/>
    <w:link w:val="FooterChar"/>
    <w:uiPriority w:val="99"/>
    <w:unhideWhenUsed/>
    <w:rsid w:val="00D2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AB"/>
  </w:style>
  <w:style w:type="paragraph" w:styleId="ListParagraph">
    <w:name w:val="List Paragraph"/>
    <w:basedOn w:val="Normal"/>
    <w:uiPriority w:val="34"/>
    <w:qFormat/>
    <w:rsid w:val="00D232AB"/>
    <w:pPr>
      <w:ind w:left="720"/>
      <w:contextualSpacing/>
    </w:pPr>
  </w:style>
  <w:style w:type="paragraph" w:styleId="NoSpacing">
    <w:name w:val="No Spacing"/>
    <w:uiPriority w:val="1"/>
    <w:qFormat/>
    <w:rsid w:val="00443AB5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E022-811E-469E-9DF0-4FA39132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Peterson, Anthony</cp:lastModifiedBy>
  <cp:revision>13</cp:revision>
  <cp:lastPrinted>2019-11-13T19:46:00Z</cp:lastPrinted>
  <dcterms:created xsi:type="dcterms:W3CDTF">2019-10-26T02:51:00Z</dcterms:created>
  <dcterms:modified xsi:type="dcterms:W3CDTF">2019-12-05T21:53:00Z</dcterms:modified>
</cp:coreProperties>
</file>