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E7D" w:rsidRPr="001630C6" w:rsidRDefault="00484A12" w:rsidP="009D6146">
      <w:pPr>
        <w:pStyle w:val="NoSpacing"/>
        <w:tabs>
          <w:tab w:val="left" w:pos="540"/>
        </w:tabs>
        <w:spacing w:line="276" w:lineRule="auto"/>
        <w:rPr>
          <w:rFonts w:cs="Times New Roman"/>
        </w:rPr>
      </w:pPr>
      <w:r w:rsidRPr="001630C6">
        <w:rPr>
          <w:rFonts w:cs="Times New Roman"/>
          <w:szCs w:val="20"/>
        </w:rPr>
        <w:t>AABB Standards vol</w:t>
      </w:r>
      <w:r w:rsidR="00D608EE" w:rsidRPr="001630C6">
        <w:rPr>
          <w:rFonts w:cs="Times New Roman"/>
          <w:szCs w:val="20"/>
        </w:rPr>
        <w:t>ume</w:t>
      </w:r>
      <w:r w:rsidRPr="001630C6">
        <w:rPr>
          <w:rFonts w:cs="Times New Roman"/>
          <w:szCs w:val="20"/>
        </w:rPr>
        <w:t xml:space="preserve"> </w:t>
      </w:r>
      <w:r w:rsidR="007A3ACC">
        <w:rPr>
          <w:rFonts w:cs="Times New Roman"/>
          <w:szCs w:val="20"/>
        </w:rPr>
        <w:t>6</w:t>
      </w:r>
      <w:r w:rsidR="006F26E4" w:rsidRPr="001630C6">
        <w:rPr>
          <w:rFonts w:cs="Times New Roman"/>
          <w:szCs w:val="20"/>
        </w:rPr>
        <w:br/>
      </w:r>
    </w:p>
    <w:p w:rsidR="00626F9B" w:rsidRPr="001630C6" w:rsidRDefault="00E351CF" w:rsidP="009D6146">
      <w:pPr>
        <w:pStyle w:val="NoSpacing"/>
        <w:tabs>
          <w:tab w:val="left" w:pos="540"/>
        </w:tabs>
        <w:spacing w:line="276" w:lineRule="auto"/>
        <w:rPr>
          <w:rFonts w:cs="Times New Roman"/>
        </w:rPr>
      </w:pPr>
      <w:r w:rsidRPr="001630C6">
        <w:rPr>
          <w:rFonts w:cs="Times New Roman"/>
        </w:rPr>
        <w:t>In the previous stan</w:t>
      </w:r>
      <w:r w:rsidR="00816643" w:rsidRPr="001630C6">
        <w:rPr>
          <w:rFonts w:cs="Times New Roman"/>
        </w:rPr>
        <w:t>dards chat, we discussed</w:t>
      </w:r>
      <w:r w:rsidR="009A6E39" w:rsidRPr="001630C6">
        <w:rPr>
          <w:rFonts w:cs="Times New Roman"/>
        </w:rPr>
        <w:t xml:space="preserve"> </w:t>
      </w:r>
      <w:r w:rsidR="003D57B5">
        <w:rPr>
          <w:rFonts w:cs="Times New Roman"/>
        </w:rPr>
        <w:t>the customer standards, resources standards, and started talking about human resources.</w:t>
      </w:r>
      <w:r w:rsidR="00816643" w:rsidRPr="001630C6">
        <w:rPr>
          <w:rFonts w:cs="Times New Roman"/>
        </w:rPr>
        <w:t xml:space="preserve">  </w:t>
      </w:r>
      <w:r w:rsidR="00B17EA7" w:rsidRPr="001630C6">
        <w:rPr>
          <w:rFonts w:cs="Times New Roman"/>
        </w:rPr>
        <w:t xml:space="preserve">In this chat we will </w:t>
      </w:r>
      <w:r w:rsidR="003D57B5">
        <w:rPr>
          <w:rFonts w:cs="Times New Roman"/>
        </w:rPr>
        <w:t>discuss training and orientation as well as qualifications and competence</w:t>
      </w:r>
      <w:r w:rsidR="009A2058" w:rsidRPr="001630C6">
        <w:rPr>
          <w:rFonts w:cs="Times New Roman"/>
        </w:rPr>
        <w:t>.</w:t>
      </w:r>
      <w:r w:rsidR="00C60FBB" w:rsidRPr="001630C6">
        <w:rPr>
          <w:rFonts w:cs="Times New Roman"/>
        </w:rPr>
        <w:br/>
      </w:r>
    </w:p>
    <w:p w:rsidR="00C60FBB" w:rsidRPr="003D57B5" w:rsidRDefault="003D57B5" w:rsidP="009D6146">
      <w:pPr>
        <w:pStyle w:val="NoSpacing"/>
        <w:spacing w:line="276" w:lineRule="auto"/>
        <w:rPr>
          <w:rFonts w:cs="Times New Roman"/>
          <w:b/>
        </w:rPr>
      </w:pPr>
      <w:r>
        <w:rPr>
          <w:rFonts w:cs="Times New Roman"/>
          <w:b/>
        </w:rPr>
        <w:t>2.</w:t>
      </w:r>
      <w:r w:rsidR="00C60FBB" w:rsidRPr="003D57B5">
        <w:rPr>
          <w:rFonts w:cs="Times New Roman"/>
          <w:b/>
        </w:rPr>
        <w:t>1.</w:t>
      </w:r>
      <w:r>
        <w:rPr>
          <w:rFonts w:cs="Times New Roman"/>
          <w:b/>
        </w:rPr>
        <w:t>1</w:t>
      </w:r>
      <w:r w:rsidR="00C60FBB" w:rsidRPr="003D57B5">
        <w:rPr>
          <w:rFonts w:cs="Times New Roman"/>
          <w:b/>
        </w:rPr>
        <w:t xml:space="preserve"> </w:t>
      </w:r>
      <w:r>
        <w:rPr>
          <w:rFonts w:cs="Times New Roman"/>
          <w:b/>
        </w:rPr>
        <w:t>Qualification</w:t>
      </w:r>
      <w:r w:rsidR="00C60FBB" w:rsidRPr="003D57B5">
        <w:rPr>
          <w:rFonts w:cs="Times New Roman"/>
          <w:b/>
        </w:rPr>
        <w:t xml:space="preserve"> </w:t>
      </w:r>
    </w:p>
    <w:p w:rsidR="00C60FBB" w:rsidRPr="003D57B5" w:rsidRDefault="003D57B5" w:rsidP="00B120B1">
      <w:pPr>
        <w:pStyle w:val="NoSpacing"/>
        <w:numPr>
          <w:ilvl w:val="0"/>
          <w:numId w:val="18"/>
        </w:numPr>
        <w:tabs>
          <w:tab w:val="left" w:pos="540"/>
        </w:tabs>
        <w:spacing w:line="276" w:lineRule="auto"/>
        <w:ind w:left="540"/>
        <w:rPr>
          <w:rFonts w:cs="Times New Roman"/>
        </w:rPr>
      </w:pPr>
      <w:r w:rsidRPr="003D57B5">
        <w:rPr>
          <w:rFonts w:cs="Times New Roman"/>
        </w:rPr>
        <w:t>Personnel performing critical tasks shall be qualified to perform assigned activities on the</w:t>
      </w:r>
      <w:r>
        <w:rPr>
          <w:rFonts w:cs="Times New Roman"/>
        </w:rPr>
        <w:t xml:space="preserve"> </w:t>
      </w:r>
      <w:r w:rsidRPr="003D57B5">
        <w:rPr>
          <w:rFonts w:cs="Times New Roman"/>
        </w:rPr>
        <w:t>basis of appropriate education, training, and/or experience</w:t>
      </w:r>
      <w:r w:rsidR="00B13011" w:rsidRPr="003D57B5">
        <w:rPr>
          <w:rFonts w:cs="Times New Roman"/>
        </w:rPr>
        <w:t>.</w:t>
      </w:r>
    </w:p>
    <w:p w:rsidR="001630C6" w:rsidRPr="003D57B5" w:rsidRDefault="001630C6" w:rsidP="009D6146">
      <w:pPr>
        <w:pStyle w:val="NoSpacing"/>
        <w:numPr>
          <w:ilvl w:val="0"/>
          <w:numId w:val="30"/>
        </w:numPr>
        <w:spacing w:line="276" w:lineRule="auto"/>
        <w:ind w:left="630"/>
        <w:rPr>
          <w:rFonts w:cs="Times New Roman"/>
        </w:rPr>
      </w:pPr>
      <w:r w:rsidRPr="003D57B5">
        <w:rPr>
          <w:rFonts w:cs="Times New Roman"/>
        </w:rPr>
        <w:t>The</w:t>
      </w:r>
      <w:r w:rsidR="000D4345">
        <w:rPr>
          <w:rFonts w:cs="Times New Roman"/>
        </w:rPr>
        <w:t xml:space="preserve"> </w:t>
      </w:r>
      <w:r w:rsidR="000D4345">
        <w:rPr>
          <w:rFonts w:cs="Times New Roman"/>
          <w:i/>
        </w:rPr>
        <w:t>Hiring Policy, DLA-HR-017</w:t>
      </w:r>
      <w:r w:rsidR="000D4345">
        <w:rPr>
          <w:rFonts w:cs="Times New Roman"/>
        </w:rPr>
        <w:t xml:space="preserve"> procedure lists guidelines for hiring new employees.  It includes the process by which candidates are screened prior to offering a position</w:t>
      </w:r>
    </w:p>
    <w:p w:rsidR="001630C6" w:rsidRDefault="000D4345" w:rsidP="000D4345">
      <w:pPr>
        <w:pStyle w:val="NoSpacing"/>
        <w:numPr>
          <w:ilvl w:val="1"/>
          <w:numId w:val="30"/>
        </w:numPr>
        <w:spacing w:line="276" w:lineRule="auto"/>
        <w:ind w:left="990"/>
        <w:rPr>
          <w:rFonts w:cs="Times New Roman"/>
        </w:rPr>
      </w:pPr>
      <w:r>
        <w:rPr>
          <w:rFonts w:cs="Times New Roman"/>
        </w:rPr>
        <w:t>As you are all already aware, the human resources team conducts background checks to ensure (among other things) licensure, certification, or academic credentials are met based on the job description.  They will then visually verify and retain the applicable documents</w:t>
      </w:r>
      <w:r w:rsidR="00F20D12">
        <w:rPr>
          <w:rFonts w:cs="Times New Roman"/>
        </w:rPr>
        <w:t>.</w:t>
      </w:r>
      <w:r w:rsidR="000F06D6">
        <w:rPr>
          <w:rFonts w:cs="Times New Roman"/>
        </w:rPr>
        <w:t xml:space="preserve">  All new employees in the blood bank must also pass a special background check to be approved to work with the irradiator.</w:t>
      </w:r>
    </w:p>
    <w:p w:rsidR="00F20D12" w:rsidRPr="003D57B5" w:rsidRDefault="00F20D12" w:rsidP="000D4345">
      <w:pPr>
        <w:pStyle w:val="NoSpacing"/>
        <w:numPr>
          <w:ilvl w:val="1"/>
          <w:numId w:val="30"/>
        </w:numPr>
        <w:spacing w:line="276" w:lineRule="auto"/>
        <w:ind w:left="990"/>
        <w:rPr>
          <w:rFonts w:cs="Times New Roman"/>
        </w:rPr>
      </w:pPr>
      <w:r>
        <w:rPr>
          <w:rFonts w:cs="Times New Roman"/>
        </w:rPr>
        <w:t>New positions are created by the department leaders, in collaboration with human resources.</w:t>
      </w:r>
    </w:p>
    <w:p w:rsidR="00C60FBB" w:rsidRPr="003D57B5" w:rsidRDefault="00287B83" w:rsidP="009D6146">
      <w:pPr>
        <w:pStyle w:val="NoSpacing"/>
        <w:numPr>
          <w:ilvl w:val="0"/>
          <w:numId w:val="30"/>
        </w:numPr>
        <w:spacing w:line="276" w:lineRule="auto"/>
        <w:ind w:left="630"/>
        <w:rPr>
          <w:rFonts w:cs="Times New Roman"/>
          <w:b/>
        </w:rPr>
      </w:pPr>
      <w:r w:rsidRPr="003D57B5">
        <w:rPr>
          <w:rFonts w:cs="Times New Roman"/>
        </w:rPr>
        <w:t xml:space="preserve">The </w:t>
      </w:r>
      <w:r w:rsidR="00F20D12">
        <w:rPr>
          <w:rFonts w:cs="Times New Roman"/>
          <w:i/>
        </w:rPr>
        <w:t>Job Descriptions/Performance Evaluations, DLA-HR-019</w:t>
      </w:r>
      <w:r w:rsidR="00F20D12">
        <w:rPr>
          <w:rFonts w:cs="Times New Roman"/>
        </w:rPr>
        <w:t xml:space="preserve"> policy outlines the process by which a job description is created.  The Qualifications and Skill Requirements is always </w:t>
      </w:r>
      <w:r w:rsidR="002D2CCF">
        <w:rPr>
          <w:rFonts w:cs="Times New Roman"/>
        </w:rPr>
        <w:t>included</w:t>
      </w:r>
      <w:r w:rsidR="00F20D12">
        <w:rPr>
          <w:rFonts w:cs="Times New Roman"/>
        </w:rPr>
        <w:t>.</w:t>
      </w:r>
    </w:p>
    <w:p w:rsidR="00F20D12" w:rsidRPr="00F20D12" w:rsidRDefault="00F20D12" w:rsidP="00816643">
      <w:pPr>
        <w:pStyle w:val="NoSpacing"/>
        <w:numPr>
          <w:ilvl w:val="2"/>
          <w:numId w:val="18"/>
        </w:numPr>
        <w:autoSpaceDE w:val="0"/>
        <w:autoSpaceDN w:val="0"/>
        <w:adjustRightInd w:val="0"/>
        <w:spacing w:line="276" w:lineRule="auto"/>
        <w:ind w:left="990"/>
        <w:rPr>
          <w:rFonts w:cs="Times New Roman"/>
          <w:b/>
          <w:bCs/>
        </w:rPr>
      </w:pPr>
      <w:r>
        <w:rPr>
          <w:rFonts w:cs="Times New Roman"/>
        </w:rPr>
        <w:t>Some state legislatures require a specific Licensure in order to work as a Medical Technologist</w:t>
      </w:r>
    </w:p>
    <w:p w:rsidR="00B17EA7" w:rsidRPr="003D57B5" w:rsidRDefault="00F20D12" w:rsidP="00816643">
      <w:pPr>
        <w:pStyle w:val="NoSpacing"/>
        <w:numPr>
          <w:ilvl w:val="2"/>
          <w:numId w:val="18"/>
        </w:numPr>
        <w:autoSpaceDE w:val="0"/>
        <w:autoSpaceDN w:val="0"/>
        <w:adjustRightInd w:val="0"/>
        <w:spacing w:line="276" w:lineRule="auto"/>
        <w:ind w:left="990"/>
        <w:rPr>
          <w:rFonts w:cs="Times New Roman"/>
          <w:b/>
          <w:bCs/>
        </w:rPr>
      </w:pPr>
      <w:r>
        <w:rPr>
          <w:rFonts w:cs="Times New Roman"/>
        </w:rPr>
        <w:t xml:space="preserve">Examples include </w:t>
      </w:r>
      <w:r w:rsidRPr="002D2CCF">
        <w:rPr>
          <w:rFonts w:cs="Times New Roman"/>
        </w:rPr>
        <w:t>California, Florida, Georgia, Hawaii, Louisiana, Montana,</w:t>
      </w:r>
      <w:r w:rsidR="002D2CCF" w:rsidRPr="002D2CCF">
        <w:rPr>
          <w:rFonts w:cs="Times New Roman"/>
        </w:rPr>
        <w:t xml:space="preserve"> Nevada,</w:t>
      </w:r>
      <w:r w:rsidRPr="002D2CCF">
        <w:rPr>
          <w:rFonts w:cs="Times New Roman"/>
        </w:rPr>
        <w:t xml:space="preserve"> New York, North Dakota, Tennessee, West Virginia, and the territory of Puerto Rico.</w:t>
      </w:r>
      <w:r w:rsidR="00816643" w:rsidRPr="003D57B5">
        <w:rPr>
          <w:rFonts w:cs="Times New Roman"/>
        </w:rPr>
        <w:br/>
      </w:r>
    </w:p>
    <w:p w:rsidR="009D6146" w:rsidRDefault="003D57B5" w:rsidP="00E6492D">
      <w:pPr>
        <w:tabs>
          <w:tab w:val="left" w:pos="540"/>
        </w:tabs>
        <w:autoSpaceDE w:val="0"/>
        <w:autoSpaceDN w:val="0"/>
        <w:adjustRightInd w:val="0"/>
        <w:spacing w:after="0"/>
        <w:ind w:left="450" w:hanging="450"/>
        <w:rPr>
          <w:rFonts w:ascii="Times New Roman" w:hAnsi="Times New Roman" w:cs="Times New Roman"/>
          <w:b/>
          <w:bCs/>
        </w:rPr>
      </w:pPr>
      <w:r>
        <w:rPr>
          <w:rFonts w:ascii="Times New Roman" w:hAnsi="Times New Roman" w:cs="Times New Roman"/>
          <w:b/>
          <w:bCs/>
        </w:rPr>
        <w:t>2.1.2</w:t>
      </w:r>
      <w:r w:rsidR="00AD7F8C" w:rsidRPr="003D57B5">
        <w:rPr>
          <w:rFonts w:ascii="Times New Roman" w:hAnsi="Times New Roman" w:cs="Times New Roman"/>
          <w:b/>
          <w:bCs/>
        </w:rPr>
        <w:t xml:space="preserve"> </w:t>
      </w:r>
      <w:r>
        <w:rPr>
          <w:rFonts w:ascii="Times New Roman" w:hAnsi="Times New Roman" w:cs="Times New Roman"/>
          <w:b/>
          <w:bCs/>
        </w:rPr>
        <w:t>Training</w:t>
      </w:r>
    </w:p>
    <w:p w:rsidR="003D57B5" w:rsidRPr="003D57B5" w:rsidRDefault="003D57B5" w:rsidP="003D57B5">
      <w:pPr>
        <w:pStyle w:val="ListParagraph"/>
        <w:numPr>
          <w:ilvl w:val="0"/>
          <w:numId w:val="32"/>
        </w:numPr>
        <w:autoSpaceDE w:val="0"/>
        <w:autoSpaceDN w:val="0"/>
        <w:adjustRightInd w:val="0"/>
        <w:spacing w:after="0"/>
        <w:ind w:left="540"/>
        <w:rPr>
          <w:rFonts w:ascii="Times New Roman" w:hAnsi="Times New Roman" w:cs="Times New Roman"/>
        </w:rPr>
      </w:pPr>
      <w:r w:rsidRPr="003D57B5">
        <w:rPr>
          <w:rFonts w:ascii="Times New Roman" w:hAnsi="Times New Roman" w:cs="Times New Roman"/>
        </w:rPr>
        <w:t>The BB/TS shall have a process for identifying training needs and shall provide training for</w:t>
      </w:r>
      <w:r>
        <w:rPr>
          <w:rFonts w:ascii="Times New Roman" w:hAnsi="Times New Roman" w:cs="Times New Roman"/>
        </w:rPr>
        <w:t xml:space="preserve"> </w:t>
      </w:r>
      <w:r w:rsidRPr="003D57B5">
        <w:rPr>
          <w:rFonts w:ascii="Times New Roman" w:hAnsi="Times New Roman" w:cs="Times New Roman"/>
        </w:rPr>
        <w:t>personnel performing critical tasks.</w:t>
      </w:r>
    </w:p>
    <w:p w:rsidR="00083BDA" w:rsidRPr="003D57B5" w:rsidRDefault="000D4345" w:rsidP="008B2AFC">
      <w:pPr>
        <w:pStyle w:val="ListParagraph"/>
        <w:numPr>
          <w:ilvl w:val="0"/>
          <w:numId w:val="30"/>
        </w:numPr>
        <w:tabs>
          <w:tab w:val="left" w:pos="540"/>
        </w:tabs>
        <w:autoSpaceDE w:val="0"/>
        <w:autoSpaceDN w:val="0"/>
        <w:adjustRightInd w:val="0"/>
        <w:spacing w:after="0"/>
        <w:ind w:left="63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New Employee Training Program</w:t>
      </w:r>
      <w:r>
        <w:rPr>
          <w:rFonts w:ascii="Times New Roman" w:hAnsi="Times New Roman" w:cs="Times New Roman"/>
        </w:rPr>
        <w:t xml:space="preserve"> outlines </w:t>
      </w:r>
      <w:r w:rsidR="002D2CCF">
        <w:rPr>
          <w:rFonts w:ascii="Times New Roman" w:hAnsi="Times New Roman" w:cs="Times New Roman"/>
        </w:rPr>
        <w:t>our standardized system for developing and documenting training.</w:t>
      </w:r>
    </w:p>
    <w:p w:rsidR="000F06D6" w:rsidRDefault="000F06D6" w:rsidP="009A6E39">
      <w:pPr>
        <w:pStyle w:val="ListParagraph"/>
        <w:numPr>
          <w:ilvl w:val="1"/>
          <w:numId w:val="30"/>
        </w:numPr>
        <w:autoSpaceDE w:val="0"/>
        <w:autoSpaceDN w:val="0"/>
        <w:adjustRightInd w:val="0"/>
        <w:spacing w:after="0"/>
        <w:ind w:left="990"/>
        <w:rPr>
          <w:rFonts w:ascii="Times New Roman" w:hAnsi="Times New Roman" w:cs="Times New Roman"/>
        </w:rPr>
      </w:pPr>
      <w:r>
        <w:rPr>
          <w:rFonts w:ascii="Times New Roman" w:hAnsi="Times New Roman" w:cs="Times New Roman"/>
        </w:rPr>
        <w:t>Several agencies regulate training in the blood bank, including the AABB, FDA, and CAP</w:t>
      </w:r>
    </w:p>
    <w:p w:rsidR="00421482" w:rsidRDefault="005529C5" w:rsidP="009A6E39">
      <w:pPr>
        <w:pStyle w:val="ListParagraph"/>
        <w:numPr>
          <w:ilvl w:val="1"/>
          <w:numId w:val="30"/>
        </w:numPr>
        <w:autoSpaceDE w:val="0"/>
        <w:autoSpaceDN w:val="0"/>
        <w:adjustRightInd w:val="0"/>
        <w:spacing w:after="0"/>
        <w:ind w:left="990"/>
        <w:rPr>
          <w:rFonts w:ascii="Times New Roman" w:hAnsi="Times New Roman" w:cs="Times New Roman"/>
        </w:rPr>
      </w:pPr>
      <w:r>
        <w:rPr>
          <w:rFonts w:ascii="Times New Roman" w:hAnsi="Times New Roman" w:cs="Times New Roman"/>
        </w:rPr>
        <w:t xml:space="preserve">Trainers are responsible for teaching </w:t>
      </w:r>
      <w:r w:rsidR="00421482">
        <w:rPr>
          <w:rFonts w:ascii="Times New Roman" w:hAnsi="Times New Roman" w:cs="Times New Roman"/>
        </w:rPr>
        <w:t>policies, processes and procedures</w:t>
      </w:r>
    </w:p>
    <w:p w:rsidR="00887F45" w:rsidRDefault="00421482" w:rsidP="009A6E39">
      <w:pPr>
        <w:pStyle w:val="ListParagraph"/>
        <w:numPr>
          <w:ilvl w:val="1"/>
          <w:numId w:val="30"/>
        </w:numPr>
        <w:autoSpaceDE w:val="0"/>
        <w:autoSpaceDN w:val="0"/>
        <w:adjustRightInd w:val="0"/>
        <w:spacing w:after="0"/>
        <w:ind w:left="990"/>
        <w:rPr>
          <w:rFonts w:ascii="Times New Roman" w:hAnsi="Times New Roman" w:cs="Times New Roman"/>
        </w:rPr>
      </w:pPr>
      <w:r>
        <w:rPr>
          <w:rFonts w:ascii="Times New Roman" w:hAnsi="Times New Roman" w:cs="Times New Roman"/>
        </w:rPr>
        <w:t>BB Leadership ensures that new staff is</w:t>
      </w:r>
      <w:r w:rsidR="005529C5">
        <w:rPr>
          <w:rFonts w:ascii="Times New Roman" w:hAnsi="Times New Roman" w:cs="Times New Roman"/>
        </w:rPr>
        <w:t xml:space="preserve"> competen</w:t>
      </w:r>
      <w:r>
        <w:rPr>
          <w:rFonts w:ascii="Times New Roman" w:hAnsi="Times New Roman" w:cs="Times New Roman"/>
        </w:rPr>
        <w:t xml:space="preserve">t </w:t>
      </w:r>
      <w:r w:rsidR="005529C5">
        <w:rPr>
          <w:rFonts w:ascii="Times New Roman" w:hAnsi="Times New Roman" w:cs="Times New Roman"/>
        </w:rPr>
        <w:t>to perfor</w:t>
      </w:r>
      <w:r>
        <w:rPr>
          <w:rFonts w:ascii="Times New Roman" w:hAnsi="Times New Roman" w:cs="Times New Roman"/>
        </w:rPr>
        <w:t>m their job without direct supervision by observing employees working with patient samples.</w:t>
      </w:r>
    </w:p>
    <w:p w:rsidR="005529C5" w:rsidRDefault="005529C5" w:rsidP="009A6E39">
      <w:pPr>
        <w:pStyle w:val="ListParagraph"/>
        <w:numPr>
          <w:ilvl w:val="1"/>
          <w:numId w:val="30"/>
        </w:numPr>
        <w:autoSpaceDE w:val="0"/>
        <w:autoSpaceDN w:val="0"/>
        <w:adjustRightInd w:val="0"/>
        <w:spacing w:after="0"/>
        <w:ind w:left="990"/>
        <w:rPr>
          <w:rFonts w:ascii="Times New Roman" w:hAnsi="Times New Roman" w:cs="Times New Roman"/>
        </w:rPr>
      </w:pPr>
      <w:r>
        <w:rPr>
          <w:rFonts w:ascii="Times New Roman" w:hAnsi="Times New Roman" w:cs="Times New Roman"/>
        </w:rPr>
        <w:t>Before an employee is signed off to work independently, they must complete a set of blind Type and Screen samples along with antibody identification.</w:t>
      </w:r>
    </w:p>
    <w:p w:rsidR="005529C5" w:rsidRPr="003D57B5" w:rsidRDefault="005529C5" w:rsidP="009A6E39">
      <w:pPr>
        <w:pStyle w:val="ListParagraph"/>
        <w:numPr>
          <w:ilvl w:val="1"/>
          <w:numId w:val="30"/>
        </w:numPr>
        <w:autoSpaceDE w:val="0"/>
        <w:autoSpaceDN w:val="0"/>
        <w:adjustRightInd w:val="0"/>
        <w:spacing w:after="0"/>
        <w:ind w:left="990"/>
        <w:rPr>
          <w:rFonts w:ascii="Times New Roman" w:hAnsi="Times New Roman" w:cs="Times New Roman"/>
        </w:rPr>
      </w:pPr>
      <w:r>
        <w:rPr>
          <w:rFonts w:ascii="Times New Roman" w:hAnsi="Times New Roman" w:cs="Times New Roman"/>
        </w:rPr>
        <w:t xml:space="preserve">Prior to working independently, new employees must complete a </w:t>
      </w:r>
      <w:r w:rsidR="00560FA4">
        <w:rPr>
          <w:rFonts w:ascii="Times New Roman" w:hAnsi="Times New Roman" w:cs="Times New Roman"/>
        </w:rPr>
        <w:t>department specific orientation and a broader organizational orientation.</w:t>
      </w:r>
    </w:p>
    <w:p w:rsidR="006D6ED5" w:rsidRPr="00421482" w:rsidRDefault="00560FA4" w:rsidP="009A6E39">
      <w:pPr>
        <w:pStyle w:val="ListParagraph"/>
        <w:numPr>
          <w:ilvl w:val="0"/>
          <w:numId w:val="30"/>
        </w:numPr>
        <w:autoSpaceDE w:val="0"/>
        <w:autoSpaceDN w:val="0"/>
        <w:adjustRightInd w:val="0"/>
        <w:spacing w:after="0"/>
        <w:ind w:left="630"/>
        <w:rPr>
          <w:rFonts w:ascii="Times New Roman" w:hAnsi="Times New Roman" w:cs="Times New Roman"/>
          <w:i/>
        </w:rPr>
      </w:pPr>
      <w:r>
        <w:rPr>
          <w:rFonts w:ascii="Times New Roman" w:hAnsi="Times New Roman" w:cs="Times New Roman"/>
          <w:i/>
        </w:rPr>
        <w:t>Workforce Orientation, DLA-HR-025</w:t>
      </w:r>
      <w:r w:rsidR="00367090">
        <w:rPr>
          <w:rFonts w:ascii="Times New Roman" w:hAnsi="Times New Roman" w:cs="Times New Roman"/>
        </w:rPr>
        <w:t xml:space="preserve"> defines the</w:t>
      </w:r>
      <w:r>
        <w:rPr>
          <w:rFonts w:ascii="Times New Roman" w:hAnsi="Times New Roman" w:cs="Times New Roman"/>
        </w:rPr>
        <w:t xml:space="preserve"> broader organizational orientation including areas of safety, communication, computer access/standards, uniforms, benefits, timeclocks, and job specific training.</w:t>
      </w:r>
    </w:p>
    <w:p w:rsidR="00421482" w:rsidRPr="00560FA4" w:rsidRDefault="00367090" w:rsidP="009A6E39">
      <w:pPr>
        <w:pStyle w:val="ListParagraph"/>
        <w:numPr>
          <w:ilvl w:val="0"/>
          <w:numId w:val="30"/>
        </w:numPr>
        <w:autoSpaceDE w:val="0"/>
        <w:autoSpaceDN w:val="0"/>
        <w:adjustRightInd w:val="0"/>
        <w:spacing w:after="0"/>
        <w:ind w:left="630"/>
        <w:rPr>
          <w:rFonts w:ascii="Times New Roman" w:hAnsi="Times New Roman" w:cs="Times New Roman"/>
          <w:i/>
        </w:rPr>
      </w:pPr>
      <w:r>
        <w:rPr>
          <w:rFonts w:ascii="Times New Roman" w:hAnsi="Times New Roman" w:cs="Times New Roman"/>
        </w:rPr>
        <w:t>Job specific orientation is completed around the same time and covers department specific topics such as overtime, standby, parking, a tour of the department and more.</w:t>
      </w:r>
    </w:p>
    <w:p w:rsidR="00F57F59" w:rsidRDefault="00F57F59">
      <w:pPr>
        <w:rPr>
          <w:rFonts w:ascii="Times New Roman" w:hAnsi="Times New Roman" w:cs="Times New Roman"/>
          <w:b/>
          <w:bCs/>
        </w:rPr>
      </w:pPr>
      <w:r>
        <w:rPr>
          <w:rFonts w:ascii="Times New Roman" w:hAnsi="Times New Roman" w:cs="Times New Roman"/>
          <w:b/>
          <w:bCs/>
        </w:rPr>
        <w:br w:type="page"/>
      </w:r>
    </w:p>
    <w:p w:rsidR="00AD7F8C" w:rsidRPr="003D57B5" w:rsidRDefault="00AD7F8C" w:rsidP="009D6146">
      <w:pPr>
        <w:tabs>
          <w:tab w:val="left" w:pos="540"/>
        </w:tabs>
        <w:autoSpaceDE w:val="0"/>
        <w:autoSpaceDN w:val="0"/>
        <w:adjustRightInd w:val="0"/>
        <w:spacing w:after="0"/>
        <w:rPr>
          <w:rFonts w:ascii="Times New Roman" w:hAnsi="Times New Roman" w:cs="Times New Roman"/>
          <w:b/>
          <w:bCs/>
        </w:rPr>
      </w:pPr>
      <w:bookmarkStart w:id="0" w:name="_GoBack"/>
      <w:bookmarkEnd w:id="0"/>
    </w:p>
    <w:p w:rsidR="00E36502" w:rsidRPr="003D57B5" w:rsidRDefault="00E6492D" w:rsidP="009D6146">
      <w:pPr>
        <w:tabs>
          <w:tab w:val="left" w:pos="540"/>
        </w:tabs>
        <w:autoSpaceDE w:val="0"/>
        <w:autoSpaceDN w:val="0"/>
        <w:adjustRightInd w:val="0"/>
        <w:spacing w:after="0"/>
        <w:ind w:left="450" w:hanging="450"/>
        <w:rPr>
          <w:rFonts w:ascii="Times New Roman" w:hAnsi="Times New Roman" w:cs="Times New Roman"/>
        </w:rPr>
      </w:pPr>
      <w:r w:rsidRPr="003D57B5">
        <w:rPr>
          <w:rFonts w:ascii="Times New Roman" w:hAnsi="Times New Roman" w:cs="Times New Roman"/>
          <w:b/>
          <w:bCs/>
        </w:rPr>
        <w:t>2.1</w:t>
      </w:r>
      <w:r w:rsidR="003D57B5">
        <w:rPr>
          <w:rFonts w:ascii="Times New Roman" w:hAnsi="Times New Roman" w:cs="Times New Roman"/>
          <w:b/>
          <w:bCs/>
        </w:rPr>
        <w:t>.3</w:t>
      </w:r>
      <w:r w:rsidR="00AD7F8C" w:rsidRPr="003D57B5">
        <w:rPr>
          <w:rFonts w:ascii="Times New Roman" w:hAnsi="Times New Roman" w:cs="Times New Roman"/>
          <w:b/>
          <w:bCs/>
        </w:rPr>
        <w:t xml:space="preserve"> </w:t>
      </w:r>
      <w:r w:rsidR="003D57B5">
        <w:rPr>
          <w:rFonts w:ascii="Times New Roman" w:hAnsi="Times New Roman" w:cs="Times New Roman"/>
          <w:b/>
        </w:rPr>
        <w:t>Competence</w:t>
      </w:r>
    </w:p>
    <w:p w:rsidR="00B13011" w:rsidRDefault="00B13011" w:rsidP="00B13011">
      <w:pPr>
        <w:pStyle w:val="ListParagraph"/>
        <w:numPr>
          <w:ilvl w:val="0"/>
          <w:numId w:val="28"/>
        </w:numPr>
        <w:autoSpaceDE w:val="0"/>
        <w:autoSpaceDN w:val="0"/>
        <w:adjustRightInd w:val="0"/>
        <w:spacing w:after="0"/>
        <w:ind w:left="540"/>
        <w:rPr>
          <w:rFonts w:ascii="Times New Roman" w:hAnsi="Times New Roman" w:cs="Times New Roman"/>
        </w:rPr>
      </w:pPr>
      <w:r w:rsidRPr="00B13011">
        <w:rPr>
          <w:rFonts w:ascii="Times New Roman" w:hAnsi="Times New Roman" w:cs="Times New Roman"/>
        </w:rPr>
        <w:t>Evaluations of competence shall be performed before independent performance of assigned</w:t>
      </w:r>
      <w:r>
        <w:rPr>
          <w:rFonts w:ascii="Times New Roman" w:hAnsi="Times New Roman" w:cs="Times New Roman"/>
        </w:rPr>
        <w:t xml:space="preserve"> </w:t>
      </w:r>
      <w:r w:rsidRPr="00B13011">
        <w:rPr>
          <w:rFonts w:ascii="Times New Roman" w:hAnsi="Times New Roman" w:cs="Times New Roman"/>
        </w:rPr>
        <w:t>activit</w:t>
      </w:r>
      <w:r>
        <w:rPr>
          <w:rFonts w:ascii="Times New Roman" w:hAnsi="Times New Roman" w:cs="Times New Roman"/>
        </w:rPr>
        <w:t>ies and at specified intervals.</w:t>
      </w:r>
    </w:p>
    <w:p w:rsidR="00DC67A9" w:rsidRPr="003D57B5" w:rsidRDefault="00B13011" w:rsidP="009D6146">
      <w:pPr>
        <w:pStyle w:val="ListParagraph"/>
        <w:numPr>
          <w:ilvl w:val="0"/>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 xml:space="preserve">This standard is further regulated by the federal standards </w:t>
      </w:r>
      <w:r w:rsidRPr="000D4345">
        <w:rPr>
          <w:rFonts w:ascii="Times New Roman" w:hAnsi="Times New Roman" w:cs="Times New Roman"/>
          <w:i/>
        </w:rPr>
        <w:t>42 CFR 493.1235 and 493.1451</w:t>
      </w:r>
      <w:r w:rsidR="000D4345" w:rsidRPr="000D4345">
        <w:rPr>
          <w:rFonts w:ascii="Times New Roman" w:hAnsi="Times New Roman" w:cs="Times New Roman"/>
          <w:i/>
        </w:rPr>
        <w:t>(b)(8)(9)</w:t>
      </w:r>
    </w:p>
    <w:p w:rsidR="003D57B5" w:rsidRPr="003D57B5" w:rsidRDefault="009E2D3B" w:rsidP="000D4345">
      <w:pPr>
        <w:pStyle w:val="ListParagraph"/>
        <w:numPr>
          <w:ilvl w:val="0"/>
          <w:numId w:val="30"/>
        </w:numPr>
        <w:autoSpaceDE w:val="0"/>
        <w:autoSpaceDN w:val="0"/>
        <w:adjustRightInd w:val="0"/>
        <w:spacing w:after="0"/>
        <w:ind w:left="630"/>
        <w:rPr>
          <w:rFonts w:ascii="Times New Roman" w:hAnsi="Times New Roman" w:cs="Times New Roman"/>
        </w:rPr>
      </w:pPr>
      <w:r w:rsidRPr="003D57B5">
        <w:rPr>
          <w:rFonts w:ascii="Times New Roman" w:hAnsi="Times New Roman" w:cs="Times New Roman"/>
        </w:rPr>
        <w:t xml:space="preserve">The </w:t>
      </w:r>
      <w:r w:rsidR="000D4345" w:rsidRPr="00560FA4">
        <w:rPr>
          <w:rFonts w:ascii="Times New Roman" w:hAnsi="Times New Roman" w:cs="Times New Roman"/>
          <w:i/>
        </w:rPr>
        <w:t>Competency Testing Program</w:t>
      </w:r>
      <w:r w:rsidR="000D4345">
        <w:rPr>
          <w:rFonts w:ascii="Times New Roman" w:hAnsi="Times New Roman" w:cs="Times New Roman"/>
        </w:rPr>
        <w:t xml:space="preserve"> </w:t>
      </w:r>
      <w:r w:rsidR="00560FA4">
        <w:rPr>
          <w:rFonts w:ascii="Times New Roman" w:hAnsi="Times New Roman" w:cs="Times New Roman"/>
        </w:rPr>
        <w:t xml:space="preserve">procedure was created to address these standards.  </w:t>
      </w:r>
      <w:r w:rsidR="005529C5">
        <w:rPr>
          <w:rFonts w:ascii="Times New Roman" w:hAnsi="Times New Roman" w:cs="Times New Roman"/>
        </w:rPr>
        <w:t xml:space="preserve"> </w:t>
      </w:r>
    </w:p>
    <w:p w:rsidR="00367090" w:rsidRDefault="00560FA4" w:rsidP="009362D2">
      <w:pPr>
        <w:pStyle w:val="ListParagraph"/>
        <w:numPr>
          <w:ilvl w:val="1"/>
          <w:numId w:val="30"/>
        </w:numPr>
        <w:autoSpaceDE w:val="0"/>
        <w:autoSpaceDN w:val="0"/>
        <w:adjustRightInd w:val="0"/>
        <w:spacing w:after="0"/>
        <w:ind w:left="990"/>
        <w:rPr>
          <w:rFonts w:ascii="Times New Roman" w:hAnsi="Times New Roman" w:cs="Times New Roman"/>
        </w:rPr>
      </w:pPr>
      <w:r>
        <w:rPr>
          <w:rFonts w:ascii="Times New Roman" w:hAnsi="Times New Roman" w:cs="Times New Roman"/>
        </w:rPr>
        <w:t>It dictates that new staff</w:t>
      </w:r>
      <w:r w:rsidR="00367090">
        <w:rPr>
          <w:rFonts w:ascii="Times New Roman" w:hAnsi="Times New Roman" w:cs="Times New Roman"/>
        </w:rPr>
        <w:t xml:space="preserve"> is observed performing testing </w:t>
      </w:r>
      <w:r w:rsidR="008B56B5">
        <w:rPr>
          <w:rFonts w:ascii="Times New Roman" w:hAnsi="Times New Roman" w:cs="Times New Roman"/>
        </w:rPr>
        <w:t>prior</w:t>
      </w:r>
      <w:r w:rsidR="00367090">
        <w:rPr>
          <w:rFonts w:ascii="Times New Roman" w:hAnsi="Times New Roman" w:cs="Times New Roman"/>
        </w:rPr>
        <w:t xml:space="preserve"> </w:t>
      </w:r>
      <w:r w:rsidR="008B56B5">
        <w:rPr>
          <w:rFonts w:ascii="Times New Roman" w:hAnsi="Times New Roman" w:cs="Times New Roman"/>
        </w:rPr>
        <w:t xml:space="preserve">to working on their own, after 6-months, and annually </w:t>
      </w:r>
      <w:r w:rsidR="000515D1">
        <w:rPr>
          <w:rFonts w:ascii="Times New Roman" w:hAnsi="Times New Roman" w:cs="Times New Roman"/>
        </w:rPr>
        <w:t>thereafter</w:t>
      </w:r>
      <w:r w:rsidR="008B56B5">
        <w:rPr>
          <w:rFonts w:ascii="Times New Roman" w:hAnsi="Times New Roman" w:cs="Times New Roman"/>
        </w:rPr>
        <w:t>.</w:t>
      </w:r>
    </w:p>
    <w:p w:rsidR="000515D1" w:rsidRDefault="00950946" w:rsidP="003D57B5">
      <w:pPr>
        <w:pStyle w:val="ListParagraph"/>
        <w:numPr>
          <w:ilvl w:val="1"/>
          <w:numId w:val="30"/>
        </w:numPr>
        <w:autoSpaceDE w:val="0"/>
        <w:autoSpaceDN w:val="0"/>
        <w:adjustRightInd w:val="0"/>
        <w:spacing w:after="0"/>
        <w:ind w:left="990"/>
        <w:rPr>
          <w:rFonts w:ascii="Times New Roman" w:hAnsi="Times New Roman" w:cs="Times New Roman"/>
        </w:rPr>
      </w:pPr>
      <w:r>
        <w:rPr>
          <w:rFonts w:ascii="Times New Roman" w:hAnsi="Times New Roman" w:cs="Times New Roman"/>
        </w:rPr>
        <w:lastRenderedPageBreak/>
        <w:t xml:space="preserve">This includes an annual performance assessment that assesses the employee’s problem solving skills, serologic problem solving skills, and </w:t>
      </w:r>
      <w:r w:rsidR="000515D1">
        <w:rPr>
          <w:rFonts w:ascii="Times New Roman" w:hAnsi="Times New Roman" w:cs="Times New Roman"/>
        </w:rPr>
        <w:t>an</w:t>
      </w:r>
      <w:r>
        <w:rPr>
          <w:rFonts w:ascii="Times New Roman" w:hAnsi="Times New Roman" w:cs="Times New Roman"/>
        </w:rPr>
        <w:t xml:space="preserve"> exam.</w:t>
      </w:r>
    </w:p>
    <w:p w:rsidR="00322EF3" w:rsidRDefault="000515D1" w:rsidP="00322EF3">
      <w:pPr>
        <w:pStyle w:val="ListParagraph"/>
        <w:numPr>
          <w:ilvl w:val="0"/>
          <w:numId w:val="30"/>
        </w:numPr>
        <w:autoSpaceDE w:val="0"/>
        <w:autoSpaceDN w:val="0"/>
        <w:adjustRightInd w:val="0"/>
        <w:spacing w:after="0"/>
        <w:rPr>
          <w:rFonts w:ascii="Times New Roman" w:hAnsi="Times New Roman" w:cs="Times New Roman"/>
        </w:rPr>
      </w:pPr>
      <w:r w:rsidRPr="000515D1">
        <w:rPr>
          <w:rFonts w:ascii="Times New Roman" w:hAnsi="Times New Roman" w:cs="Times New Roman"/>
        </w:rPr>
        <w:t>The methods by which competency is measured includes</w:t>
      </w:r>
    </w:p>
    <w:p w:rsidR="00322EF3" w:rsidRDefault="00322EF3" w:rsidP="00322EF3">
      <w:pPr>
        <w:pStyle w:val="ListParagraph"/>
        <w:numPr>
          <w:ilvl w:val="1"/>
          <w:numId w:val="30"/>
        </w:numPr>
        <w:autoSpaceDE w:val="0"/>
        <w:autoSpaceDN w:val="0"/>
        <w:adjustRightInd w:val="0"/>
        <w:spacing w:after="0"/>
        <w:rPr>
          <w:rFonts w:ascii="Times New Roman" w:hAnsi="Times New Roman" w:cs="Times New Roman"/>
        </w:rPr>
      </w:pPr>
      <w:r>
        <w:rPr>
          <w:rFonts w:ascii="Times New Roman" w:hAnsi="Times New Roman" w:cs="Times New Roman"/>
        </w:rPr>
        <w:t>D</w:t>
      </w:r>
      <w:r w:rsidR="000515D1" w:rsidRPr="000515D1">
        <w:rPr>
          <w:rFonts w:ascii="Times New Roman" w:hAnsi="Times New Roman" w:cs="Times New Roman"/>
        </w:rPr>
        <w:t>irect ob</w:t>
      </w:r>
      <w:r>
        <w:rPr>
          <w:rFonts w:ascii="Times New Roman" w:hAnsi="Times New Roman" w:cs="Times New Roman"/>
        </w:rPr>
        <w:t>servation of routine patient test performance</w:t>
      </w:r>
    </w:p>
    <w:p w:rsidR="00322EF3" w:rsidRDefault="00322EF3" w:rsidP="00322EF3">
      <w:pPr>
        <w:pStyle w:val="ListParagraph"/>
        <w:numPr>
          <w:ilvl w:val="2"/>
          <w:numId w:val="30"/>
        </w:numPr>
        <w:autoSpaceDE w:val="0"/>
        <w:autoSpaceDN w:val="0"/>
        <w:adjustRightInd w:val="0"/>
        <w:spacing w:after="0"/>
        <w:rPr>
          <w:rFonts w:ascii="Times New Roman" w:hAnsi="Times New Roman" w:cs="Times New Roman"/>
        </w:rPr>
      </w:pPr>
      <w:r>
        <w:rPr>
          <w:rFonts w:ascii="Times New Roman" w:hAnsi="Times New Roman" w:cs="Times New Roman"/>
        </w:rPr>
        <w:t>Including patient preparation, specimen handling, processing, and testing.</w:t>
      </w:r>
    </w:p>
    <w:p w:rsidR="00322EF3" w:rsidRDefault="00322EF3" w:rsidP="00322EF3">
      <w:pPr>
        <w:pStyle w:val="ListParagraph"/>
        <w:numPr>
          <w:ilvl w:val="1"/>
          <w:numId w:val="30"/>
        </w:numPr>
        <w:autoSpaceDE w:val="0"/>
        <w:autoSpaceDN w:val="0"/>
        <w:adjustRightInd w:val="0"/>
        <w:spacing w:after="0"/>
        <w:rPr>
          <w:rFonts w:ascii="Times New Roman" w:hAnsi="Times New Roman" w:cs="Times New Roman"/>
        </w:rPr>
      </w:pPr>
      <w:r>
        <w:rPr>
          <w:rFonts w:ascii="Times New Roman" w:hAnsi="Times New Roman" w:cs="Times New Roman"/>
        </w:rPr>
        <w:t>Monitoring the recording and reporting of test results</w:t>
      </w:r>
    </w:p>
    <w:p w:rsidR="00322EF3" w:rsidRDefault="00322EF3" w:rsidP="00322EF3">
      <w:pPr>
        <w:pStyle w:val="ListParagraph"/>
        <w:numPr>
          <w:ilvl w:val="1"/>
          <w:numId w:val="30"/>
        </w:numPr>
        <w:autoSpaceDE w:val="0"/>
        <w:autoSpaceDN w:val="0"/>
        <w:adjustRightInd w:val="0"/>
        <w:spacing w:after="0"/>
        <w:rPr>
          <w:rFonts w:ascii="Times New Roman" w:hAnsi="Times New Roman" w:cs="Times New Roman"/>
        </w:rPr>
      </w:pPr>
      <w:r>
        <w:rPr>
          <w:rFonts w:ascii="Times New Roman" w:hAnsi="Times New Roman" w:cs="Times New Roman"/>
        </w:rPr>
        <w:t>Review of intermediate test results or worksheets, QC records, proficiency testing results, and preventative maintenance records</w:t>
      </w:r>
    </w:p>
    <w:p w:rsidR="000515D1" w:rsidRDefault="00322EF3" w:rsidP="00322EF3">
      <w:pPr>
        <w:pStyle w:val="ListParagraph"/>
        <w:numPr>
          <w:ilvl w:val="1"/>
          <w:numId w:val="30"/>
        </w:numPr>
        <w:autoSpaceDE w:val="0"/>
        <w:autoSpaceDN w:val="0"/>
        <w:adjustRightInd w:val="0"/>
        <w:spacing w:after="0"/>
        <w:rPr>
          <w:rFonts w:ascii="Times New Roman" w:hAnsi="Times New Roman" w:cs="Times New Roman"/>
        </w:rPr>
      </w:pPr>
      <w:r>
        <w:rPr>
          <w:rFonts w:ascii="Times New Roman" w:hAnsi="Times New Roman" w:cs="Times New Roman"/>
        </w:rPr>
        <w:t>Direct observations of the performance of instrument maintenance and function checks.</w:t>
      </w:r>
    </w:p>
    <w:p w:rsidR="00322EF3" w:rsidRDefault="00322EF3" w:rsidP="00322EF3">
      <w:pPr>
        <w:pStyle w:val="ListParagraph"/>
        <w:numPr>
          <w:ilvl w:val="1"/>
          <w:numId w:val="30"/>
        </w:numPr>
        <w:autoSpaceDE w:val="0"/>
        <w:autoSpaceDN w:val="0"/>
        <w:adjustRightInd w:val="0"/>
        <w:spacing w:after="0"/>
        <w:rPr>
          <w:rFonts w:ascii="Times New Roman" w:hAnsi="Times New Roman" w:cs="Times New Roman"/>
        </w:rPr>
      </w:pPr>
      <w:r>
        <w:rPr>
          <w:rFonts w:ascii="Times New Roman" w:hAnsi="Times New Roman" w:cs="Times New Roman"/>
        </w:rPr>
        <w:t>Assessment of test performance through testing previously analyzed specimens, internal blind testing samples, or external proficiency testing samples.</w:t>
      </w:r>
    </w:p>
    <w:p w:rsidR="00F57F59" w:rsidRDefault="00F57F59" w:rsidP="00322EF3">
      <w:pPr>
        <w:pStyle w:val="ListParagraph"/>
        <w:numPr>
          <w:ilvl w:val="1"/>
          <w:numId w:val="30"/>
        </w:numPr>
        <w:autoSpaceDE w:val="0"/>
        <w:autoSpaceDN w:val="0"/>
        <w:adjustRightInd w:val="0"/>
        <w:spacing w:after="0"/>
        <w:rPr>
          <w:rFonts w:ascii="Times New Roman" w:hAnsi="Times New Roman" w:cs="Times New Roman"/>
        </w:rPr>
      </w:pPr>
      <w:r>
        <w:rPr>
          <w:rFonts w:ascii="Times New Roman" w:hAnsi="Times New Roman" w:cs="Times New Roman"/>
        </w:rPr>
        <w:t>Assessment of problem-solving skills</w:t>
      </w:r>
    </w:p>
    <w:p w:rsidR="000515D1" w:rsidRPr="000515D1" w:rsidRDefault="000515D1" w:rsidP="000515D1">
      <w:pPr>
        <w:pStyle w:val="ListParagraph"/>
        <w:autoSpaceDE w:val="0"/>
        <w:autoSpaceDN w:val="0"/>
        <w:adjustRightInd w:val="0"/>
        <w:spacing w:after="0"/>
        <w:ind w:left="990"/>
        <w:rPr>
          <w:rFonts w:ascii="Times New Roman" w:hAnsi="Times New Roman" w:cs="Times New Roman"/>
        </w:rPr>
      </w:pPr>
    </w:p>
    <w:p w:rsidR="00443AB5" w:rsidRPr="001630C6" w:rsidRDefault="004E269A" w:rsidP="009D6146">
      <w:pPr>
        <w:pStyle w:val="NoSpacing"/>
        <w:tabs>
          <w:tab w:val="left" w:pos="540"/>
        </w:tabs>
        <w:spacing w:line="276" w:lineRule="auto"/>
        <w:rPr>
          <w:rFonts w:cs="Times New Roman"/>
          <w:sz w:val="20"/>
          <w:szCs w:val="20"/>
        </w:rPr>
      </w:pPr>
      <w:r w:rsidRPr="001630C6">
        <w:rPr>
          <w:rFonts w:cs="Times New Roman"/>
        </w:rPr>
        <w:t>The goal of the AABB Standards Chat is to increase staff awareness as to their p</w:t>
      </w:r>
      <w:r w:rsidR="00D76E31" w:rsidRPr="001630C6">
        <w:rPr>
          <w:rFonts w:cs="Times New Roman"/>
        </w:rPr>
        <w:t>urpose and how they impact the B</w:t>
      </w:r>
      <w:r w:rsidRPr="001630C6">
        <w:rPr>
          <w:rFonts w:cs="Times New Roman"/>
        </w:rPr>
        <w:t xml:space="preserve">lood </w:t>
      </w:r>
      <w:r w:rsidR="00D76E31" w:rsidRPr="001630C6">
        <w:rPr>
          <w:rFonts w:cs="Times New Roman"/>
        </w:rPr>
        <w:t>B</w:t>
      </w:r>
      <w:r w:rsidRPr="001630C6">
        <w:rPr>
          <w:rFonts w:cs="Times New Roman"/>
        </w:rPr>
        <w:t>ank</w:t>
      </w:r>
      <w:r w:rsidR="00D76E31" w:rsidRPr="001630C6">
        <w:rPr>
          <w:rFonts w:cs="Times New Roman"/>
        </w:rPr>
        <w:t>’</w:t>
      </w:r>
      <w:r w:rsidRPr="001630C6">
        <w:rPr>
          <w:rFonts w:cs="Times New Roman"/>
        </w:rPr>
        <w:t>s policies and procedures.  If you have a question about AABB standards, please see a member of BB L</w:t>
      </w:r>
      <w:r w:rsidRPr="001630C6">
        <w:rPr>
          <w:rFonts w:cs="Times New Roman"/>
          <w:sz w:val="20"/>
          <w:szCs w:val="20"/>
        </w:rPr>
        <w:t>eadership.</w:t>
      </w:r>
    </w:p>
    <w:sectPr w:rsidR="00443AB5" w:rsidRPr="001630C6" w:rsidSect="00AC18B8">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DC" w:rsidRDefault="00480BDC" w:rsidP="00D232AB">
      <w:pPr>
        <w:spacing w:after="0" w:line="240" w:lineRule="auto"/>
      </w:pPr>
      <w:r>
        <w:separator/>
      </w:r>
    </w:p>
  </w:endnote>
  <w:endnote w:type="continuationSeparator" w:id="0">
    <w:p w:rsidR="00480BDC" w:rsidRDefault="00480BDC" w:rsidP="00D2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2" w:rsidRPr="00013092" w:rsidRDefault="00013092" w:rsidP="00013092">
    <w:pPr>
      <w:pStyle w:val="Footer"/>
      <w:rPr>
        <w:rFonts w:ascii="Times New Roman" w:hAnsi="Times New Roman" w:cs="Times New Roman"/>
        <w:sz w:val="16"/>
        <w:szCs w:val="16"/>
      </w:rPr>
    </w:pPr>
    <w:r w:rsidRPr="00013092">
      <w:rPr>
        <w:rFonts w:ascii="Times New Roman" w:hAnsi="Times New Roman" w:cs="Times New Roman"/>
        <w:sz w:val="16"/>
        <w:szCs w:val="16"/>
      </w:rPr>
      <w:t>Wisconsin Diagnostic Laboratories, Blood Bank, 9200 West Wisconsin Avenue, Milwaukee, WI 53226</w:t>
    </w:r>
  </w:p>
  <w:p w:rsidR="00013092" w:rsidRPr="00013092" w:rsidRDefault="00013092" w:rsidP="00013092">
    <w:pPr>
      <w:pStyle w:val="Footer"/>
      <w:rPr>
        <w:rFonts w:ascii="Times New Roman" w:hAnsi="Times New Roman" w:cs="Times New Roman"/>
        <w:sz w:val="16"/>
        <w:szCs w:val="16"/>
      </w:rPr>
    </w:pPr>
    <w:r>
      <w:rPr>
        <w:rFonts w:ascii="Times New Roman" w:hAnsi="Times New Roman" w:cs="Times New Roman"/>
        <w:sz w:val="16"/>
        <w:szCs w:val="16"/>
      </w:rPr>
      <w:t>I</w:t>
    </w:r>
    <w:r w:rsidRPr="00013092">
      <w:rPr>
        <w:rFonts w:ascii="Times New Roman" w:hAnsi="Times New Roman" w:cs="Times New Roman"/>
        <w:sz w:val="16"/>
        <w:szCs w:val="16"/>
      </w:rPr>
      <w:t>:\</w:t>
    </w:r>
    <w:r>
      <w:rPr>
        <w:rFonts w:ascii="Times New Roman" w:hAnsi="Times New Roman" w:cs="Times New Roman"/>
        <w:sz w:val="16"/>
        <w:szCs w:val="16"/>
      </w:rPr>
      <w:t>AABB Standards</w:t>
    </w:r>
    <w:r w:rsidR="009A2058">
      <w:rPr>
        <w:rFonts w:ascii="Times New Roman" w:hAnsi="Times New Roman" w:cs="Times New Roman"/>
        <w:sz w:val="16"/>
        <w:szCs w:val="16"/>
      </w:rPr>
      <w:t xml:space="preserve">\AABB Standards </w:t>
    </w:r>
    <w:r w:rsidR="007A3ACC">
      <w:rPr>
        <w:rFonts w:ascii="Times New Roman" w:hAnsi="Times New Roman" w:cs="Times New Roman"/>
        <w:sz w:val="16"/>
        <w:szCs w:val="16"/>
      </w:rPr>
      <w:t>6</w:t>
    </w:r>
    <w:r w:rsidR="00054B2A">
      <w:rPr>
        <w:rFonts w:ascii="Times New Roman" w:hAnsi="Times New Roman" w:cs="Times New Roman"/>
        <w:sz w:val="16"/>
        <w:szCs w:val="16"/>
      </w:rPr>
      <w:tab/>
    </w:r>
    <w:r w:rsidRPr="00013092">
      <w:rPr>
        <w:rFonts w:ascii="Times New Roman" w:hAnsi="Times New Roman" w:cs="Times New Roman"/>
        <w:sz w:val="16"/>
        <w:szCs w:val="16"/>
      </w:rPr>
      <w:t xml:space="preserve">        </w:t>
    </w:r>
    <w:r>
      <w:rPr>
        <w:rFonts w:ascii="Times New Roman" w:hAnsi="Times New Roman" w:cs="Times New Roman"/>
        <w:sz w:val="16"/>
        <w:szCs w:val="16"/>
      </w:rPr>
      <w:tab/>
    </w:r>
    <w:r w:rsidR="009A2058">
      <w:rPr>
        <w:rFonts w:ascii="Times New Roman" w:hAnsi="Times New Roman" w:cs="Times New Roman"/>
        <w:sz w:val="16"/>
        <w:szCs w:val="16"/>
      </w:rPr>
      <w:t xml:space="preserve"> AP   </w:t>
    </w:r>
    <w:r w:rsidR="00AB5BE7">
      <w:rPr>
        <w:rFonts w:ascii="Times New Roman" w:hAnsi="Times New Roman" w:cs="Times New Roman"/>
        <w:sz w:val="16"/>
        <w:szCs w:val="16"/>
      </w:rPr>
      <w:t>CREATED</w:t>
    </w:r>
    <w:r w:rsidR="009A2058">
      <w:rPr>
        <w:rFonts w:ascii="Times New Roman" w:hAnsi="Times New Roman" w:cs="Times New Roman"/>
        <w:sz w:val="16"/>
        <w:szCs w:val="16"/>
      </w:rPr>
      <w:t xml:space="preserve">: </w:t>
    </w:r>
    <w:r w:rsidR="00136458">
      <w:rPr>
        <w:rFonts w:ascii="Times New Roman" w:hAnsi="Times New Roman" w:cs="Times New Roman"/>
        <w:sz w:val="16"/>
        <w:szCs w:val="16"/>
      </w:rPr>
      <w:t>1</w:t>
    </w:r>
    <w:r w:rsidR="003E6C04">
      <w:rPr>
        <w:rFonts w:ascii="Times New Roman" w:hAnsi="Times New Roman" w:cs="Times New Roman"/>
        <w:sz w:val="16"/>
        <w:szCs w:val="16"/>
      </w:rPr>
      <w:t>2</w:t>
    </w:r>
    <w:r w:rsidRPr="00013092">
      <w:rPr>
        <w:rFonts w:ascii="Times New Roman" w:hAnsi="Times New Roman" w:cs="Times New Roman"/>
        <w:sz w:val="16"/>
        <w:szCs w:val="16"/>
      </w:rPr>
      <w:t>/</w:t>
    </w:r>
    <w:r w:rsidR="003E6C04">
      <w:rPr>
        <w:rFonts w:ascii="Times New Roman" w:hAnsi="Times New Roman" w:cs="Times New Roman"/>
        <w:sz w:val="16"/>
        <w:szCs w:val="16"/>
      </w:rPr>
      <w:t>19</w:t>
    </w:r>
    <w:r w:rsidRPr="00013092">
      <w:rPr>
        <w:rFonts w:ascii="Times New Roman" w:hAnsi="Times New Roman" w:cs="Times New Roman"/>
        <w:sz w:val="16"/>
        <w:szCs w:val="16"/>
      </w:rPr>
      <w:t>/</w:t>
    </w:r>
    <w:r w:rsidR="00136458">
      <w:rPr>
        <w:rFonts w:ascii="Times New Roman" w:hAnsi="Times New Roman" w:cs="Times New Roman"/>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DC" w:rsidRDefault="00480BDC" w:rsidP="00D232AB">
      <w:pPr>
        <w:spacing w:after="0" w:line="240" w:lineRule="auto"/>
      </w:pPr>
      <w:r>
        <w:separator/>
      </w:r>
    </w:p>
  </w:footnote>
  <w:footnote w:type="continuationSeparator" w:id="0">
    <w:p w:rsidR="00480BDC" w:rsidRDefault="00480BDC" w:rsidP="00D23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AB" w:rsidRPr="00D232AB" w:rsidRDefault="00D232AB" w:rsidP="00D232AB">
    <w:pPr>
      <w:pStyle w:val="Header"/>
      <w:jc w:val="center"/>
      <w:rPr>
        <w:rFonts w:ascii="Times New Roman" w:hAnsi="Times New Roman" w:cs="Times New Roman"/>
      </w:rPr>
    </w:pPr>
    <w:r w:rsidRPr="00D232AB">
      <w:rPr>
        <w:rFonts w:ascii="Times New Roman" w:hAnsi="Times New Roman" w:cs="Times New Roman"/>
      </w:rPr>
      <w:t>AABB STANDARDS CHAT</w:t>
    </w:r>
  </w:p>
  <w:p w:rsidR="00D232AB" w:rsidRPr="00D232AB" w:rsidRDefault="00D232AB" w:rsidP="00D232AB">
    <w:pPr>
      <w:pStyle w:val="Header"/>
      <w:jc w:val="center"/>
      <w:rPr>
        <w:rFonts w:ascii="Times New Roman" w:hAnsi="Times New Roman" w:cs="Times New Roman"/>
        <w:sz w:val="20"/>
      </w:rPr>
    </w:pPr>
    <w:r w:rsidRPr="00D232AB">
      <w:rPr>
        <w:rFonts w:ascii="Times New Roman" w:hAnsi="Times New Roman" w:cs="Times New Roman"/>
        <w:sz w:val="20"/>
      </w:rPr>
      <w:t>BLOOD BANK CONTIN</w:t>
    </w:r>
    <w:r w:rsidR="00C67118">
      <w:rPr>
        <w:rFonts w:ascii="Times New Roman" w:hAnsi="Times New Roman" w:cs="Times New Roman"/>
        <w:sz w:val="20"/>
      </w:rPr>
      <w:t>U</w:t>
    </w:r>
    <w:r w:rsidRPr="00D232AB">
      <w:rPr>
        <w:rFonts w:ascii="Times New Roman" w:hAnsi="Times New Roman" w:cs="Times New Roman"/>
        <w:sz w:val="20"/>
      </w:rPr>
      <w:t>ING EDUCATION MATERIAL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86"/>
      </v:shape>
    </w:pict>
  </w:numPicBullet>
  <w:abstractNum w:abstractNumId="0" w15:restartNumberingAfterBreak="0">
    <w:nsid w:val="002E0B31"/>
    <w:multiLevelType w:val="hybridMultilevel"/>
    <w:tmpl w:val="9A5897E2"/>
    <w:lvl w:ilvl="0" w:tplc="04090007">
      <w:start w:val="1"/>
      <w:numFmt w:val="bullet"/>
      <w:lvlText w:val=""/>
      <w:lvlPicBulletId w:val="0"/>
      <w:lvlJc w:val="left"/>
      <w:pPr>
        <w:ind w:left="540" w:hanging="360"/>
      </w:pPr>
      <w:rPr>
        <w:rFonts w:ascii="Symbol" w:hAnsi="Symbol" w:hint="default"/>
      </w:rPr>
    </w:lvl>
    <w:lvl w:ilvl="1" w:tplc="0409000B">
      <w:start w:val="1"/>
      <w:numFmt w:val="bullet"/>
      <w:lvlText w:val=""/>
      <w:lvlJc w:val="left"/>
      <w:pPr>
        <w:ind w:left="126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B531F07"/>
    <w:multiLevelType w:val="hybridMultilevel"/>
    <w:tmpl w:val="160050C6"/>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5534C"/>
    <w:multiLevelType w:val="hybridMultilevel"/>
    <w:tmpl w:val="9D3EE8C4"/>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E1B72"/>
    <w:multiLevelType w:val="hybridMultilevel"/>
    <w:tmpl w:val="977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91E04"/>
    <w:multiLevelType w:val="multilevel"/>
    <w:tmpl w:val="54D28E5E"/>
    <w:lvl w:ilvl="0">
      <w:start w:val="1"/>
      <w:numFmt w:val="decimal"/>
      <w:lvlText w:val="%1."/>
      <w:lvlJc w:val="left"/>
      <w:pPr>
        <w:ind w:left="1080" w:hanging="360"/>
      </w:pPr>
      <w:rPr>
        <w:rFonts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C257266"/>
    <w:multiLevelType w:val="multilevel"/>
    <w:tmpl w:val="F3606DB0"/>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AB46C14"/>
    <w:multiLevelType w:val="multilevel"/>
    <w:tmpl w:val="F438CB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EE329F"/>
    <w:multiLevelType w:val="hybridMultilevel"/>
    <w:tmpl w:val="78DACC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B2028"/>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0160882"/>
    <w:multiLevelType w:val="hybridMultilevel"/>
    <w:tmpl w:val="48BCB9FE"/>
    <w:lvl w:ilvl="0" w:tplc="04090001">
      <w:start w:val="1"/>
      <w:numFmt w:val="bullet"/>
      <w:lvlText w:val=""/>
      <w:lvlJc w:val="left"/>
      <w:pPr>
        <w:ind w:left="1080" w:hanging="360"/>
      </w:pPr>
      <w:rPr>
        <w:rFonts w:ascii="Symbol" w:hAnsi="Symbol" w:hint="default"/>
      </w:rPr>
    </w:lvl>
    <w:lvl w:ilvl="1" w:tplc="04090007">
      <w:start w:val="1"/>
      <w:numFmt w:val="bullet"/>
      <w:lvlText w:val=""/>
      <w:lvlPicBulletId w:val="0"/>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A7236B"/>
    <w:multiLevelType w:val="hybridMultilevel"/>
    <w:tmpl w:val="F8DA7252"/>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1000B"/>
    <w:multiLevelType w:val="hybridMultilevel"/>
    <w:tmpl w:val="B3EE48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33F64"/>
    <w:multiLevelType w:val="hybridMultilevel"/>
    <w:tmpl w:val="3C70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1097F"/>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3C4B4877"/>
    <w:multiLevelType w:val="hybridMultilevel"/>
    <w:tmpl w:val="816C9CB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83524"/>
    <w:multiLevelType w:val="hybridMultilevel"/>
    <w:tmpl w:val="D59E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0376E"/>
    <w:multiLevelType w:val="multilevel"/>
    <w:tmpl w:val="5EC88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6E6DED"/>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E11389E"/>
    <w:multiLevelType w:val="multilevel"/>
    <w:tmpl w:val="F3606DB0"/>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51155B4D"/>
    <w:multiLevelType w:val="multilevel"/>
    <w:tmpl w:val="B5E6DED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51950A8F"/>
    <w:multiLevelType w:val="hybridMultilevel"/>
    <w:tmpl w:val="62EC7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B3793C"/>
    <w:multiLevelType w:val="hybridMultilevel"/>
    <w:tmpl w:val="4FAA8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77135"/>
    <w:multiLevelType w:val="hybridMultilevel"/>
    <w:tmpl w:val="983C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B33DA"/>
    <w:multiLevelType w:val="hybridMultilevel"/>
    <w:tmpl w:val="7AFA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77AD8"/>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F1B2A02"/>
    <w:multiLevelType w:val="multilevel"/>
    <w:tmpl w:val="4A982E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6F525DA7"/>
    <w:multiLevelType w:val="multilevel"/>
    <w:tmpl w:val="547468A4"/>
    <w:lvl w:ilvl="0">
      <w:start w:val="1"/>
      <w:numFmt w:val="bullet"/>
      <w:lvlText w:val=""/>
      <w:lvlPicBulletId w:val="0"/>
      <w:lvlJc w:val="left"/>
      <w:pPr>
        <w:ind w:left="720" w:hanging="360"/>
      </w:pPr>
      <w:rPr>
        <w:rFonts w:ascii="Symbol" w:hAnsi="Symbol" w:hint="default"/>
      </w:rPr>
    </w:lvl>
    <w:lvl w:ilvl="1">
      <w:start w:val="1"/>
      <w:numFmt w:val="bullet"/>
      <w:lvlText w:val=""/>
      <w:lvlPicBulletId w:val="0"/>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0D4F87"/>
    <w:multiLevelType w:val="hybridMultilevel"/>
    <w:tmpl w:val="63B2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D34E1C"/>
    <w:multiLevelType w:val="hybridMultilevel"/>
    <w:tmpl w:val="A30EE61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81931"/>
    <w:multiLevelType w:val="hybridMultilevel"/>
    <w:tmpl w:val="BA0E3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441FD0"/>
    <w:multiLevelType w:val="multilevel"/>
    <w:tmpl w:val="54D28E5E"/>
    <w:lvl w:ilvl="0">
      <w:start w:val="1"/>
      <w:numFmt w:val="decimal"/>
      <w:lvlText w:val="%1."/>
      <w:lvlJc w:val="left"/>
      <w:pPr>
        <w:ind w:left="1080" w:hanging="360"/>
      </w:pPr>
      <w:rPr>
        <w:rFonts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9"/>
  </w:num>
  <w:num w:numId="2">
    <w:abstractNumId w:val="21"/>
  </w:num>
  <w:num w:numId="3">
    <w:abstractNumId w:val="6"/>
  </w:num>
  <w:num w:numId="4">
    <w:abstractNumId w:val="16"/>
  </w:num>
  <w:num w:numId="5">
    <w:abstractNumId w:val="3"/>
  </w:num>
  <w:num w:numId="6">
    <w:abstractNumId w:val="23"/>
  </w:num>
  <w:num w:numId="7">
    <w:abstractNumId w:val="19"/>
  </w:num>
  <w:num w:numId="8">
    <w:abstractNumId w:val="13"/>
  </w:num>
  <w:num w:numId="9">
    <w:abstractNumId w:val="10"/>
  </w:num>
  <w:num w:numId="10">
    <w:abstractNumId w:val="9"/>
  </w:num>
  <w:num w:numId="11">
    <w:abstractNumId w:val="17"/>
  </w:num>
  <w:num w:numId="12">
    <w:abstractNumId w:val="20"/>
  </w:num>
  <w:num w:numId="13">
    <w:abstractNumId w:val="2"/>
  </w:num>
  <w:num w:numId="14">
    <w:abstractNumId w:val="7"/>
  </w:num>
  <w:num w:numId="15">
    <w:abstractNumId w:val="11"/>
  </w:num>
  <w:num w:numId="16">
    <w:abstractNumId w:val="28"/>
  </w:num>
  <w:num w:numId="17">
    <w:abstractNumId w:val="14"/>
  </w:num>
  <w:num w:numId="18">
    <w:abstractNumId w:val="8"/>
  </w:num>
  <w:num w:numId="19">
    <w:abstractNumId w:val="1"/>
  </w:num>
  <w:num w:numId="20">
    <w:abstractNumId w:val="25"/>
  </w:num>
  <w:num w:numId="21">
    <w:abstractNumId w:val="17"/>
    <w:lvlOverride w:ilvl="0">
      <w:lvl w:ilvl="0">
        <w:start w:val="1"/>
        <w:numFmt w:val="bullet"/>
        <w:lvlText w:val=""/>
        <w:lvlJc w:val="left"/>
        <w:pPr>
          <w:ind w:left="1080" w:hanging="360"/>
        </w:pPr>
        <w:rPr>
          <w:rFonts w:ascii="Symbol" w:hAnsi="Symbol" w:hint="default"/>
        </w:rPr>
      </w:lvl>
    </w:lvlOverride>
    <w:lvlOverride w:ilvl="1">
      <w:lvl w:ilvl="1">
        <w:start w:val="1"/>
        <w:numFmt w:val="bullet"/>
        <w:lvlText w:val=""/>
        <w:lvlPicBulletId w:val="0"/>
        <w:lvlJc w:val="left"/>
        <w:pPr>
          <w:ind w:left="1800" w:hanging="360"/>
        </w:pPr>
        <w:rPr>
          <w:rFonts w:ascii="Symbol" w:hAnsi="Symbol" w:hint="default"/>
        </w:rPr>
      </w:lvl>
    </w:lvlOverride>
    <w:lvlOverride w:ilvl="2">
      <w:lvl w:ilvl="2">
        <w:start w:val="1"/>
        <w:numFmt w:val="bullet"/>
        <w:lvlText w:val=""/>
        <w:lvlJc w:val="left"/>
        <w:pPr>
          <w:ind w:left="2520" w:hanging="360"/>
        </w:pPr>
        <w:rPr>
          <w:rFonts w:ascii="Wingdings" w:hAnsi="Wingdings" w:hint="default"/>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22">
    <w:abstractNumId w:val="24"/>
  </w:num>
  <w:num w:numId="23">
    <w:abstractNumId w:val="4"/>
  </w:num>
  <w:num w:numId="24">
    <w:abstractNumId w:val="30"/>
  </w:num>
  <w:num w:numId="25">
    <w:abstractNumId w:val="5"/>
  </w:num>
  <w:num w:numId="26">
    <w:abstractNumId w:val="18"/>
  </w:num>
  <w:num w:numId="27">
    <w:abstractNumId w:val="26"/>
  </w:num>
  <w:num w:numId="28">
    <w:abstractNumId w:val="27"/>
  </w:num>
  <w:num w:numId="29">
    <w:abstractNumId w:val="12"/>
  </w:num>
  <w:num w:numId="30">
    <w:abstractNumId w:val="0"/>
  </w:num>
  <w:num w:numId="31">
    <w:abstractNumId w:val="2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AB"/>
    <w:rsid w:val="00013092"/>
    <w:rsid w:val="0003638A"/>
    <w:rsid w:val="000515D1"/>
    <w:rsid w:val="00054B2A"/>
    <w:rsid w:val="00083BDA"/>
    <w:rsid w:val="000D276D"/>
    <w:rsid w:val="000D4345"/>
    <w:rsid w:val="000D4B2B"/>
    <w:rsid w:val="000F0172"/>
    <w:rsid w:val="000F06D6"/>
    <w:rsid w:val="000F4836"/>
    <w:rsid w:val="00104414"/>
    <w:rsid w:val="00136458"/>
    <w:rsid w:val="00142F25"/>
    <w:rsid w:val="001630C6"/>
    <w:rsid w:val="001803E9"/>
    <w:rsid w:val="001A6932"/>
    <w:rsid w:val="001F7CE5"/>
    <w:rsid w:val="00235F63"/>
    <w:rsid w:val="00267EF6"/>
    <w:rsid w:val="00287B83"/>
    <w:rsid w:val="002C2630"/>
    <w:rsid w:val="002D2CCF"/>
    <w:rsid w:val="00322EF3"/>
    <w:rsid w:val="00366943"/>
    <w:rsid w:val="00367090"/>
    <w:rsid w:val="003A57FC"/>
    <w:rsid w:val="003A7FBE"/>
    <w:rsid w:val="003B06C1"/>
    <w:rsid w:val="003D57B5"/>
    <w:rsid w:val="003E6C04"/>
    <w:rsid w:val="003F6131"/>
    <w:rsid w:val="00421482"/>
    <w:rsid w:val="00443AB5"/>
    <w:rsid w:val="00460DE5"/>
    <w:rsid w:val="00480BDC"/>
    <w:rsid w:val="00484A12"/>
    <w:rsid w:val="004E269A"/>
    <w:rsid w:val="005529C5"/>
    <w:rsid w:val="00555327"/>
    <w:rsid w:val="00560FA4"/>
    <w:rsid w:val="005A6834"/>
    <w:rsid w:val="0060251B"/>
    <w:rsid w:val="00626F9B"/>
    <w:rsid w:val="00633F21"/>
    <w:rsid w:val="006363B9"/>
    <w:rsid w:val="00642072"/>
    <w:rsid w:val="006574E0"/>
    <w:rsid w:val="006D2042"/>
    <w:rsid w:val="006D6ED5"/>
    <w:rsid w:val="006F26E4"/>
    <w:rsid w:val="00705911"/>
    <w:rsid w:val="00717D48"/>
    <w:rsid w:val="00741E7F"/>
    <w:rsid w:val="00796BF3"/>
    <w:rsid w:val="007A3ACC"/>
    <w:rsid w:val="007B76A7"/>
    <w:rsid w:val="007C4A09"/>
    <w:rsid w:val="00816643"/>
    <w:rsid w:val="008531D9"/>
    <w:rsid w:val="0085491D"/>
    <w:rsid w:val="00887F45"/>
    <w:rsid w:val="008B56B5"/>
    <w:rsid w:val="00910A7F"/>
    <w:rsid w:val="00916F14"/>
    <w:rsid w:val="0092360B"/>
    <w:rsid w:val="00950946"/>
    <w:rsid w:val="009A2058"/>
    <w:rsid w:val="009A6E39"/>
    <w:rsid w:val="009C140A"/>
    <w:rsid w:val="009D6146"/>
    <w:rsid w:val="009E2D3B"/>
    <w:rsid w:val="00AA11CD"/>
    <w:rsid w:val="00AA693D"/>
    <w:rsid w:val="00AB5BE7"/>
    <w:rsid w:val="00AC1570"/>
    <w:rsid w:val="00AC18B8"/>
    <w:rsid w:val="00AC7B3D"/>
    <w:rsid w:val="00AD7F8C"/>
    <w:rsid w:val="00AF1DCA"/>
    <w:rsid w:val="00B13011"/>
    <w:rsid w:val="00B17EA7"/>
    <w:rsid w:val="00B204DD"/>
    <w:rsid w:val="00B21272"/>
    <w:rsid w:val="00B4771F"/>
    <w:rsid w:val="00BC27A1"/>
    <w:rsid w:val="00C17167"/>
    <w:rsid w:val="00C2633F"/>
    <w:rsid w:val="00C60FBB"/>
    <w:rsid w:val="00C67118"/>
    <w:rsid w:val="00C67706"/>
    <w:rsid w:val="00CA390B"/>
    <w:rsid w:val="00CC5B47"/>
    <w:rsid w:val="00CD24DC"/>
    <w:rsid w:val="00D16AF7"/>
    <w:rsid w:val="00D232AB"/>
    <w:rsid w:val="00D608EE"/>
    <w:rsid w:val="00D76E31"/>
    <w:rsid w:val="00DC67A9"/>
    <w:rsid w:val="00DE327F"/>
    <w:rsid w:val="00E351CF"/>
    <w:rsid w:val="00E36502"/>
    <w:rsid w:val="00E45944"/>
    <w:rsid w:val="00E6492D"/>
    <w:rsid w:val="00EA075D"/>
    <w:rsid w:val="00EB7F0F"/>
    <w:rsid w:val="00EC0D64"/>
    <w:rsid w:val="00EF4485"/>
    <w:rsid w:val="00F20D12"/>
    <w:rsid w:val="00F57F59"/>
    <w:rsid w:val="00F82EAA"/>
    <w:rsid w:val="00FA30D4"/>
    <w:rsid w:val="00FD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28BA36"/>
  <w15:docId w15:val="{BDF609DF-C945-47D5-BE76-1576BEBE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2AB"/>
  </w:style>
  <w:style w:type="paragraph" w:styleId="Footer">
    <w:name w:val="footer"/>
    <w:basedOn w:val="Normal"/>
    <w:link w:val="FooterChar"/>
    <w:uiPriority w:val="99"/>
    <w:unhideWhenUsed/>
    <w:rsid w:val="00D23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2AB"/>
  </w:style>
  <w:style w:type="paragraph" w:styleId="ListParagraph">
    <w:name w:val="List Paragraph"/>
    <w:basedOn w:val="Normal"/>
    <w:uiPriority w:val="34"/>
    <w:qFormat/>
    <w:rsid w:val="00D232AB"/>
    <w:pPr>
      <w:ind w:left="720"/>
      <w:contextualSpacing/>
    </w:pPr>
  </w:style>
  <w:style w:type="paragraph" w:styleId="NoSpacing">
    <w:name w:val="No Spacing"/>
    <w:uiPriority w:val="1"/>
    <w:qFormat/>
    <w:rsid w:val="00443AB5"/>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910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633</Words>
  <Characters>3612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Peterson, Anthony</cp:lastModifiedBy>
  <cp:revision>2</cp:revision>
  <cp:lastPrinted>2019-12-26T20:34:00Z</cp:lastPrinted>
  <dcterms:created xsi:type="dcterms:W3CDTF">2019-12-26T21:25:00Z</dcterms:created>
  <dcterms:modified xsi:type="dcterms:W3CDTF">2019-12-26T21:25:00Z</dcterms:modified>
</cp:coreProperties>
</file>