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28" w:rsidRDefault="002D1911" w:rsidP="00023F8E">
      <w:pPr>
        <w:pStyle w:val="NoSpacing"/>
        <w:tabs>
          <w:tab w:val="left" w:pos="540"/>
        </w:tabs>
        <w:spacing w:line="276" w:lineRule="auto"/>
        <w:rPr>
          <w:rFonts w:cs="Times New Roman"/>
        </w:rPr>
      </w:pPr>
      <w:r>
        <w:rPr>
          <w:rFonts w:cs="Times New Roman"/>
        </w:rPr>
        <w:t>AABB Standards Chat V</w:t>
      </w:r>
      <w:r w:rsidR="00023F8E" w:rsidRPr="00172D9A">
        <w:rPr>
          <w:rFonts w:cs="Times New Roman"/>
        </w:rPr>
        <w:t xml:space="preserve">olume </w:t>
      </w:r>
      <w:r w:rsidR="009C46ED">
        <w:rPr>
          <w:rFonts w:cs="Times New Roman"/>
        </w:rPr>
        <w:t>13</w:t>
      </w:r>
    </w:p>
    <w:p w:rsidR="005D08E5" w:rsidRDefault="005D08E5" w:rsidP="00023F8E">
      <w:pPr>
        <w:pStyle w:val="NoSpacing"/>
        <w:tabs>
          <w:tab w:val="left" w:pos="540"/>
        </w:tabs>
        <w:spacing w:line="276" w:lineRule="auto"/>
        <w:rPr>
          <w:rFonts w:cs="Times New Roman"/>
        </w:rPr>
      </w:pPr>
    </w:p>
    <w:p w:rsidR="00023F8E" w:rsidRPr="00172D9A" w:rsidRDefault="00DE4C30" w:rsidP="00023F8E">
      <w:pPr>
        <w:pStyle w:val="NoSpacing"/>
        <w:tabs>
          <w:tab w:val="left" w:pos="540"/>
        </w:tabs>
        <w:spacing w:line="276" w:lineRule="auto"/>
        <w:rPr>
          <w:rFonts w:cs="Times New Roman"/>
        </w:rPr>
      </w:pPr>
      <w:r>
        <w:rPr>
          <w:rFonts w:cs="Times New Roman"/>
        </w:rPr>
        <w:t>In the previous standards chat</w:t>
      </w:r>
      <w:r w:rsidR="00023F8E" w:rsidRPr="00172D9A">
        <w:rPr>
          <w:rFonts w:cs="Times New Roman"/>
        </w:rPr>
        <w:t xml:space="preserve"> we discussed </w:t>
      </w:r>
      <w:r>
        <w:rPr>
          <w:rFonts w:cs="Times New Roman"/>
        </w:rPr>
        <w:t>information systems in the blood bank</w:t>
      </w:r>
      <w:r w:rsidR="00023F8E" w:rsidRPr="00172D9A">
        <w:rPr>
          <w:rFonts w:cs="Times New Roman"/>
        </w:rPr>
        <w:t xml:space="preserve">.  </w:t>
      </w:r>
      <w:r w:rsidR="00073700">
        <w:rPr>
          <w:rFonts w:cs="Times New Roman"/>
        </w:rPr>
        <w:t>In this chat we will discuss</w:t>
      </w:r>
      <w:r>
        <w:rPr>
          <w:rFonts w:cs="Times New Roman"/>
        </w:rPr>
        <w:t xml:space="preserve"> supplier and customer issues</w:t>
      </w:r>
      <w:r w:rsidR="005D08E5">
        <w:rPr>
          <w:rFonts w:cs="Times New Roman"/>
        </w:rPr>
        <w:t xml:space="preserve">.  </w:t>
      </w:r>
      <w:r w:rsidR="00023F8E" w:rsidRPr="00172D9A">
        <w:rPr>
          <w:rFonts w:cs="Times New Roman"/>
        </w:rPr>
        <w:br/>
      </w:r>
    </w:p>
    <w:p w:rsidR="00023F8E" w:rsidRPr="00172D9A" w:rsidRDefault="00DE4C30" w:rsidP="00DE4C30">
      <w:pPr>
        <w:pStyle w:val="NoSpacing"/>
        <w:tabs>
          <w:tab w:val="left" w:pos="720"/>
        </w:tabs>
        <w:spacing w:line="276" w:lineRule="auto"/>
        <w:rPr>
          <w:rFonts w:cs="Times New Roman"/>
          <w:b/>
        </w:rPr>
      </w:pPr>
      <w:r>
        <w:rPr>
          <w:rFonts w:cs="Times New Roman"/>
          <w:b/>
        </w:rPr>
        <w:t>4.0</w:t>
      </w:r>
      <w:r w:rsidR="00B113B1">
        <w:rPr>
          <w:rFonts w:cs="Times New Roman"/>
          <w:b/>
        </w:rPr>
        <w:t xml:space="preserve"> </w:t>
      </w:r>
      <w:r w:rsidR="007770B8">
        <w:rPr>
          <w:rFonts w:cs="Times New Roman"/>
          <w:b/>
        </w:rPr>
        <w:t>Information Systems</w:t>
      </w:r>
    </w:p>
    <w:p w:rsidR="007770B8" w:rsidRDefault="007770B8" w:rsidP="00DE4C30">
      <w:pPr>
        <w:pStyle w:val="NoSpacing"/>
        <w:tabs>
          <w:tab w:val="left" w:pos="-1170"/>
        </w:tabs>
        <w:spacing w:line="276" w:lineRule="auto"/>
        <w:ind w:left="360"/>
        <w:rPr>
          <w:rFonts w:cs="Times New Roman"/>
        </w:rPr>
      </w:pPr>
      <w:r>
        <w:rPr>
          <w:rFonts w:cs="Times New Roman"/>
        </w:rPr>
        <w:t xml:space="preserve">The BB/TS shall </w:t>
      </w:r>
      <w:r w:rsidR="00DE4C30">
        <w:rPr>
          <w:rFonts w:cs="Times New Roman"/>
        </w:rPr>
        <w:t xml:space="preserve">evaluate and participate in the selection of suppliers, when possible, before acceptance of an agreement.  </w:t>
      </w:r>
    </w:p>
    <w:p w:rsidR="00F86E8B" w:rsidRDefault="00D6069C" w:rsidP="00984189">
      <w:pPr>
        <w:pStyle w:val="NoSpacing"/>
        <w:numPr>
          <w:ilvl w:val="0"/>
          <w:numId w:val="14"/>
        </w:numPr>
        <w:tabs>
          <w:tab w:val="left" w:pos="-1170"/>
        </w:tabs>
        <w:spacing w:line="276" w:lineRule="auto"/>
        <w:rPr>
          <w:rFonts w:cs="Times New Roman"/>
        </w:rPr>
      </w:pPr>
      <w:r>
        <w:rPr>
          <w:rFonts w:cs="Times New Roman"/>
        </w:rPr>
        <w:t xml:space="preserve">Blood bank policy </w:t>
      </w:r>
      <w:r w:rsidR="00DE4C30">
        <w:rPr>
          <w:rFonts w:cs="Times New Roman"/>
          <w:i/>
        </w:rPr>
        <w:t>Supplier Qualification</w:t>
      </w:r>
      <w:r w:rsidR="00DE4C30">
        <w:rPr>
          <w:rFonts w:cs="Times New Roman"/>
        </w:rPr>
        <w:t xml:space="preserve"> states that the suppliers of critical materials, services, and equipment must be qualified and then reviewed periodically to assure that they continuously meet agreed upon requirements.  </w:t>
      </w:r>
      <w:r w:rsidR="004B3DAB">
        <w:rPr>
          <w:rFonts w:cs="Times New Roman"/>
        </w:rPr>
        <w:t xml:space="preserve">  </w:t>
      </w:r>
    </w:p>
    <w:p w:rsidR="001768C7" w:rsidRPr="00D6069C" w:rsidRDefault="001768C7" w:rsidP="001768C7">
      <w:pPr>
        <w:pStyle w:val="NoSpacing"/>
        <w:tabs>
          <w:tab w:val="left" w:pos="-1170"/>
        </w:tabs>
        <w:spacing w:line="276" w:lineRule="auto"/>
        <w:ind w:left="1080"/>
        <w:rPr>
          <w:rFonts w:cs="Times New Roman"/>
        </w:rPr>
      </w:pPr>
    </w:p>
    <w:p w:rsidR="000F0192" w:rsidRDefault="00400112" w:rsidP="00150913">
      <w:pPr>
        <w:pStyle w:val="NoSpacing"/>
        <w:tabs>
          <w:tab w:val="left" w:pos="-1170"/>
        </w:tabs>
        <w:spacing w:line="276" w:lineRule="auto"/>
        <w:rPr>
          <w:rFonts w:cs="Times New Roman"/>
        </w:rPr>
      </w:pPr>
      <w:r>
        <w:rPr>
          <w:rFonts w:cs="Times New Roman"/>
          <w:b/>
        </w:rPr>
        <w:t>4.1</w:t>
      </w:r>
      <w:r w:rsidR="000F0192">
        <w:rPr>
          <w:rFonts w:cs="Times New Roman"/>
        </w:rPr>
        <w:t xml:space="preserve"> </w:t>
      </w:r>
      <w:r>
        <w:rPr>
          <w:rFonts w:cs="Times New Roman"/>
          <w:b/>
        </w:rPr>
        <w:t xml:space="preserve">Supplier Qualification </w:t>
      </w:r>
      <w:r w:rsidR="000F0192">
        <w:rPr>
          <w:rFonts w:cs="Times New Roman"/>
        </w:rPr>
        <w:t xml:space="preserve">  </w:t>
      </w:r>
    </w:p>
    <w:p w:rsidR="00FC5062" w:rsidRDefault="00400112" w:rsidP="00FC5062">
      <w:pPr>
        <w:pStyle w:val="NoSpacing"/>
        <w:tabs>
          <w:tab w:val="left" w:pos="-1170"/>
        </w:tabs>
        <w:spacing w:line="276" w:lineRule="auto"/>
        <w:ind w:left="360"/>
        <w:rPr>
          <w:rFonts w:cs="Times New Roman"/>
        </w:rPr>
      </w:pPr>
      <w:r>
        <w:rPr>
          <w:rFonts w:cs="Times New Roman"/>
        </w:rPr>
        <w:t xml:space="preserve">The BB/TS shall evaluate and participate in the selection of suppliers, when possible, before acceptance of an agreement.  </w:t>
      </w:r>
    </w:p>
    <w:p w:rsidR="00FF68BF" w:rsidRDefault="002C246E" w:rsidP="00FF68BF">
      <w:pPr>
        <w:pStyle w:val="NoSpacing"/>
        <w:numPr>
          <w:ilvl w:val="0"/>
          <w:numId w:val="14"/>
        </w:numPr>
        <w:tabs>
          <w:tab w:val="left" w:pos="-1170"/>
        </w:tabs>
        <w:spacing w:line="276" w:lineRule="auto"/>
        <w:rPr>
          <w:rFonts w:cs="Times New Roman"/>
        </w:rPr>
      </w:pPr>
      <w:r>
        <w:rPr>
          <w:rFonts w:cs="Times New Roman"/>
        </w:rPr>
        <w:t xml:space="preserve">The </w:t>
      </w:r>
      <w:r>
        <w:rPr>
          <w:rFonts w:cs="Times New Roman"/>
          <w:i/>
        </w:rPr>
        <w:t>Supplier Qualification</w:t>
      </w:r>
      <w:r>
        <w:rPr>
          <w:rFonts w:cs="Times New Roman"/>
        </w:rPr>
        <w:t xml:space="preserve"> policy list parameters on which supplier qualification is based including licensure, certification, and accreditation, supply or product requirements, review of supplier-relevant quality documentation and/or quality summary reports, results of audits or inspections, review of customer complaints, customer satisfaction, review of past experience with supplier, cost, delivery system, financial security, and support.  </w:t>
      </w:r>
    </w:p>
    <w:p w:rsidR="009E218F" w:rsidRDefault="009E218F" w:rsidP="00FF68BF">
      <w:pPr>
        <w:pStyle w:val="NoSpacing"/>
        <w:numPr>
          <w:ilvl w:val="0"/>
          <w:numId w:val="14"/>
        </w:numPr>
        <w:tabs>
          <w:tab w:val="left" w:pos="-1170"/>
        </w:tabs>
        <w:spacing w:line="276" w:lineRule="auto"/>
        <w:rPr>
          <w:rFonts w:cs="Times New Roman"/>
        </w:rPr>
      </w:pPr>
      <w:r>
        <w:rPr>
          <w:rFonts w:cs="Times New Roman"/>
        </w:rPr>
        <w:t xml:space="preserve">WDL may also qualify suppliers, however, the blood bank must validate the acceptability of the materials.  If found unacceptable, documentation must be provided to justify a different vendor.  </w:t>
      </w:r>
    </w:p>
    <w:p w:rsidR="00150913" w:rsidRDefault="00150913" w:rsidP="00FC5062">
      <w:pPr>
        <w:pStyle w:val="NoSpacing"/>
        <w:tabs>
          <w:tab w:val="left" w:pos="-1170"/>
        </w:tabs>
        <w:spacing w:line="276" w:lineRule="auto"/>
        <w:ind w:left="360"/>
        <w:rPr>
          <w:rFonts w:cs="Times New Roman"/>
        </w:rPr>
      </w:pPr>
      <w:r w:rsidRPr="00FF68BF">
        <w:rPr>
          <w:rFonts w:cs="Times New Roman"/>
          <w:b/>
        </w:rPr>
        <w:t>4.1.1</w:t>
      </w:r>
      <w:r>
        <w:rPr>
          <w:rFonts w:cs="Times New Roman"/>
        </w:rPr>
        <w:t xml:space="preserve"> When a supplier fails to meet specified requirements, it shall be reported to the management with contracting authority.  </w:t>
      </w:r>
    </w:p>
    <w:p w:rsidR="009E218F" w:rsidRDefault="009E218F" w:rsidP="009E218F">
      <w:pPr>
        <w:pStyle w:val="NoSpacing"/>
        <w:numPr>
          <w:ilvl w:val="0"/>
          <w:numId w:val="22"/>
        </w:numPr>
        <w:tabs>
          <w:tab w:val="left" w:pos="-1170"/>
        </w:tabs>
        <w:spacing w:line="276" w:lineRule="auto"/>
        <w:rPr>
          <w:rFonts w:cs="Times New Roman"/>
        </w:rPr>
      </w:pPr>
      <w:r>
        <w:rPr>
          <w:rFonts w:cs="Times New Roman"/>
        </w:rPr>
        <w:t xml:space="preserve">Requirement failures are documented by BB Leadership on the Supplier Issues form.  This form is attached to the </w:t>
      </w:r>
      <w:r w:rsidRPr="009E218F">
        <w:rPr>
          <w:rFonts w:cs="Times New Roman"/>
          <w:i/>
        </w:rPr>
        <w:t>Supplier Qualification</w:t>
      </w:r>
      <w:r>
        <w:rPr>
          <w:rFonts w:cs="Times New Roman"/>
        </w:rPr>
        <w:t xml:space="preserve"> policy.  The form includes documentation of the problem and the supplier’s response to the problem, as well as resolution acceptability.  </w:t>
      </w:r>
    </w:p>
    <w:p w:rsidR="00150913" w:rsidRDefault="00150913" w:rsidP="00FC5062">
      <w:pPr>
        <w:pStyle w:val="NoSpacing"/>
        <w:tabs>
          <w:tab w:val="left" w:pos="-1170"/>
        </w:tabs>
        <w:spacing w:line="276" w:lineRule="auto"/>
        <w:ind w:left="360"/>
        <w:rPr>
          <w:rFonts w:cs="Times New Roman"/>
        </w:rPr>
      </w:pPr>
      <w:r w:rsidRPr="00FF68BF">
        <w:rPr>
          <w:rFonts w:cs="Times New Roman"/>
          <w:b/>
        </w:rPr>
        <w:t>4.1.2</w:t>
      </w:r>
      <w:r>
        <w:rPr>
          <w:rFonts w:cs="Times New Roman"/>
        </w:rPr>
        <w:t xml:space="preserve"> Testing or services required by these </w:t>
      </w:r>
      <w:r w:rsidRPr="00FF68BF">
        <w:rPr>
          <w:rFonts w:cs="Times New Roman"/>
          <w:i/>
        </w:rPr>
        <w:t>BB/TS Standards</w:t>
      </w:r>
      <w:r>
        <w:rPr>
          <w:rFonts w:cs="Times New Roman"/>
        </w:rPr>
        <w:t xml:space="preserve"> shall be performed in a laboratory accredited by the AABB or equivalent accrediting body.  </w:t>
      </w:r>
    </w:p>
    <w:p w:rsidR="00150913" w:rsidRDefault="00150913" w:rsidP="00FC5062">
      <w:pPr>
        <w:pStyle w:val="NoSpacing"/>
        <w:tabs>
          <w:tab w:val="left" w:pos="-1170"/>
        </w:tabs>
        <w:spacing w:line="276" w:lineRule="auto"/>
        <w:ind w:left="360"/>
        <w:rPr>
          <w:rFonts w:cs="Times New Roman"/>
        </w:rPr>
      </w:pPr>
      <w:r>
        <w:rPr>
          <w:rFonts w:cs="Times New Roman"/>
        </w:rPr>
        <w:tab/>
      </w:r>
      <w:r w:rsidRPr="009E218F">
        <w:rPr>
          <w:rFonts w:cs="Times New Roman"/>
          <w:b/>
        </w:rPr>
        <w:t>4.1.2.1</w:t>
      </w:r>
      <w:r>
        <w:rPr>
          <w:rFonts w:cs="Times New Roman"/>
        </w:rPr>
        <w:t xml:space="preserve"> Laboratory testing shall be performed in a laboratory certified by the Centers for Medicare and Medicaid</w:t>
      </w:r>
    </w:p>
    <w:p w:rsidR="00150913" w:rsidRDefault="00150913" w:rsidP="00FC5062">
      <w:pPr>
        <w:pStyle w:val="NoSpacing"/>
        <w:tabs>
          <w:tab w:val="left" w:pos="-1170"/>
        </w:tabs>
        <w:spacing w:line="276" w:lineRule="auto"/>
        <w:ind w:left="360"/>
        <w:rPr>
          <w:rFonts w:cs="Times New Roman"/>
        </w:rPr>
      </w:pPr>
      <w:r>
        <w:rPr>
          <w:rFonts w:cs="Times New Roman"/>
        </w:rPr>
        <w:t xml:space="preserve">      Services (CMS) and registered with the FDA, if indicated by 21CFR 610.40(f). </w:t>
      </w:r>
    </w:p>
    <w:p w:rsidR="00150913" w:rsidRDefault="00150913" w:rsidP="00FC5062">
      <w:pPr>
        <w:pStyle w:val="NoSpacing"/>
        <w:tabs>
          <w:tab w:val="left" w:pos="-1170"/>
        </w:tabs>
        <w:spacing w:line="276" w:lineRule="auto"/>
        <w:ind w:left="360"/>
        <w:rPr>
          <w:rFonts w:cs="Times New Roman"/>
        </w:rPr>
      </w:pPr>
      <w:r>
        <w:rPr>
          <w:rFonts w:cs="Times New Roman"/>
        </w:rPr>
        <w:tab/>
      </w:r>
      <w:r w:rsidRPr="009E218F">
        <w:rPr>
          <w:rFonts w:cs="Times New Roman"/>
          <w:b/>
        </w:rPr>
        <w:t>4.1.2.2</w:t>
      </w:r>
      <w:r>
        <w:rPr>
          <w:rFonts w:cs="Times New Roman"/>
        </w:rPr>
        <w:t xml:space="preserve"> Testing performed by facilities outside the United States shall be carried out by a laboratory authorized as</w:t>
      </w:r>
    </w:p>
    <w:p w:rsidR="00150913" w:rsidRDefault="00150913" w:rsidP="00FC5062">
      <w:pPr>
        <w:pStyle w:val="NoSpacing"/>
        <w:tabs>
          <w:tab w:val="left" w:pos="-1170"/>
        </w:tabs>
        <w:spacing w:line="276" w:lineRule="auto"/>
        <w:ind w:left="360"/>
        <w:rPr>
          <w:rFonts w:cs="Times New Roman"/>
        </w:rPr>
      </w:pPr>
      <w:r>
        <w:rPr>
          <w:rFonts w:cs="Times New Roman"/>
        </w:rPr>
        <w:t xml:space="preserve">      </w:t>
      </w:r>
      <w:proofErr w:type="gramStart"/>
      <w:r>
        <w:rPr>
          <w:rFonts w:cs="Times New Roman"/>
        </w:rPr>
        <w:t>a</w:t>
      </w:r>
      <w:proofErr w:type="gramEnd"/>
      <w:r>
        <w:rPr>
          <w:rFonts w:cs="Times New Roman"/>
        </w:rPr>
        <w:t xml:space="preserve"> testing center by the Competent Authority.  </w:t>
      </w:r>
    </w:p>
    <w:p w:rsidR="009E218F" w:rsidRDefault="009E218F" w:rsidP="009E218F">
      <w:pPr>
        <w:pStyle w:val="NoSpacing"/>
        <w:numPr>
          <w:ilvl w:val="0"/>
          <w:numId w:val="22"/>
        </w:numPr>
        <w:tabs>
          <w:tab w:val="left" w:pos="-1170"/>
        </w:tabs>
        <w:spacing w:line="276" w:lineRule="auto"/>
        <w:rPr>
          <w:rFonts w:cs="Times New Roman"/>
        </w:rPr>
      </w:pPr>
      <w:r>
        <w:rPr>
          <w:rFonts w:cs="Times New Roman"/>
        </w:rPr>
        <w:t xml:space="preserve">The </w:t>
      </w:r>
      <w:r w:rsidRPr="002A22C2">
        <w:rPr>
          <w:rFonts w:cs="Times New Roman"/>
        </w:rPr>
        <w:t>Critical Supply Checklist</w:t>
      </w:r>
      <w:r w:rsidR="002A22C2">
        <w:rPr>
          <w:rFonts w:cs="Times New Roman"/>
        </w:rPr>
        <w:t xml:space="preserve"> form</w:t>
      </w:r>
      <w:r>
        <w:rPr>
          <w:rFonts w:cs="Times New Roman"/>
        </w:rPr>
        <w:t xml:space="preserve"> documents the supplier’s licensure, certification, and/ or accreditation. </w:t>
      </w:r>
      <w:r w:rsidR="002A22C2">
        <w:rPr>
          <w:rFonts w:cs="Times New Roman"/>
        </w:rPr>
        <w:t xml:space="preserve">This form can also be found attached to the </w:t>
      </w:r>
      <w:r w:rsidR="002A22C2" w:rsidRPr="002A22C2">
        <w:rPr>
          <w:rFonts w:cs="Times New Roman"/>
          <w:i/>
        </w:rPr>
        <w:t>Supplier Qualification</w:t>
      </w:r>
      <w:r w:rsidR="002A22C2">
        <w:rPr>
          <w:rFonts w:cs="Times New Roman"/>
        </w:rPr>
        <w:t xml:space="preserve"> policy.  </w:t>
      </w:r>
      <w:r>
        <w:rPr>
          <w:rFonts w:cs="Times New Roman"/>
        </w:rPr>
        <w:t xml:space="preserve"> </w:t>
      </w:r>
    </w:p>
    <w:p w:rsidR="00150913" w:rsidRPr="001768C7" w:rsidRDefault="00B74A22" w:rsidP="001768C7">
      <w:pPr>
        <w:pStyle w:val="NoSpacing"/>
        <w:numPr>
          <w:ilvl w:val="0"/>
          <w:numId w:val="22"/>
        </w:numPr>
        <w:tabs>
          <w:tab w:val="left" w:pos="-1170"/>
        </w:tabs>
        <w:spacing w:line="276" w:lineRule="auto"/>
        <w:rPr>
          <w:rFonts w:cs="Times New Roman"/>
        </w:rPr>
      </w:pPr>
      <w:r>
        <w:rPr>
          <w:rFonts w:cs="Times New Roman"/>
        </w:rPr>
        <w:t xml:space="preserve">As stated in the </w:t>
      </w:r>
      <w:r w:rsidRPr="00B74A22">
        <w:rPr>
          <w:rFonts w:cs="Times New Roman"/>
          <w:i/>
        </w:rPr>
        <w:t>Quality Program</w:t>
      </w:r>
      <w:r>
        <w:rPr>
          <w:rFonts w:cs="Times New Roman"/>
        </w:rPr>
        <w:t xml:space="preserve"> policy, </w:t>
      </w:r>
      <w:r w:rsidR="002A22C2">
        <w:rPr>
          <w:rFonts w:cs="Times New Roman"/>
        </w:rPr>
        <w:t xml:space="preserve">Froedtert Hospital maintains a contract with the current blood supplier.  The blood supplier is licensed by the FDA and is accredited by the AABB.  </w:t>
      </w:r>
      <w:r>
        <w:rPr>
          <w:rFonts w:cs="Times New Roman"/>
        </w:rPr>
        <w:t xml:space="preserve">The blood supplier manufactures its products according to current Good Manufacturing Practices.  </w:t>
      </w:r>
    </w:p>
    <w:p w:rsidR="00150913" w:rsidRDefault="00150913" w:rsidP="00150913">
      <w:pPr>
        <w:pStyle w:val="NoSpacing"/>
        <w:tabs>
          <w:tab w:val="left" w:pos="-1170"/>
        </w:tabs>
        <w:spacing w:line="276" w:lineRule="auto"/>
        <w:rPr>
          <w:rFonts w:cs="Times New Roman"/>
        </w:rPr>
      </w:pPr>
    </w:p>
    <w:p w:rsidR="00150913" w:rsidRPr="00844A31" w:rsidRDefault="00150913" w:rsidP="00150913">
      <w:pPr>
        <w:pStyle w:val="NoSpacing"/>
        <w:tabs>
          <w:tab w:val="left" w:pos="-1170"/>
        </w:tabs>
        <w:spacing w:line="276" w:lineRule="auto"/>
        <w:rPr>
          <w:rFonts w:cs="Times New Roman"/>
          <w:b/>
        </w:rPr>
      </w:pPr>
      <w:r w:rsidRPr="00844A31">
        <w:rPr>
          <w:rFonts w:cs="Times New Roman"/>
          <w:b/>
        </w:rPr>
        <w:t xml:space="preserve">4.2 </w:t>
      </w:r>
      <w:r w:rsidR="00844A31" w:rsidRPr="00844A31">
        <w:rPr>
          <w:rFonts w:cs="Times New Roman"/>
          <w:b/>
        </w:rPr>
        <w:t>Agreement Review</w:t>
      </w:r>
      <w:bookmarkStart w:id="0" w:name="_GoBack"/>
      <w:bookmarkEnd w:id="0"/>
    </w:p>
    <w:p w:rsidR="00150913" w:rsidRDefault="00B74A22" w:rsidP="00B74A22">
      <w:pPr>
        <w:pStyle w:val="NoSpacing"/>
        <w:tabs>
          <w:tab w:val="left" w:pos="-1170"/>
        </w:tabs>
        <w:spacing w:line="276" w:lineRule="auto"/>
        <w:rPr>
          <w:rFonts w:cs="Times New Roman"/>
        </w:rPr>
      </w:pPr>
      <w:r>
        <w:rPr>
          <w:rFonts w:cs="Times New Roman"/>
        </w:rPr>
        <w:t xml:space="preserve">      </w:t>
      </w:r>
      <w:r w:rsidR="00150913">
        <w:rPr>
          <w:rFonts w:cs="Times New Roman"/>
        </w:rPr>
        <w:t xml:space="preserve">Agreements, or changes to agreements, shall define supplier and customer expectations and shall reflect agreement. </w:t>
      </w:r>
    </w:p>
    <w:p w:rsidR="00150913" w:rsidRDefault="00150913" w:rsidP="00150913">
      <w:pPr>
        <w:pStyle w:val="NoSpacing"/>
        <w:tabs>
          <w:tab w:val="left" w:pos="-1170"/>
        </w:tabs>
        <w:spacing w:line="276" w:lineRule="auto"/>
        <w:rPr>
          <w:rFonts w:cs="Times New Roman"/>
        </w:rPr>
      </w:pPr>
      <w:r>
        <w:rPr>
          <w:rFonts w:cs="Times New Roman"/>
        </w:rPr>
        <w:tab/>
      </w:r>
      <w:r w:rsidRPr="00FF68BF">
        <w:rPr>
          <w:rFonts w:cs="Times New Roman"/>
          <w:b/>
        </w:rPr>
        <w:t>4.2.1</w:t>
      </w:r>
      <w:r>
        <w:rPr>
          <w:rFonts w:cs="Times New Roman"/>
        </w:rPr>
        <w:t xml:space="preserve"> Agreements and any incorporated changes shall be reviewed and communicated.  </w:t>
      </w:r>
    </w:p>
    <w:p w:rsidR="002A22C2" w:rsidRDefault="00150913" w:rsidP="00150913">
      <w:pPr>
        <w:pStyle w:val="NoSpacing"/>
        <w:tabs>
          <w:tab w:val="left" w:pos="-1170"/>
        </w:tabs>
        <w:spacing w:line="276" w:lineRule="auto"/>
        <w:rPr>
          <w:rFonts w:cs="Times New Roman"/>
        </w:rPr>
      </w:pPr>
      <w:r>
        <w:rPr>
          <w:rFonts w:cs="Times New Roman"/>
        </w:rPr>
        <w:tab/>
      </w:r>
      <w:r w:rsidRPr="00FF68BF">
        <w:rPr>
          <w:rFonts w:cs="Times New Roman"/>
          <w:b/>
        </w:rPr>
        <w:t>4.2.2</w:t>
      </w:r>
      <w:r>
        <w:rPr>
          <w:rFonts w:cs="Times New Roman"/>
        </w:rPr>
        <w:t xml:space="preserve"> The responsibilities for activities covered by these </w:t>
      </w:r>
      <w:r w:rsidRPr="002A22C2">
        <w:rPr>
          <w:rFonts w:cs="Times New Roman"/>
          <w:i/>
        </w:rPr>
        <w:t>BB/TS Standards</w:t>
      </w:r>
      <w:r>
        <w:rPr>
          <w:rFonts w:cs="Times New Roman"/>
        </w:rPr>
        <w:t xml:space="preserve"> when mor</w:t>
      </w:r>
      <w:r w:rsidR="002A22C2">
        <w:rPr>
          <w:rFonts w:cs="Times New Roman"/>
        </w:rPr>
        <w:t>e than one facility is involved</w:t>
      </w:r>
    </w:p>
    <w:p w:rsidR="000D0856" w:rsidRDefault="002A22C2" w:rsidP="00150913">
      <w:pPr>
        <w:pStyle w:val="NoSpacing"/>
        <w:tabs>
          <w:tab w:val="left" w:pos="-1170"/>
        </w:tabs>
        <w:spacing w:line="276" w:lineRule="auto"/>
        <w:rPr>
          <w:rFonts w:cs="Times New Roman"/>
        </w:rPr>
      </w:pPr>
      <w:r>
        <w:rPr>
          <w:rFonts w:cs="Times New Roman"/>
        </w:rPr>
        <w:t xml:space="preserve">             </w:t>
      </w:r>
      <w:proofErr w:type="gramStart"/>
      <w:r w:rsidR="00150913">
        <w:rPr>
          <w:rFonts w:cs="Times New Roman"/>
        </w:rPr>
        <w:t>shall</w:t>
      </w:r>
      <w:proofErr w:type="gramEnd"/>
      <w:r w:rsidR="00150913">
        <w:rPr>
          <w:rFonts w:cs="Times New Roman"/>
        </w:rPr>
        <w:t xml:space="preserve"> be specified by agreement.  </w:t>
      </w:r>
    </w:p>
    <w:p w:rsidR="00150913" w:rsidRPr="000D0856" w:rsidRDefault="000D0856" w:rsidP="000D0856">
      <w:pPr>
        <w:tabs>
          <w:tab w:val="left" w:pos="7860"/>
        </w:tabs>
      </w:pPr>
      <w:r>
        <w:tab/>
      </w:r>
    </w:p>
    <w:p w:rsidR="00894EE6" w:rsidRDefault="00894EE6" w:rsidP="00894EE6">
      <w:pPr>
        <w:pStyle w:val="NoSpacing"/>
        <w:numPr>
          <w:ilvl w:val="0"/>
          <w:numId w:val="24"/>
        </w:numPr>
        <w:tabs>
          <w:tab w:val="left" w:pos="-1170"/>
        </w:tabs>
        <w:spacing w:line="276" w:lineRule="auto"/>
        <w:rPr>
          <w:rFonts w:cs="Times New Roman"/>
        </w:rPr>
      </w:pPr>
      <w:r>
        <w:rPr>
          <w:rFonts w:cs="Times New Roman"/>
        </w:rPr>
        <w:lastRenderedPageBreak/>
        <w:t xml:space="preserve">The </w:t>
      </w:r>
      <w:r w:rsidRPr="009E218F">
        <w:rPr>
          <w:rFonts w:cs="Times New Roman"/>
          <w:i/>
        </w:rPr>
        <w:t>Supplier Qualification</w:t>
      </w:r>
      <w:r>
        <w:rPr>
          <w:rFonts w:cs="Times New Roman"/>
          <w:i/>
        </w:rPr>
        <w:t xml:space="preserve"> </w:t>
      </w:r>
      <w:r w:rsidRPr="00894EE6">
        <w:rPr>
          <w:rFonts w:cs="Times New Roman"/>
        </w:rPr>
        <w:t>policy</w:t>
      </w:r>
      <w:r>
        <w:rPr>
          <w:rFonts w:cs="Times New Roman"/>
        </w:rPr>
        <w:t xml:space="preserve"> states that agreements and contracts are reviewed periodically to ensure satisfaction.  This review may occur on a corporate level, hospital level, or by the blood bank.  This review is documented on the Critical Supply Checklist.  </w:t>
      </w:r>
    </w:p>
    <w:p w:rsidR="00150913" w:rsidRPr="00BE3DDA" w:rsidRDefault="00150913" w:rsidP="00150913">
      <w:pPr>
        <w:pStyle w:val="NoSpacing"/>
        <w:tabs>
          <w:tab w:val="left" w:pos="-1170"/>
        </w:tabs>
        <w:spacing w:line="276" w:lineRule="auto"/>
        <w:rPr>
          <w:rFonts w:cs="Times New Roman"/>
        </w:rPr>
      </w:pPr>
    </w:p>
    <w:p w:rsidR="00023F8E" w:rsidRPr="000526B7" w:rsidRDefault="00023F8E" w:rsidP="000526B7">
      <w:pPr>
        <w:autoSpaceDE w:val="0"/>
        <w:autoSpaceDN w:val="0"/>
        <w:adjustRightInd w:val="0"/>
        <w:spacing w:after="0"/>
        <w:rPr>
          <w:rFonts w:ascii="Times New Roman" w:hAnsi="Times New Roman" w:cs="Times New Roman"/>
          <w:color w:val="7F7F7F" w:themeColor="text1" w:themeTint="80"/>
        </w:rPr>
      </w:pPr>
    </w:p>
    <w:p w:rsidR="00B563BB" w:rsidRDefault="00150913" w:rsidP="00CD5C82">
      <w:pPr>
        <w:tabs>
          <w:tab w:val="left" w:pos="720"/>
        </w:tabs>
        <w:autoSpaceDE w:val="0"/>
        <w:autoSpaceDN w:val="0"/>
        <w:adjustRightInd w:val="0"/>
        <w:spacing w:after="0"/>
        <w:rPr>
          <w:rFonts w:ascii="Times New Roman" w:hAnsi="Times New Roman" w:cs="Times New Roman"/>
          <w:b/>
          <w:bCs/>
        </w:rPr>
      </w:pPr>
      <w:r>
        <w:rPr>
          <w:rFonts w:ascii="Times New Roman" w:hAnsi="Times New Roman" w:cs="Times New Roman"/>
          <w:b/>
          <w:bCs/>
        </w:rPr>
        <w:t>4.</w:t>
      </w:r>
      <w:r w:rsidR="00844A31">
        <w:rPr>
          <w:rFonts w:ascii="Times New Roman" w:hAnsi="Times New Roman" w:cs="Times New Roman"/>
          <w:b/>
          <w:bCs/>
        </w:rPr>
        <w:t>3 Incoming Receipt, Inspection, and Testing</w:t>
      </w:r>
    </w:p>
    <w:p w:rsidR="00844A31" w:rsidRDefault="00844A31" w:rsidP="00CD5C82">
      <w:p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
          <w:bCs/>
        </w:rPr>
        <w:tab/>
      </w:r>
      <w:r w:rsidRPr="00844A31">
        <w:rPr>
          <w:rFonts w:ascii="Times New Roman" w:hAnsi="Times New Roman" w:cs="Times New Roman"/>
          <w:bCs/>
        </w:rPr>
        <w:t>Incoming blood, blood components, tissue, derivatives, and critical materials sh</w:t>
      </w:r>
      <w:r>
        <w:rPr>
          <w:rFonts w:ascii="Times New Roman" w:hAnsi="Times New Roman" w:cs="Times New Roman"/>
          <w:bCs/>
        </w:rPr>
        <w:t>all be received, inspected, and</w:t>
      </w:r>
    </w:p>
    <w:p w:rsidR="00844A31" w:rsidRDefault="00844A31" w:rsidP="00CD5C82">
      <w:p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 xml:space="preserve">             </w:t>
      </w:r>
      <w:proofErr w:type="gramStart"/>
      <w:r w:rsidRPr="00844A31">
        <w:rPr>
          <w:rFonts w:ascii="Times New Roman" w:hAnsi="Times New Roman" w:cs="Times New Roman"/>
          <w:bCs/>
        </w:rPr>
        <w:t>tested</w:t>
      </w:r>
      <w:proofErr w:type="gramEnd"/>
      <w:r w:rsidRPr="00844A31">
        <w:rPr>
          <w:rFonts w:ascii="Times New Roman" w:hAnsi="Times New Roman" w:cs="Times New Roman"/>
          <w:bCs/>
        </w:rPr>
        <w:t xml:space="preserve">, as necessary, before acceptance or use.  </w:t>
      </w:r>
    </w:p>
    <w:p w:rsidR="00852BE4" w:rsidRDefault="00852BE4" w:rsidP="00852BE4">
      <w:pPr>
        <w:pStyle w:val="ListParagraph"/>
        <w:numPr>
          <w:ilvl w:val="0"/>
          <w:numId w:val="23"/>
        </w:num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 xml:space="preserve">All supplies received will be inspected for acceptability.  The </w:t>
      </w:r>
      <w:r w:rsidRPr="00852BE4">
        <w:rPr>
          <w:rFonts w:ascii="Times New Roman" w:hAnsi="Times New Roman" w:cs="Times New Roman"/>
          <w:bCs/>
          <w:i/>
        </w:rPr>
        <w:t>Quality Program</w:t>
      </w:r>
      <w:r>
        <w:rPr>
          <w:rFonts w:ascii="Times New Roman" w:hAnsi="Times New Roman" w:cs="Times New Roman"/>
          <w:bCs/>
        </w:rPr>
        <w:t xml:space="preserve"> policy states that supplies that require lot/shipment comparisons will be sequestered until comparisons can be performed.  Any supplies not meeting the blood bank’s specifications will be removed from use and BB Leadership will be notified.  </w:t>
      </w:r>
    </w:p>
    <w:p w:rsidR="00AD0CDB" w:rsidRDefault="001E1733" w:rsidP="00852BE4">
      <w:pPr>
        <w:pStyle w:val="ListParagraph"/>
        <w:numPr>
          <w:ilvl w:val="0"/>
          <w:numId w:val="23"/>
        </w:num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 xml:space="preserve">The </w:t>
      </w:r>
      <w:r w:rsidRPr="001E1733">
        <w:rPr>
          <w:rFonts w:ascii="Times New Roman" w:hAnsi="Times New Roman" w:cs="Times New Roman"/>
          <w:bCs/>
          <w:i/>
        </w:rPr>
        <w:t>Receipt of Critical Reagents</w:t>
      </w:r>
      <w:r>
        <w:rPr>
          <w:rFonts w:ascii="Times New Roman" w:hAnsi="Times New Roman" w:cs="Times New Roman"/>
          <w:bCs/>
        </w:rPr>
        <w:t xml:space="preserve"> </w:t>
      </w:r>
      <w:r w:rsidRPr="0034150E">
        <w:rPr>
          <w:rFonts w:ascii="Times New Roman" w:hAnsi="Times New Roman" w:cs="Times New Roman"/>
          <w:bCs/>
          <w:i/>
        </w:rPr>
        <w:t>and Supplies</w:t>
      </w:r>
      <w:r>
        <w:rPr>
          <w:rFonts w:ascii="Times New Roman" w:hAnsi="Times New Roman" w:cs="Times New Roman"/>
          <w:bCs/>
        </w:rPr>
        <w:t xml:space="preserve"> policy explains that critical supplies such as reagents will be tested and found acceptable prior to use.  This includes </w:t>
      </w:r>
      <w:r w:rsidR="00AD0CDB">
        <w:rPr>
          <w:rFonts w:ascii="Times New Roman" w:hAnsi="Times New Roman" w:cs="Times New Roman"/>
          <w:bCs/>
        </w:rPr>
        <w:t xml:space="preserve">routine quality control and lot to lot comparisons.  </w:t>
      </w:r>
    </w:p>
    <w:p w:rsidR="001E1733" w:rsidRPr="0006173D" w:rsidRDefault="00AD0CDB" w:rsidP="00852BE4">
      <w:pPr>
        <w:pStyle w:val="ListParagraph"/>
        <w:numPr>
          <w:ilvl w:val="0"/>
          <w:numId w:val="23"/>
        </w:num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 xml:space="preserve">The details of lot to </w:t>
      </w:r>
      <w:r w:rsidRPr="0006173D">
        <w:rPr>
          <w:rFonts w:ascii="Times New Roman" w:hAnsi="Times New Roman" w:cs="Times New Roman"/>
          <w:bCs/>
        </w:rPr>
        <w:t xml:space="preserve">lot comparisons are laid out in the </w:t>
      </w:r>
      <w:r w:rsidR="0006173D" w:rsidRPr="0006173D">
        <w:rPr>
          <w:rFonts w:ascii="Times New Roman" w:hAnsi="Times New Roman" w:cs="Times New Roman"/>
          <w:bCs/>
          <w:i/>
        </w:rPr>
        <w:t>Blood Bank New Lot and Shipment Acceptability</w:t>
      </w:r>
      <w:r w:rsidR="0006173D" w:rsidRPr="0006173D">
        <w:rPr>
          <w:rFonts w:ascii="Times New Roman" w:hAnsi="Times New Roman" w:cs="Times New Roman"/>
          <w:bCs/>
        </w:rPr>
        <w:t xml:space="preserve"> policy.  </w:t>
      </w:r>
      <w:r w:rsidR="0006173D">
        <w:rPr>
          <w:rFonts w:ascii="Times New Roman" w:hAnsi="Times New Roman" w:cs="Times New Roman"/>
          <w:bCs/>
        </w:rPr>
        <w:t xml:space="preserve">The list of reagents requiring lot to lot comparisons is attached to the policy.  This testing ensures that there is consistency in reagent reactivity and that storage conditions during shipping did not affect the reagent’s ability to perform as expected.  </w:t>
      </w:r>
    </w:p>
    <w:p w:rsidR="0006173D" w:rsidRPr="00852BE4" w:rsidRDefault="0006173D" w:rsidP="00852BE4">
      <w:pPr>
        <w:pStyle w:val="ListParagraph"/>
        <w:numPr>
          <w:ilvl w:val="0"/>
          <w:numId w:val="23"/>
        </w:num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 xml:space="preserve">The </w:t>
      </w:r>
      <w:r w:rsidRPr="0006173D">
        <w:rPr>
          <w:rFonts w:ascii="Times New Roman" w:hAnsi="Times New Roman" w:cs="Times New Roman"/>
          <w:bCs/>
          <w:i/>
        </w:rPr>
        <w:t>Blood Product Receipt</w:t>
      </w:r>
      <w:r>
        <w:rPr>
          <w:rFonts w:ascii="Times New Roman" w:hAnsi="Times New Roman" w:cs="Times New Roman"/>
          <w:bCs/>
        </w:rPr>
        <w:t xml:space="preserve"> policy describes the inspection of incoming blood products and how to handle products that fail inspection.  Products that are deemed unacceptable are logged into inventory for tracking purposes and immediately quarantined and subsequently returned to the blood supplier.  </w:t>
      </w:r>
    </w:p>
    <w:p w:rsidR="00844A31" w:rsidRDefault="00844A31" w:rsidP="00CD5C82">
      <w:p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ab/>
      </w:r>
      <w:r w:rsidRPr="00FF68BF">
        <w:rPr>
          <w:rFonts w:ascii="Times New Roman" w:hAnsi="Times New Roman" w:cs="Times New Roman"/>
          <w:b/>
          <w:bCs/>
        </w:rPr>
        <w:t>4.3.1</w:t>
      </w:r>
      <w:r>
        <w:rPr>
          <w:rFonts w:ascii="Times New Roman" w:hAnsi="Times New Roman" w:cs="Times New Roman"/>
          <w:bCs/>
        </w:rPr>
        <w:t xml:space="preserve"> Each container used for collection, preservation, and storage of blood and blood components shall be</w:t>
      </w:r>
    </w:p>
    <w:p w:rsidR="00844A31" w:rsidRDefault="00844A31" w:rsidP="00CD5C82">
      <w:p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ab/>
      </w:r>
      <w:proofErr w:type="gramStart"/>
      <w:r>
        <w:rPr>
          <w:rFonts w:ascii="Times New Roman" w:hAnsi="Times New Roman" w:cs="Times New Roman"/>
          <w:bCs/>
        </w:rPr>
        <w:t>inspected</w:t>
      </w:r>
      <w:proofErr w:type="gramEnd"/>
      <w:r>
        <w:rPr>
          <w:rFonts w:ascii="Times New Roman" w:hAnsi="Times New Roman" w:cs="Times New Roman"/>
          <w:bCs/>
        </w:rPr>
        <w:t xml:space="preserve"> to ensure that it is intact.  The label shall be complete, affixed, and legible.  </w:t>
      </w:r>
    </w:p>
    <w:p w:rsidR="00844A31" w:rsidRDefault="00844A31" w:rsidP="00CD5C82">
      <w:p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ab/>
      </w:r>
      <w:r w:rsidRPr="00FF68BF">
        <w:rPr>
          <w:rFonts w:ascii="Times New Roman" w:hAnsi="Times New Roman" w:cs="Times New Roman"/>
          <w:b/>
          <w:bCs/>
        </w:rPr>
        <w:t>4.3.2</w:t>
      </w:r>
      <w:r>
        <w:rPr>
          <w:rFonts w:ascii="Times New Roman" w:hAnsi="Times New Roman" w:cs="Times New Roman"/>
          <w:bCs/>
        </w:rPr>
        <w:t xml:space="preserve"> Critical materials shall meet specified requirements.  </w:t>
      </w:r>
    </w:p>
    <w:p w:rsidR="001E1733" w:rsidRPr="001E1733" w:rsidRDefault="001E1733" w:rsidP="001E1733">
      <w:pPr>
        <w:pStyle w:val="ListParagraph"/>
        <w:numPr>
          <w:ilvl w:val="0"/>
          <w:numId w:val="23"/>
        </w:num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 xml:space="preserve">The </w:t>
      </w:r>
      <w:r w:rsidRPr="001E1733">
        <w:rPr>
          <w:rFonts w:ascii="Times New Roman" w:hAnsi="Times New Roman" w:cs="Times New Roman"/>
          <w:bCs/>
          <w:i/>
        </w:rPr>
        <w:t>Receipt of Critical Reagents</w:t>
      </w:r>
      <w:r>
        <w:rPr>
          <w:rFonts w:ascii="Times New Roman" w:hAnsi="Times New Roman" w:cs="Times New Roman"/>
          <w:bCs/>
        </w:rPr>
        <w:t xml:space="preserve"> </w:t>
      </w:r>
      <w:r w:rsidRPr="0034150E">
        <w:rPr>
          <w:rFonts w:ascii="Times New Roman" w:hAnsi="Times New Roman" w:cs="Times New Roman"/>
          <w:bCs/>
          <w:i/>
        </w:rPr>
        <w:t>and Supplies</w:t>
      </w:r>
      <w:r>
        <w:rPr>
          <w:rFonts w:ascii="Times New Roman" w:hAnsi="Times New Roman" w:cs="Times New Roman"/>
          <w:bCs/>
        </w:rPr>
        <w:t xml:space="preserve"> policy explains that critical supplies are examined for acceptability upon receipt.  This is documented on the Supplier Quality Control Log.  </w:t>
      </w:r>
    </w:p>
    <w:p w:rsidR="00844A31" w:rsidRDefault="00844A31" w:rsidP="00CD5C82">
      <w:p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ab/>
      </w:r>
      <w:r w:rsidRPr="00FF68BF">
        <w:rPr>
          <w:rFonts w:ascii="Times New Roman" w:hAnsi="Times New Roman" w:cs="Times New Roman"/>
          <w:b/>
          <w:bCs/>
        </w:rPr>
        <w:t>4.3.2.1</w:t>
      </w:r>
      <w:r>
        <w:rPr>
          <w:rFonts w:ascii="Times New Roman" w:hAnsi="Times New Roman" w:cs="Times New Roman"/>
          <w:bCs/>
        </w:rPr>
        <w:t xml:space="preserve"> All containers and solutions used for collection, processing, preservation, and storage and all reagents used</w:t>
      </w:r>
    </w:p>
    <w:p w:rsidR="00844A31" w:rsidRDefault="00844A31" w:rsidP="00CD5C82">
      <w:p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ab/>
      </w:r>
      <w:proofErr w:type="gramStart"/>
      <w:r>
        <w:rPr>
          <w:rFonts w:ascii="Times New Roman" w:hAnsi="Times New Roman" w:cs="Times New Roman"/>
          <w:bCs/>
        </w:rPr>
        <w:t>for</w:t>
      </w:r>
      <w:proofErr w:type="gramEnd"/>
      <w:r>
        <w:rPr>
          <w:rFonts w:ascii="Times New Roman" w:hAnsi="Times New Roman" w:cs="Times New Roman"/>
          <w:bCs/>
        </w:rPr>
        <w:t xml:space="preserve"> required tests on blood samples shall meet or exceed applicable FDA or Competent Authority criteria.*</w:t>
      </w:r>
    </w:p>
    <w:p w:rsidR="00844A31" w:rsidRDefault="00844A31" w:rsidP="00CD5C82">
      <w:pPr>
        <w:tabs>
          <w:tab w:val="left" w:pos="720"/>
        </w:tabs>
        <w:autoSpaceDE w:val="0"/>
        <w:autoSpaceDN w:val="0"/>
        <w:adjustRightInd w:val="0"/>
        <w:spacing w:after="0"/>
        <w:rPr>
          <w:rFonts w:ascii="Times New Roman" w:hAnsi="Times New Roman" w:cs="Times New Roman"/>
          <w:bCs/>
        </w:rPr>
      </w:pPr>
      <w:r>
        <w:rPr>
          <w:rFonts w:ascii="Times New Roman" w:hAnsi="Times New Roman" w:cs="Times New Roman"/>
          <w:bCs/>
        </w:rPr>
        <w:tab/>
        <w:t>*21CFR660, 606.65, 640.2(b), and 640.4(d)</w:t>
      </w:r>
    </w:p>
    <w:p w:rsidR="0034150E" w:rsidRDefault="0034150E" w:rsidP="0034150E">
      <w:pPr>
        <w:pStyle w:val="ListParagraph"/>
        <w:numPr>
          <w:ilvl w:val="0"/>
          <w:numId w:val="23"/>
        </w:numPr>
        <w:tabs>
          <w:tab w:val="left" w:pos="720"/>
        </w:tabs>
        <w:autoSpaceDE w:val="0"/>
        <w:autoSpaceDN w:val="0"/>
        <w:adjustRightInd w:val="0"/>
        <w:spacing w:after="0"/>
        <w:rPr>
          <w:rFonts w:ascii="Times New Roman" w:hAnsi="Times New Roman" w:cs="Times New Roman"/>
        </w:rPr>
      </w:pPr>
      <w:r>
        <w:rPr>
          <w:rFonts w:ascii="Times New Roman" w:hAnsi="Times New Roman" w:cs="Times New Roman"/>
        </w:rPr>
        <w:t xml:space="preserve">21CFR660 </w:t>
      </w:r>
      <w:r w:rsidR="00F977A0">
        <w:rPr>
          <w:rFonts w:ascii="Times New Roman" w:hAnsi="Times New Roman" w:cs="Times New Roman"/>
        </w:rPr>
        <w:t xml:space="preserve">explains all the specifics of reagent labeling and potency required.  </w:t>
      </w:r>
    </w:p>
    <w:p w:rsidR="001C03EE" w:rsidRDefault="001C03EE" w:rsidP="001C03EE">
      <w:pPr>
        <w:pStyle w:val="ListParagraph"/>
        <w:numPr>
          <w:ilvl w:val="0"/>
          <w:numId w:val="23"/>
        </w:numPr>
        <w:tabs>
          <w:tab w:val="left" w:pos="720"/>
        </w:tabs>
        <w:autoSpaceDE w:val="0"/>
        <w:autoSpaceDN w:val="0"/>
        <w:adjustRightInd w:val="0"/>
        <w:spacing w:after="0"/>
        <w:rPr>
          <w:rFonts w:ascii="Times New Roman" w:hAnsi="Times New Roman" w:cs="Times New Roman"/>
        </w:rPr>
      </w:pPr>
      <w:r>
        <w:rPr>
          <w:rFonts w:ascii="Times New Roman" w:hAnsi="Times New Roman" w:cs="Times New Roman"/>
        </w:rPr>
        <w:t>21CFR 606.65 and 21CFR 640.2(b) describe</w:t>
      </w:r>
      <w:r w:rsidRPr="001C03EE">
        <w:rPr>
          <w:rFonts w:ascii="Times New Roman" w:hAnsi="Times New Roman" w:cs="Times New Roman"/>
        </w:rPr>
        <w:t xml:space="preserve"> blood collecting container requirements and reagent QC frequency requirements.  </w:t>
      </w:r>
    </w:p>
    <w:p w:rsidR="001C03EE" w:rsidRPr="001C03EE" w:rsidRDefault="001C03EE" w:rsidP="001C03EE">
      <w:pPr>
        <w:pStyle w:val="ListParagraph"/>
        <w:numPr>
          <w:ilvl w:val="0"/>
          <w:numId w:val="23"/>
        </w:numPr>
        <w:tabs>
          <w:tab w:val="left" w:pos="720"/>
        </w:tabs>
        <w:autoSpaceDE w:val="0"/>
        <w:autoSpaceDN w:val="0"/>
        <w:adjustRightInd w:val="0"/>
        <w:spacing w:after="0"/>
        <w:rPr>
          <w:rFonts w:ascii="Times New Roman" w:hAnsi="Times New Roman" w:cs="Times New Roman"/>
        </w:rPr>
      </w:pPr>
      <w:r>
        <w:rPr>
          <w:rFonts w:ascii="Times New Roman" w:hAnsi="Times New Roman" w:cs="Times New Roman"/>
        </w:rPr>
        <w:t xml:space="preserve">21CFR </w:t>
      </w:r>
      <w:r>
        <w:rPr>
          <w:rFonts w:ascii="Times New Roman" w:hAnsi="Times New Roman" w:cs="Times New Roman"/>
          <w:bCs/>
        </w:rPr>
        <w:t xml:space="preserve">640.4(d) states that the blood storage anticoagulant solution shall be sterile and </w:t>
      </w:r>
      <w:proofErr w:type="spellStart"/>
      <w:r>
        <w:rPr>
          <w:rFonts w:ascii="Times New Roman" w:hAnsi="Times New Roman" w:cs="Times New Roman"/>
          <w:bCs/>
        </w:rPr>
        <w:t>pyrogen</w:t>
      </w:r>
      <w:proofErr w:type="spellEnd"/>
      <w:r>
        <w:rPr>
          <w:rFonts w:ascii="Times New Roman" w:hAnsi="Times New Roman" w:cs="Times New Roman"/>
          <w:bCs/>
        </w:rPr>
        <w:t xml:space="preserve">-free and used according to a formula approved by the Director of CBER.  </w:t>
      </w:r>
    </w:p>
    <w:p w:rsidR="0083597B" w:rsidRDefault="0083597B" w:rsidP="00C17228">
      <w:pPr>
        <w:autoSpaceDE w:val="0"/>
        <w:autoSpaceDN w:val="0"/>
        <w:adjustRightInd w:val="0"/>
        <w:spacing w:after="0"/>
        <w:ind w:left="720"/>
        <w:rPr>
          <w:rFonts w:ascii="Times New Roman" w:hAnsi="Times New Roman" w:cs="Times New Roman"/>
          <w:color w:val="BFBFBF" w:themeColor="background1" w:themeShade="BF"/>
        </w:rPr>
      </w:pPr>
    </w:p>
    <w:p w:rsidR="001768C7" w:rsidRPr="00172D9A" w:rsidRDefault="001768C7" w:rsidP="00C17228">
      <w:pPr>
        <w:autoSpaceDE w:val="0"/>
        <w:autoSpaceDN w:val="0"/>
        <w:adjustRightInd w:val="0"/>
        <w:spacing w:after="0"/>
        <w:ind w:left="720"/>
        <w:rPr>
          <w:rFonts w:ascii="Times New Roman" w:hAnsi="Times New Roman" w:cs="Times New Roman"/>
          <w:color w:val="BFBFBF" w:themeColor="background1" w:themeShade="BF"/>
        </w:rPr>
      </w:pPr>
    </w:p>
    <w:p w:rsidR="00023F8E" w:rsidRPr="00172D9A" w:rsidRDefault="00023F8E" w:rsidP="00023F8E">
      <w:pPr>
        <w:pStyle w:val="NoSpacing"/>
        <w:tabs>
          <w:tab w:val="left" w:pos="540"/>
        </w:tabs>
        <w:spacing w:line="276" w:lineRule="auto"/>
        <w:rPr>
          <w:rFonts w:cs="Times New Roman"/>
        </w:rPr>
      </w:pPr>
      <w:r w:rsidRPr="00172D9A">
        <w:rPr>
          <w:rFonts w:cs="Times New Roman"/>
        </w:rPr>
        <w:t>The goal of the AABB Standards Chat is to increase staff awareness as to their purpose and how they impact the Blood Bank’s policies and procedures.  If you have a question about AABB standards, please see a member of BB Leadership.</w:t>
      </w:r>
    </w:p>
    <w:p w:rsidR="00381295" w:rsidRDefault="00023F8E" w:rsidP="00023F8E">
      <w:pPr>
        <w:tabs>
          <w:tab w:val="left" w:pos="8535"/>
        </w:tabs>
        <w:rPr>
          <w:rFonts w:ascii="Times New Roman" w:hAnsi="Times New Roman" w:cs="Times New Roman"/>
        </w:rPr>
      </w:pPr>
      <w:r w:rsidRPr="00172D9A">
        <w:rPr>
          <w:rFonts w:ascii="Times New Roman" w:hAnsi="Times New Roman" w:cs="Times New Roman"/>
        </w:rPr>
        <w:tab/>
      </w:r>
    </w:p>
    <w:p w:rsidR="00381295" w:rsidRPr="00381295" w:rsidRDefault="00381295" w:rsidP="00381295">
      <w:pPr>
        <w:rPr>
          <w:rFonts w:ascii="Times New Roman" w:hAnsi="Times New Roman" w:cs="Times New Roman"/>
        </w:rPr>
      </w:pPr>
    </w:p>
    <w:p w:rsidR="00023F8E" w:rsidRPr="00381295" w:rsidRDefault="00023F8E" w:rsidP="00381295">
      <w:pPr>
        <w:tabs>
          <w:tab w:val="left" w:pos="2595"/>
        </w:tabs>
        <w:rPr>
          <w:rFonts w:ascii="Times New Roman" w:hAnsi="Times New Roman" w:cs="Times New Roman"/>
        </w:rPr>
      </w:pPr>
    </w:p>
    <w:sectPr w:rsidR="00023F8E" w:rsidRPr="00381295" w:rsidSect="00AC18B8">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CE" w:rsidRDefault="00CA71CE" w:rsidP="00CA71CE">
      <w:pPr>
        <w:spacing w:after="0" w:line="240" w:lineRule="auto"/>
      </w:pPr>
      <w:r>
        <w:separator/>
      </w:r>
    </w:p>
  </w:endnote>
  <w:endnote w:type="continuationSeparator" w:id="0">
    <w:p w:rsidR="00CA71CE" w:rsidRDefault="00CA71CE" w:rsidP="00CA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445167"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445167" w:rsidP="00013092">
    <w:pPr>
      <w:pStyle w:val="Footer"/>
      <w:rPr>
        <w:rFonts w:ascii="Times New Roman" w:hAnsi="Times New Roman" w:cs="Times New Roman"/>
        <w:sz w:val="16"/>
        <w:szCs w:val="16"/>
      </w:rPr>
    </w:pPr>
    <w:r>
      <w:rPr>
        <w:rFonts w:ascii="Times New Roman" w:hAnsi="Times New Roman" w:cs="Times New Roman"/>
        <w:sz w:val="16"/>
        <w:szCs w:val="16"/>
      </w:rPr>
      <w:t>I</w:t>
    </w:r>
    <w:r w:rsidRPr="00013092">
      <w:rPr>
        <w:rFonts w:ascii="Times New Roman" w:hAnsi="Times New Roman" w:cs="Times New Roman"/>
        <w:sz w:val="16"/>
        <w:szCs w:val="16"/>
      </w:rPr>
      <w:t>:\</w:t>
    </w:r>
    <w:r>
      <w:rPr>
        <w:rFonts w:ascii="Times New Roman" w:hAnsi="Times New Roman" w:cs="Times New Roman"/>
        <w:sz w:val="16"/>
        <w:szCs w:val="16"/>
      </w:rPr>
      <w:t xml:space="preserve">AABB Standards\AABB Standards </w:t>
    </w:r>
    <w:r w:rsidR="00ED03AA">
      <w:rPr>
        <w:rFonts w:ascii="Times New Roman" w:hAnsi="Times New Roman" w:cs="Times New Roman"/>
        <w:sz w:val="16"/>
        <w:szCs w:val="16"/>
      </w:rPr>
      <w:t>1</w:t>
    </w:r>
    <w:r w:rsidR="00381295">
      <w:rPr>
        <w:rFonts w:ascii="Times New Roman" w:hAnsi="Times New Roman" w:cs="Times New Roman"/>
        <w:sz w:val="16"/>
        <w:szCs w:val="16"/>
      </w:rPr>
      <w:t>2</w:t>
    </w:r>
    <w:r>
      <w:rPr>
        <w:rFonts w:ascii="Times New Roman" w:hAnsi="Times New Roman" w:cs="Times New Roman"/>
        <w:sz w:val="16"/>
        <w:szCs w:val="16"/>
      </w:rPr>
      <w:tab/>
    </w:r>
    <w:r w:rsidRPr="00013092">
      <w:rPr>
        <w:rFonts w:ascii="Times New Roman" w:hAnsi="Times New Roman" w:cs="Times New Roman"/>
        <w:sz w:val="16"/>
        <w:szCs w:val="16"/>
      </w:rPr>
      <w:t xml:space="preserve">        </w:t>
    </w:r>
    <w:r>
      <w:rPr>
        <w:rFonts w:ascii="Times New Roman" w:hAnsi="Times New Roman" w:cs="Times New Roman"/>
        <w:sz w:val="16"/>
        <w:szCs w:val="16"/>
      </w:rPr>
      <w:tab/>
      <w:t xml:space="preserve">    CREATED: </w:t>
    </w:r>
    <w:r w:rsidR="000D0856">
      <w:rPr>
        <w:rFonts w:ascii="Times New Roman" w:hAnsi="Times New Roman" w:cs="Times New Roman"/>
        <w:sz w:val="16"/>
        <w:szCs w:val="16"/>
      </w:rPr>
      <w:t>04/2</w:t>
    </w:r>
    <w:r w:rsidR="00C70758">
      <w:rPr>
        <w:rFonts w:ascii="Times New Roman" w:hAnsi="Times New Roman" w:cs="Times New Roman"/>
        <w:sz w:val="16"/>
        <w:szCs w:val="16"/>
      </w:rPr>
      <w:t>1</w:t>
    </w:r>
    <w:r w:rsidR="00B563BB">
      <w:rPr>
        <w:rFonts w:ascii="Times New Roman" w:hAnsi="Times New Roman" w:cs="Times New Roman"/>
        <w:sz w:val="16"/>
        <w:szCs w:val="16"/>
      </w:rPr>
      <w:t>/2021</w:t>
    </w:r>
    <w:r>
      <w:rPr>
        <w:rFonts w:ascii="Times New Roman" w:hAnsi="Times New Roman" w:cs="Times New Roman"/>
        <w:sz w:val="16"/>
        <w:szCs w:val="16"/>
      </w:rPr>
      <w:t xml:space="preserve"> CS</w:t>
    </w:r>
    <w:r w:rsidR="00B563BB">
      <w:rPr>
        <w:rFonts w:ascii="Times New Roman" w:hAnsi="Times New Roman" w:cs="Times New Roman"/>
        <w:sz w:val="16"/>
        <w:szCs w:val="16"/>
      </w:rPr>
      <w:t xml:space="preserve">     </w:t>
    </w:r>
    <w:r w:rsidR="00A9687C">
      <w:rPr>
        <w:rFonts w:ascii="Times New Roman" w:hAnsi="Times New Roman" w:cs="Times New Roman"/>
        <w:sz w:val="16"/>
        <w:szCs w:val="16"/>
      </w:rPr>
      <w:t xml:space="preserve"> Effective: </w:t>
    </w:r>
    <w:r w:rsidR="00C70758">
      <w:rPr>
        <w:rFonts w:ascii="Times New Roman" w:hAnsi="Times New Roman" w:cs="Times New Roman"/>
        <w:sz w:val="16"/>
        <w:szCs w:val="16"/>
      </w:rPr>
      <w:t>4/22/2021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CE" w:rsidRDefault="00CA71CE" w:rsidP="00CA71CE">
      <w:pPr>
        <w:spacing w:after="0" w:line="240" w:lineRule="auto"/>
      </w:pPr>
      <w:r>
        <w:separator/>
      </w:r>
    </w:p>
  </w:footnote>
  <w:footnote w:type="continuationSeparator" w:id="0">
    <w:p w:rsidR="00CA71CE" w:rsidRDefault="00CA71CE" w:rsidP="00CA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445167"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445167"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w:t>
    </w:r>
    <w:r>
      <w:rPr>
        <w:rFonts w:ascii="Times New Roman" w:hAnsi="Times New Roman" w:cs="Times New Roman"/>
        <w:sz w:val="20"/>
      </w:rPr>
      <w:t>U</w:t>
    </w:r>
    <w:r w:rsidRPr="00D232AB">
      <w:rPr>
        <w:rFonts w:ascii="Times New Roman" w:hAnsi="Times New Roman" w:cs="Times New Roman"/>
        <w:sz w:val="20"/>
      </w:rPr>
      <w:t>ING EDUCATION MATERIAL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86"/>
      </v:shape>
    </w:pict>
  </w:numPicBullet>
  <w:abstractNum w:abstractNumId="0" w15:restartNumberingAfterBreak="0">
    <w:nsid w:val="002E0B31"/>
    <w:multiLevelType w:val="hybridMultilevel"/>
    <w:tmpl w:val="94805888"/>
    <w:lvl w:ilvl="0" w:tplc="04090001">
      <w:start w:val="1"/>
      <w:numFmt w:val="bullet"/>
      <w:lvlText w:val=""/>
      <w:lvlJc w:val="left"/>
      <w:pPr>
        <w:ind w:left="540" w:hanging="360"/>
      </w:pPr>
      <w:rPr>
        <w:rFonts w:ascii="Symbol" w:hAnsi="Symbol" w:hint="default"/>
        <w:color w:val="auto"/>
      </w:rPr>
    </w:lvl>
    <w:lvl w:ilvl="1" w:tplc="04090007">
      <w:start w:val="1"/>
      <w:numFmt w:val="bullet"/>
      <w:lvlText w:val=""/>
      <w:lvlPicBulletId w:val="0"/>
      <w:lvlJc w:val="left"/>
      <w:pPr>
        <w:ind w:left="450" w:hanging="360"/>
      </w:pPr>
      <w:rPr>
        <w:rFonts w:ascii="Symbol" w:hAnsi="Symbol" w:hint="default"/>
      </w:rPr>
    </w:lvl>
    <w:lvl w:ilvl="2" w:tplc="0409000B">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3510A4"/>
    <w:multiLevelType w:val="hybridMultilevel"/>
    <w:tmpl w:val="76AE8AFE"/>
    <w:lvl w:ilvl="0" w:tplc="04090007">
      <w:start w:val="1"/>
      <w:numFmt w:val="bullet"/>
      <w:lvlText w:val=""/>
      <w:lvlPicBulletId w:val="0"/>
      <w:lvlJc w:val="left"/>
      <w:pPr>
        <w:ind w:left="540" w:hanging="360"/>
      </w:pPr>
      <w:rPr>
        <w:rFonts w:ascii="Symbol" w:hAnsi="Symbol" w:hint="default"/>
      </w:rPr>
    </w:lvl>
    <w:lvl w:ilvl="1" w:tplc="0409000B">
      <w:start w:val="1"/>
      <w:numFmt w:val="bullet"/>
      <w:lvlText w:val=""/>
      <w:lvlJc w:val="left"/>
      <w:pPr>
        <w:ind w:left="126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526F53"/>
    <w:multiLevelType w:val="multilevel"/>
    <w:tmpl w:val="1C10DDC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915BDF"/>
    <w:multiLevelType w:val="hybridMultilevel"/>
    <w:tmpl w:val="9FFABE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9519E"/>
    <w:multiLevelType w:val="hybridMultilevel"/>
    <w:tmpl w:val="20722100"/>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71BEB"/>
    <w:multiLevelType w:val="hybridMultilevel"/>
    <w:tmpl w:val="49D4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318FD"/>
    <w:multiLevelType w:val="hybridMultilevel"/>
    <w:tmpl w:val="72662948"/>
    <w:lvl w:ilvl="0" w:tplc="04090007">
      <w:start w:val="1"/>
      <w:numFmt w:val="bullet"/>
      <w:lvlText w:val=""/>
      <w:lvlPicBulletId w:val="0"/>
      <w:lvlJc w:val="left"/>
      <w:pPr>
        <w:ind w:left="990" w:hanging="360"/>
      </w:pPr>
      <w:rPr>
        <w:rFonts w:ascii="Symbol" w:hAnsi="Symbol" w:hint="default"/>
      </w:rPr>
    </w:lvl>
    <w:lvl w:ilvl="1" w:tplc="04090007">
      <w:start w:val="1"/>
      <w:numFmt w:val="bullet"/>
      <w:lvlText w:val=""/>
      <w:lvlPicBulletId w:val="0"/>
      <w:lvlJc w:val="left"/>
      <w:pPr>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4383F68"/>
    <w:multiLevelType w:val="hybridMultilevel"/>
    <w:tmpl w:val="5B740020"/>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C0A3285"/>
    <w:multiLevelType w:val="hybridMultilevel"/>
    <w:tmpl w:val="C46E37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D7BF2"/>
    <w:multiLevelType w:val="hybridMultilevel"/>
    <w:tmpl w:val="E526A282"/>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F83524"/>
    <w:multiLevelType w:val="hybridMultilevel"/>
    <w:tmpl w:val="6AE423E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E1563"/>
    <w:multiLevelType w:val="hybridMultilevel"/>
    <w:tmpl w:val="3100167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4B2307"/>
    <w:multiLevelType w:val="hybridMultilevel"/>
    <w:tmpl w:val="DBD64AB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E01738"/>
    <w:multiLevelType w:val="hybridMultilevel"/>
    <w:tmpl w:val="102259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A15C4"/>
    <w:multiLevelType w:val="hybridMultilevel"/>
    <w:tmpl w:val="902A426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DD79C4"/>
    <w:multiLevelType w:val="multilevel"/>
    <w:tmpl w:val="2E9684CA"/>
    <w:lvl w:ilvl="0">
      <w:start w:val="1"/>
      <w:numFmt w:val="bullet"/>
      <w:lvlText w:val=""/>
      <w:lvlPicBulletId w:val="0"/>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B646F52"/>
    <w:multiLevelType w:val="multilevel"/>
    <w:tmpl w:val="B9D82DB6"/>
    <w:lvl w:ilvl="0">
      <w:start w:val="1"/>
      <w:numFmt w:val="bullet"/>
      <w:lvlText w:val=""/>
      <w:lvlPicBulletId w:val="0"/>
      <w:lvlJc w:val="left"/>
      <w:pPr>
        <w:ind w:left="720" w:hanging="360"/>
      </w:pPr>
      <w:rPr>
        <w:rFonts w:ascii="Symbol" w:hAnsi="Symbol" w:hint="default"/>
      </w:rPr>
    </w:lvl>
    <w:lvl w:ilvl="1">
      <w:start w:val="6"/>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7" w15:restartNumberingAfterBreak="0">
    <w:nsid w:val="4EB95239"/>
    <w:multiLevelType w:val="hybridMultilevel"/>
    <w:tmpl w:val="34C6E9E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C61794"/>
    <w:multiLevelType w:val="hybridMultilevel"/>
    <w:tmpl w:val="7E76FA9C"/>
    <w:lvl w:ilvl="0" w:tplc="04090007">
      <w:start w:val="1"/>
      <w:numFmt w:val="bullet"/>
      <w:lvlText w:val=""/>
      <w:lvlPicBulletId w:val="0"/>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0D47EF"/>
    <w:multiLevelType w:val="multilevel"/>
    <w:tmpl w:val="CFA68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215558"/>
    <w:multiLevelType w:val="hybridMultilevel"/>
    <w:tmpl w:val="A126A7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E1805"/>
    <w:multiLevelType w:val="hybridMultilevel"/>
    <w:tmpl w:val="7D1C1B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C52AE"/>
    <w:multiLevelType w:val="hybridMultilevel"/>
    <w:tmpl w:val="514E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0672C"/>
    <w:multiLevelType w:val="hybridMultilevel"/>
    <w:tmpl w:val="C6960A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5"/>
  </w:num>
  <w:num w:numId="4">
    <w:abstractNumId w:val="6"/>
  </w:num>
  <w:num w:numId="5">
    <w:abstractNumId w:val="1"/>
  </w:num>
  <w:num w:numId="6">
    <w:abstractNumId w:val="13"/>
  </w:num>
  <w:num w:numId="7">
    <w:abstractNumId w:val="16"/>
  </w:num>
  <w:num w:numId="8">
    <w:abstractNumId w:val="9"/>
  </w:num>
  <w:num w:numId="9">
    <w:abstractNumId w:val="14"/>
  </w:num>
  <w:num w:numId="10">
    <w:abstractNumId w:val="20"/>
  </w:num>
  <w:num w:numId="11">
    <w:abstractNumId w:val="4"/>
  </w:num>
  <w:num w:numId="12">
    <w:abstractNumId w:val="8"/>
  </w:num>
  <w:num w:numId="13">
    <w:abstractNumId w:val="19"/>
  </w:num>
  <w:num w:numId="14">
    <w:abstractNumId w:val="18"/>
  </w:num>
  <w:num w:numId="15">
    <w:abstractNumId w:val="2"/>
  </w:num>
  <w:num w:numId="16">
    <w:abstractNumId w:val="5"/>
  </w:num>
  <w:num w:numId="17">
    <w:abstractNumId w:val="22"/>
  </w:num>
  <w:num w:numId="18">
    <w:abstractNumId w:val="21"/>
  </w:num>
  <w:num w:numId="19">
    <w:abstractNumId w:val="7"/>
  </w:num>
  <w:num w:numId="20">
    <w:abstractNumId w:val="23"/>
  </w:num>
  <w:num w:numId="21">
    <w:abstractNumId w:val="3"/>
  </w:num>
  <w:num w:numId="22">
    <w:abstractNumId w:val="12"/>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8E"/>
    <w:rsid w:val="00023F8E"/>
    <w:rsid w:val="000526B7"/>
    <w:rsid w:val="00055942"/>
    <w:rsid w:val="0006173D"/>
    <w:rsid w:val="00073700"/>
    <w:rsid w:val="00090C7E"/>
    <w:rsid w:val="000D0856"/>
    <w:rsid w:val="000F0192"/>
    <w:rsid w:val="000F0B9D"/>
    <w:rsid w:val="00150913"/>
    <w:rsid w:val="00172D9A"/>
    <w:rsid w:val="001768C7"/>
    <w:rsid w:val="001C03EE"/>
    <w:rsid w:val="001E1733"/>
    <w:rsid w:val="00214C5C"/>
    <w:rsid w:val="002A22C2"/>
    <w:rsid w:val="002C246E"/>
    <w:rsid w:val="002D1911"/>
    <w:rsid w:val="002E23A4"/>
    <w:rsid w:val="003020C9"/>
    <w:rsid w:val="00302AB1"/>
    <w:rsid w:val="00340751"/>
    <w:rsid w:val="0034150E"/>
    <w:rsid w:val="0035314D"/>
    <w:rsid w:val="003562AD"/>
    <w:rsid w:val="00381295"/>
    <w:rsid w:val="003C1F15"/>
    <w:rsid w:val="00400112"/>
    <w:rsid w:val="00445167"/>
    <w:rsid w:val="00463299"/>
    <w:rsid w:val="004B3DAB"/>
    <w:rsid w:val="004C4C36"/>
    <w:rsid w:val="004F795E"/>
    <w:rsid w:val="00516A58"/>
    <w:rsid w:val="005D08E5"/>
    <w:rsid w:val="005F0ECF"/>
    <w:rsid w:val="00610505"/>
    <w:rsid w:val="00744560"/>
    <w:rsid w:val="007770B8"/>
    <w:rsid w:val="007830F0"/>
    <w:rsid w:val="007A78DE"/>
    <w:rsid w:val="007C09F6"/>
    <w:rsid w:val="0083597B"/>
    <w:rsid w:val="00844A31"/>
    <w:rsid w:val="00852BE4"/>
    <w:rsid w:val="00894EE6"/>
    <w:rsid w:val="008D74FC"/>
    <w:rsid w:val="008F7B88"/>
    <w:rsid w:val="00905BF1"/>
    <w:rsid w:val="00916260"/>
    <w:rsid w:val="009C46ED"/>
    <w:rsid w:val="009E218F"/>
    <w:rsid w:val="00A9687C"/>
    <w:rsid w:val="00AB5594"/>
    <w:rsid w:val="00AD0CDB"/>
    <w:rsid w:val="00B113B1"/>
    <w:rsid w:val="00B563BB"/>
    <w:rsid w:val="00B6001D"/>
    <w:rsid w:val="00B74A22"/>
    <w:rsid w:val="00BE1362"/>
    <w:rsid w:val="00BE3DDA"/>
    <w:rsid w:val="00C022F1"/>
    <w:rsid w:val="00C17228"/>
    <w:rsid w:val="00C468C1"/>
    <w:rsid w:val="00C70758"/>
    <w:rsid w:val="00CA5B5C"/>
    <w:rsid w:val="00CA71CE"/>
    <w:rsid w:val="00CD5C82"/>
    <w:rsid w:val="00D6069C"/>
    <w:rsid w:val="00DA66BB"/>
    <w:rsid w:val="00DE4C30"/>
    <w:rsid w:val="00EC3564"/>
    <w:rsid w:val="00ED03AA"/>
    <w:rsid w:val="00EF0B7C"/>
    <w:rsid w:val="00F351CF"/>
    <w:rsid w:val="00F86E8B"/>
    <w:rsid w:val="00F977A0"/>
    <w:rsid w:val="00FC5062"/>
    <w:rsid w:val="00FD657F"/>
    <w:rsid w:val="00FF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D7BB3"/>
  <w15:chartTrackingRefBased/>
  <w15:docId w15:val="{4D3171F3-C5A2-4EFD-8A26-83D1B160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8E"/>
  </w:style>
  <w:style w:type="paragraph" w:styleId="Footer">
    <w:name w:val="footer"/>
    <w:basedOn w:val="Normal"/>
    <w:link w:val="FooterChar"/>
    <w:uiPriority w:val="99"/>
    <w:unhideWhenUsed/>
    <w:rsid w:val="00023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8E"/>
  </w:style>
  <w:style w:type="paragraph" w:styleId="ListParagraph">
    <w:name w:val="List Paragraph"/>
    <w:basedOn w:val="Normal"/>
    <w:uiPriority w:val="34"/>
    <w:qFormat/>
    <w:rsid w:val="00023F8E"/>
    <w:pPr>
      <w:ind w:left="720"/>
      <w:contextualSpacing/>
    </w:pPr>
  </w:style>
  <w:style w:type="paragraph" w:styleId="NoSpacing">
    <w:name w:val="No Spacing"/>
    <w:uiPriority w:val="1"/>
    <w:qFormat/>
    <w:rsid w:val="00023F8E"/>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445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Froedtert Health</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Sorum, Cary A</cp:lastModifiedBy>
  <cp:revision>8</cp:revision>
  <cp:lastPrinted>2021-04-22T02:38:00Z</cp:lastPrinted>
  <dcterms:created xsi:type="dcterms:W3CDTF">2021-03-29T21:20:00Z</dcterms:created>
  <dcterms:modified xsi:type="dcterms:W3CDTF">2021-04-22T22:52:00Z</dcterms:modified>
</cp:coreProperties>
</file>