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28" w:rsidRDefault="002D1911" w:rsidP="00023F8E">
      <w:pPr>
        <w:pStyle w:val="NoSpacing"/>
        <w:tabs>
          <w:tab w:val="left" w:pos="540"/>
        </w:tabs>
        <w:spacing w:line="276" w:lineRule="auto"/>
        <w:rPr>
          <w:rFonts w:cs="Times New Roman"/>
        </w:rPr>
      </w:pPr>
      <w:r>
        <w:rPr>
          <w:rFonts w:cs="Times New Roman"/>
        </w:rPr>
        <w:t>AABB Standards Chat V</w:t>
      </w:r>
      <w:r w:rsidR="00023F8E" w:rsidRPr="00172D9A">
        <w:rPr>
          <w:rFonts w:cs="Times New Roman"/>
        </w:rPr>
        <w:t xml:space="preserve">olume </w:t>
      </w:r>
      <w:r w:rsidR="009C46ED">
        <w:rPr>
          <w:rFonts w:cs="Times New Roman"/>
        </w:rPr>
        <w:t>1</w:t>
      </w:r>
      <w:r w:rsidR="002A709C">
        <w:rPr>
          <w:rFonts w:cs="Times New Roman"/>
        </w:rPr>
        <w:t>4</w:t>
      </w:r>
    </w:p>
    <w:p w:rsidR="005D08E5" w:rsidRDefault="005D08E5" w:rsidP="00023F8E">
      <w:pPr>
        <w:pStyle w:val="NoSpacing"/>
        <w:tabs>
          <w:tab w:val="left" w:pos="540"/>
        </w:tabs>
        <w:spacing w:line="276" w:lineRule="auto"/>
        <w:rPr>
          <w:rFonts w:cs="Times New Roman"/>
        </w:rPr>
      </w:pPr>
    </w:p>
    <w:p w:rsidR="00023F8E" w:rsidRPr="00172D9A" w:rsidRDefault="00DE4C30" w:rsidP="00023F8E">
      <w:pPr>
        <w:pStyle w:val="NoSpacing"/>
        <w:tabs>
          <w:tab w:val="left" w:pos="540"/>
        </w:tabs>
        <w:spacing w:line="276" w:lineRule="auto"/>
        <w:rPr>
          <w:rFonts w:cs="Times New Roman"/>
        </w:rPr>
      </w:pPr>
      <w:r>
        <w:rPr>
          <w:rFonts w:cs="Times New Roman"/>
        </w:rPr>
        <w:t>In the previous standards chat</w:t>
      </w:r>
      <w:r w:rsidR="00023F8E" w:rsidRPr="00172D9A">
        <w:rPr>
          <w:rFonts w:cs="Times New Roman"/>
        </w:rPr>
        <w:t xml:space="preserve"> we discussed </w:t>
      </w:r>
      <w:r w:rsidR="00FF7F2E">
        <w:rPr>
          <w:rFonts w:cs="Times New Roman"/>
        </w:rPr>
        <w:t xml:space="preserve">supplier and customer issues </w:t>
      </w:r>
      <w:r>
        <w:rPr>
          <w:rFonts w:cs="Times New Roman"/>
        </w:rPr>
        <w:t>in the blood bank</w:t>
      </w:r>
      <w:r w:rsidR="00023F8E" w:rsidRPr="00172D9A">
        <w:rPr>
          <w:rFonts w:cs="Times New Roman"/>
        </w:rPr>
        <w:t xml:space="preserve">.  </w:t>
      </w:r>
      <w:r w:rsidR="00073700">
        <w:rPr>
          <w:rFonts w:cs="Times New Roman"/>
        </w:rPr>
        <w:t>In this chat we will discuss</w:t>
      </w:r>
      <w:r>
        <w:rPr>
          <w:rFonts w:cs="Times New Roman"/>
        </w:rPr>
        <w:t xml:space="preserve"> </w:t>
      </w:r>
      <w:r w:rsidR="002A709C">
        <w:rPr>
          <w:rFonts w:cs="Times New Roman"/>
        </w:rPr>
        <w:t xml:space="preserve">elements of </w:t>
      </w:r>
      <w:r w:rsidR="00FF7F2E">
        <w:rPr>
          <w:rFonts w:cs="Times New Roman"/>
        </w:rPr>
        <w:t>process control</w:t>
      </w:r>
      <w:r w:rsidR="002A709C">
        <w:rPr>
          <w:rFonts w:cs="Times New Roman"/>
        </w:rPr>
        <w:t xml:space="preserve"> including change control, proficiency testing programs, and quality control.  </w:t>
      </w:r>
      <w:r w:rsidR="00023F8E" w:rsidRPr="00172D9A">
        <w:rPr>
          <w:rFonts w:cs="Times New Roman"/>
        </w:rPr>
        <w:br/>
      </w:r>
    </w:p>
    <w:p w:rsidR="00023F8E" w:rsidRPr="00172D9A" w:rsidRDefault="00FF7F2E" w:rsidP="00DE4C30">
      <w:pPr>
        <w:pStyle w:val="NoSpacing"/>
        <w:tabs>
          <w:tab w:val="left" w:pos="720"/>
        </w:tabs>
        <w:spacing w:line="276" w:lineRule="auto"/>
        <w:rPr>
          <w:rFonts w:cs="Times New Roman"/>
          <w:b/>
        </w:rPr>
      </w:pPr>
      <w:r>
        <w:rPr>
          <w:rFonts w:cs="Times New Roman"/>
          <w:b/>
        </w:rPr>
        <w:t>5</w:t>
      </w:r>
      <w:r w:rsidR="00DE4C30">
        <w:rPr>
          <w:rFonts w:cs="Times New Roman"/>
          <w:b/>
        </w:rPr>
        <w:t>.0</w:t>
      </w:r>
      <w:r w:rsidR="00B113B1">
        <w:rPr>
          <w:rFonts w:cs="Times New Roman"/>
          <w:b/>
        </w:rPr>
        <w:t xml:space="preserve"> </w:t>
      </w:r>
      <w:r>
        <w:rPr>
          <w:rFonts w:cs="Times New Roman"/>
          <w:b/>
        </w:rPr>
        <w:t>Process Control</w:t>
      </w:r>
    </w:p>
    <w:p w:rsidR="007770B8" w:rsidRDefault="007770B8" w:rsidP="00DE4C30">
      <w:pPr>
        <w:pStyle w:val="NoSpacing"/>
        <w:tabs>
          <w:tab w:val="left" w:pos="-1170"/>
        </w:tabs>
        <w:spacing w:line="276" w:lineRule="auto"/>
        <w:ind w:left="360"/>
        <w:rPr>
          <w:rFonts w:cs="Times New Roman"/>
        </w:rPr>
      </w:pPr>
      <w:r>
        <w:rPr>
          <w:rFonts w:cs="Times New Roman"/>
        </w:rPr>
        <w:t xml:space="preserve">The BB/TS shall </w:t>
      </w:r>
      <w:r w:rsidR="00FF7F2E">
        <w:rPr>
          <w:rFonts w:cs="Times New Roman"/>
        </w:rPr>
        <w:t xml:space="preserve">have policies and validated processes and procedures that ensure the quality of the blood, blood components, tissue, derivatives, and services.  The BB/TS shall ensure that these policies, processes, and procedures are carried out under controlled conditions. </w:t>
      </w:r>
    </w:p>
    <w:p w:rsidR="001768C7" w:rsidRPr="00D6069C" w:rsidRDefault="001768C7" w:rsidP="001768C7">
      <w:pPr>
        <w:pStyle w:val="NoSpacing"/>
        <w:tabs>
          <w:tab w:val="left" w:pos="-1170"/>
        </w:tabs>
        <w:spacing w:line="276" w:lineRule="auto"/>
        <w:ind w:left="1080"/>
        <w:rPr>
          <w:rFonts w:cs="Times New Roman"/>
        </w:rPr>
      </w:pPr>
    </w:p>
    <w:p w:rsidR="00FF7F2E" w:rsidRDefault="00FF7F2E" w:rsidP="00150913">
      <w:pPr>
        <w:pStyle w:val="NoSpacing"/>
        <w:tabs>
          <w:tab w:val="left" w:pos="-1170"/>
        </w:tabs>
        <w:spacing w:line="276" w:lineRule="auto"/>
        <w:rPr>
          <w:rFonts w:cs="Times New Roman"/>
          <w:b/>
        </w:rPr>
      </w:pPr>
      <w:r>
        <w:rPr>
          <w:rFonts w:cs="Times New Roman"/>
          <w:b/>
        </w:rPr>
        <w:t>5</w:t>
      </w:r>
      <w:r w:rsidR="00400112">
        <w:rPr>
          <w:rFonts w:cs="Times New Roman"/>
          <w:b/>
        </w:rPr>
        <w:t>.1</w:t>
      </w:r>
      <w:r w:rsidR="000F0192">
        <w:rPr>
          <w:rFonts w:cs="Times New Roman"/>
        </w:rPr>
        <w:t xml:space="preserve"> </w:t>
      </w:r>
      <w:r>
        <w:rPr>
          <w:rFonts w:cs="Times New Roman"/>
          <w:b/>
        </w:rPr>
        <w:t>General Elements</w:t>
      </w:r>
    </w:p>
    <w:p w:rsidR="00143F0A" w:rsidRDefault="00FF7F2E" w:rsidP="00143F0A">
      <w:pPr>
        <w:pStyle w:val="NoSpacing"/>
        <w:tabs>
          <w:tab w:val="left" w:pos="-1170"/>
        </w:tabs>
        <w:spacing w:line="276" w:lineRule="auto"/>
        <w:ind w:left="360"/>
        <w:rPr>
          <w:rFonts w:cs="Times New Roman"/>
        </w:rPr>
      </w:pPr>
      <w:r>
        <w:rPr>
          <w:rFonts w:cs="Times New Roman"/>
          <w:b/>
        </w:rPr>
        <w:t>5.1.1</w:t>
      </w:r>
      <w:r w:rsidR="00143F0A">
        <w:rPr>
          <w:rFonts w:cs="Times New Roman"/>
          <w:b/>
        </w:rPr>
        <w:t xml:space="preserve"> Change Control</w:t>
      </w:r>
      <w:r w:rsidR="00143F0A">
        <w:rPr>
          <w:rFonts w:cs="Times New Roman"/>
        </w:rPr>
        <w:t xml:space="preserve"> </w:t>
      </w:r>
    </w:p>
    <w:p w:rsidR="00FC5062" w:rsidRDefault="00400112" w:rsidP="00143F0A">
      <w:pPr>
        <w:pStyle w:val="NoSpacing"/>
        <w:tabs>
          <w:tab w:val="left" w:pos="-1170"/>
        </w:tabs>
        <w:spacing w:line="276" w:lineRule="auto"/>
        <w:ind w:left="360"/>
        <w:rPr>
          <w:rFonts w:cs="Times New Roman"/>
        </w:rPr>
      </w:pPr>
      <w:r>
        <w:rPr>
          <w:rFonts w:cs="Times New Roman"/>
        </w:rPr>
        <w:t xml:space="preserve">The BB/TS shall </w:t>
      </w:r>
      <w:r w:rsidR="00FF7F2E">
        <w:rPr>
          <w:rFonts w:cs="Times New Roman"/>
        </w:rPr>
        <w:t>have a process to develop new processes and procedures or to change existing ones.  This process sha</w:t>
      </w:r>
      <w:r w:rsidR="00143F0A">
        <w:rPr>
          <w:rFonts w:cs="Times New Roman"/>
        </w:rPr>
        <w:t>l</w:t>
      </w:r>
      <w:r w:rsidR="00FF7F2E">
        <w:rPr>
          <w:rFonts w:cs="Times New Roman"/>
        </w:rPr>
        <w:t xml:space="preserve">l include identification of specifications and verification that specifications have been met.  Before implementation, the new or changed processes or procedures shall be validated.  Standard 2.1.2 applies.  </w:t>
      </w:r>
    </w:p>
    <w:p w:rsidR="00143F0A" w:rsidRDefault="00143F0A" w:rsidP="00FF68BF">
      <w:pPr>
        <w:pStyle w:val="NoSpacing"/>
        <w:numPr>
          <w:ilvl w:val="0"/>
          <w:numId w:val="14"/>
        </w:numPr>
        <w:tabs>
          <w:tab w:val="left" w:pos="-1170"/>
        </w:tabs>
        <w:spacing w:line="276" w:lineRule="auto"/>
        <w:rPr>
          <w:rFonts w:cs="Times New Roman"/>
        </w:rPr>
      </w:pPr>
      <w:r>
        <w:rPr>
          <w:rFonts w:cs="Times New Roman"/>
        </w:rPr>
        <w:t xml:space="preserve">Standard 2.1.2 states that the BB/TS shall have a process for identifying training needs and shall provide training for personnel performing critical tasks.  This standard is met with the individual training checklists that are required of Blood Bank staff each time new equipment or a new procedure is put into place.  For example, prior to the new MTP cooler being put into use each staff member was required to read and sign the training document.  </w:t>
      </w:r>
    </w:p>
    <w:p w:rsidR="00FF68BF" w:rsidRDefault="002C246E" w:rsidP="00FF68BF">
      <w:pPr>
        <w:pStyle w:val="NoSpacing"/>
        <w:numPr>
          <w:ilvl w:val="0"/>
          <w:numId w:val="14"/>
        </w:numPr>
        <w:tabs>
          <w:tab w:val="left" w:pos="-1170"/>
        </w:tabs>
        <w:spacing w:line="276" w:lineRule="auto"/>
        <w:rPr>
          <w:rFonts w:cs="Times New Roman"/>
        </w:rPr>
      </w:pPr>
      <w:r>
        <w:rPr>
          <w:rFonts w:cs="Times New Roman"/>
        </w:rPr>
        <w:t xml:space="preserve">The </w:t>
      </w:r>
      <w:r w:rsidR="00177F7C">
        <w:rPr>
          <w:rFonts w:cs="Times New Roman"/>
          <w:i/>
        </w:rPr>
        <w:t>Policy and Procedure Creation/ Revision Procedure</w:t>
      </w:r>
      <w:r>
        <w:rPr>
          <w:rFonts w:cs="Times New Roman"/>
        </w:rPr>
        <w:t xml:space="preserve"> </w:t>
      </w:r>
      <w:r w:rsidR="00177F7C">
        <w:rPr>
          <w:rFonts w:cs="Times New Roman"/>
        </w:rPr>
        <w:t>explains the process of writing policies and procedures.  This policy describes the written format of policies and proce</w:t>
      </w:r>
      <w:r w:rsidR="002B0F4A">
        <w:rPr>
          <w:rFonts w:cs="Times New Roman"/>
        </w:rPr>
        <w:t>dures.</w:t>
      </w:r>
      <w:r w:rsidR="00177F7C">
        <w:rPr>
          <w:rFonts w:cs="Times New Roman"/>
        </w:rPr>
        <w:t xml:space="preserve">  Included in the process of writing policies is feedback from staff and review by BB Leadership as well as the Medical Director.  The Medical Director is legally responsible for Blood Bank’s adoption, implementation, and compliance with sectional SOPs.  If applicable, staff training must take place using the final procedure.  Training </w:t>
      </w:r>
      <w:r w:rsidR="002D3B40">
        <w:rPr>
          <w:rFonts w:cs="Times New Roman"/>
        </w:rPr>
        <w:t xml:space="preserve">will include reading and acknowledging the policy, knowledge assessments (if applicable), and annual competency assessments if the policy is new or has major revisions.  </w:t>
      </w:r>
    </w:p>
    <w:p w:rsidR="009E218F" w:rsidRPr="00E46BAC" w:rsidRDefault="002B0F4A" w:rsidP="00E46BAC">
      <w:pPr>
        <w:pStyle w:val="NoSpacing"/>
        <w:numPr>
          <w:ilvl w:val="0"/>
          <w:numId w:val="14"/>
        </w:numPr>
        <w:tabs>
          <w:tab w:val="left" w:pos="-1170"/>
        </w:tabs>
        <w:spacing w:line="276" w:lineRule="auto"/>
        <w:rPr>
          <w:rFonts w:cs="Times New Roman"/>
        </w:rPr>
      </w:pPr>
      <w:r>
        <w:rPr>
          <w:rFonts w:cs="Times New Roman"/>
        </w:rPr>
        <w:t xml:space="preserve">The </w:t>
      </w:r>
      <w:r w:rsidRPr="002B0F4A">
        <w:rPr>
          <w:rFonts w:cs="Times New Roman"/>
          <w:i/>
        </w:rPr>
        <w:t>Validation of Critical Processes</w:t>
      </w:r>
      <w:r>
        <w:rPr>
          <w:rFonts w:cs="Times New Roman"/>
        </w:rPr>
        <w:t xml:space="preserve"> policy describes the process of writing and performing a validation plan. </w:t>
      </w:r>
      <w:r w:rsidR="00E46BAC">
        <w:rPr>
          <w:rFonts w:cs="Times New Roman"/>
        </w:rPr>
        <w:t xml:space="preserve">Validation must occur for all new processes and equipment as well as any significant changes in processes or use of equipment.  </w:t>
      </w:r>
      <w:r>
        <w:rPr>
          <w:rFonts w:cs="Times New Roman"/>
        </w:rPr>
        <w:t xml:space="preserve">The validation plan is reviewed, approved, and accepted by the Medical Director, Manager, and Supervisor prior to performing the validation.  An experienced staff member performs the validation plan activities.  </w:t>
      </w:r>
      <w:r w:rsidR="00E46BAC">
        <w:rPr>
          <w:rFonts w:cs="Times New Roman"/>
        </w:rPr>
        <w:t xml:space="preserve">After the validation is performed, the results and any corrective actions are reviewed and a determination is made as to whether the new or modified processes </w:t>
      </w:r>
      <w:r w:rsidR="009A2323">
        <w:rPr>
          <w:rFonts w:cs="Times New Roman"/>
        </w:rPr>
        <w:t>or</w:t>
      </w:r>
      <w:r w:rsidR="00E46BAC">
        <w:rPr>
          <w:rFonts w:cs="Times New Roman"/>
        </w:rPr>
        <w:t xml:space="preserve"> equipment may be implemented or implemented with specified limitations.  </w:t>
      </w:r>
      <w:r>
        <w:rPr>
          <w:rFonts w:cs="Times New Roman"/>
        </w:rPr>
        <w:t xml:space="preserve"> </w:t>
      </w:r>
    </w:p>
    <w:p w:rsidR="00150913" w:rsidRDefault="00E46BAC" w:rsidP="00FC5062">
      <w:pPr>
        <w:pStyle w:val="NoSpacing"/>
        <w:tabs>
          <w:tab w:val="left" w:pos="-1170"/>
        </w:tabs>
        <w:spacing w:line="276" w:lineRule="auto"/>
        <w:ind w:left="360"/>
        <w:rPr>
          <w:rFonts w:cs="Times New Roman"/>
        </w:rPr>
      </w:pPr>
      <w:r>
        <w:rPr>
          <w:rFonts w:cs="Times New Roman"/>
          <w:b/>
        </w:rPr>
        <w:t>5</w:t>
      </w:r>
      <w:r w:rsidR="00150913" w:rsidRPr="00FF68BF">
        <w:rPr>
          <w:rFonts w:cs="Times New Roman"/>
          <w:b/>
        </w:rPr>
        <w:t>.1.2</w:t>
      </w:r>
      <w:r w:rsidR="00150913">
        <w:rPr>
          <w:rFonts w:cs="Times New Roman"/>
        </w:rPr>
        <w:t xml:space="preserve"> </w:t>
      </w:r>
      <w:r w:rsidRPr="002A709C">
        <w:rPr>
          <w:rFonts w:cs="Times New Roman"/>
          <w:b/>
        </w:rPr>
        <w:t>Proficiency Testing Program</w:t>
      </w:r>
    </w:p>
    <w:p w:rsidR="00E46BAC" w:rsidRDefault="00E46BAC" w:rsidP="00E46BAC">
      <w:pPr>
        <w:pStyle w:val="NoSpacing"/>
        <w:tabs>
          <w:tab w:val="left" w:pos="-1170"/>
        </w:tabs>
        <w:spacing w:line="276" w:lineRule="auto"/>
        <w:ind w:left="360"/>
        <w:rPr>
          <w:rFonts w:cs="Times New Roman"/>
        </w:rPr>
      </w:pPr>
      <w:r>
        <w:rPr>
          <w:rFonts w:cs="Times New Roman"/>
        </w:rPr>
        <w:t xml:space="preserve">The BB/TS shall participate in a proficiency testing program, if available, for testing regulated by the Clinical Laboratory Improvement Amendments and performed by the facility.*  When a CMS-approved program is not available, there shall be a system for determining the accuracy and reliability of test results.  Results shall be reviewed and when expected results are not achieved, investigation and corrective action shall be taken where appropriate.  </w:t>
      </w:r>
    </w:p>
    <w:p w:rsidR="00E46BAC" w:rsidRPr="00C24835" w:rsidRDefault="00E46BAC" w:rsidP="00E46BAC">
      <w:pPr>
        <w:pStyle w:val="NoSpacing"/>
        <w:tabs>
          <w:tab w:val="left" w:pos="-1170"/>
        </w:tabs>
        <w:spacing w:line="276" w:lineRule="auto"/>
        <w:ind w:left="360"/>
        <w:rPr>
          <w:rFonts w:cs="Times New Roman"/>
        </w:rPr>
      </w:pPr>
      <w:r>
        <w:rPr>
          <w:rFonts w:cs="Times New Roman"/>
        </w:rPr>
        <w:t>*</w:t>
      </w:r>
      <w:r w:rsidRPr="00C24835">
        <w:rPr>
          <w:rFonts w:cs="Times New Roman"/>
        </w:rPr>
        <w:t>42 CFR 493.1236</w:t>
      </w:r>
    </w:p>
    <w:p w:rsidR="003C1A74" w:rsidRDefault="003C1A74" w:rsidP="005C4DE8">
      <w:pPr>
        <w:pStyle w:val="NoSpacing"/>
        <w:numPr>
          <w:ilvl w:val="0"/>
          <w:numId w:val="27"/>
        </w:numPr>
        <w:tabs>
          <w:tab w:val="left" w:pos="-1170"/>
        </w:tabs>
        <w:spacing w:line="276" w:lineRule="auto"/>
        <w:rPr>
          <w:rFonts w:eastAsia="Times New Roman" w:cs="Times New Roman"/>
          <w:bCs/>
          <w:sz w:val="21"/>
          <w:szCs w:val="21"/>
          <w:lang w:val="en"/>
        </w:rPr>
      </w:pPr>
      <w:r w:rsidRPr="003C1A74">
        <w:rPr>
          <w:rFonts w:eastAsia="Times New Roman" w:cs="Times New Roman"/>
          <w:bCs/>
          <w:sz w:val="21"/>
          <w:szCs w:val="21"/>
          <w:lang w:val="en"/>
        </w:rPr>
        <w:t xml:space="preserve">The </w:t>
      </w:r>
      <w:r w:rsidRPr="003C1A74">
        <w:rPr>
          <w:rFonts w:eastAsia="Times New Roman" w:cs="Times New Roman"/>
          <w:bCs/>
          <w:i/>
          <w:sz w:val="21"/>
          <w:szCs w:val="21"/>
          <w:lang w:val="en"/>
        </w:rPr>
        <w:t>Proficiency Testing</w:t>
      </w:r>
      <w:r w:rsidRPr="003C1A74">
        <w:rPr>
          <w:rFonts w:eastAsia="Times New Roman" w:cs="Times New Roman"/>
          <w:bCs/>
          <w:sz w:val="21"/>
          <w:szCs w:val="21"/>
          <w:lang w:val="en"/>
        </w:rPr>
        <w:t xml:space="preserve"> policy describes </w:t>
      </w:r>
      <w:r>
        <w:rPr>
          <w:rFonts w:eastAsia="Times New Roman" w:cs="Times New Roman"/>
          <w:bCs/>
          <w:sz w:val="21"/>
          <w:szCs w:val="21"/>
          <w:lang w:val="en"/>
        </w:rPr>
        <w:t xml:space="preserve">Blood </w:t>
      </w:r>
      <w:bookmarkStart w:id="0" w:name="_GoBack"/>
      <w:bookmarkEnd w:id="0"/>
      <w:r>
        <w:rPr>
          <w:rFonts w:eastAsia="Times New Roman" w:cs="Times New Roman"/>
          <w:bCs/>
          <w:sz w:val="21"/>
          <w:szCs w:val="21"/>
          <w:lang w:val="en"/>
        </w:rPr>
        <w:t>Bank’s participation in externa</w:t>
      </w:r>
      <w:r w:rsidR="00E31516">
        <w:rPr>
          <w:rFonts w:eastAsia="Times New Roman" w:cs="Times New Roman"/>
          <w:bCs/>
          <w:sz w:val="21"/>
          <w:szCs w:val="21"/>
          <w:lang w:val="en"/>
        </w:rPr>
        <w:t xml:space="preserve">l proficiency testing programs.  Blood Bank participates in CAP surveys for </w:t>
      </w:r>
      <w:r w:rsidR="00C96B9E">
        <w:rPr>
          <w:rFonts w:eastAsia="Times New Roman" w:cs="Times New Roman"/>
          <w:bCs/>
          <w:sz w:val="21"/>
          <w:szCs w:val="21"/>
          <w:lang w:val="en"/>
        </w:rPr>
        <w:t xml:space="preserve">DATs, eluates, antibody titers, red cell antigen typing, ABO subgrouping, fetal cell detection (fetal cell screen portion only), and the comprehensive Transfusion Medicine survey, electronic </w:t>
      </w:r>
      <w:proofErr w:type="spellStart"/>
      <w:r w:rsidR="00C96B9E">
        <w:rPr>
          <w:rFonts w:eastAsia="Times New Roman" w:cs="Times New Roman"/>
          <w:bCs/>
          <w:sz w:val="21"/>
          <w:szCs w:val="21"/>
          <w:lang w:val="en"/>
        </w:rPr>
        <w:t>crossmatch</w:t>
      </w:r>
      <w:proofErr w:type="spellEnd"/>
      <w:r w:rsidR="00C96B9E">
        <w:rPr>
          <w:rFonts w:eastAsia="Times New Roman" w:cs="Times New Roman"/>
          <w:bCs/>
          <w:sz w:val="21"/>
          <w:szCs w:val="21"/>
          <w:lang w:val="en"/>
        </w:rPr>
        <w:t xml:space="preserve"> survey, and Transfusion Medicine automated survey as well as the expanded Transfusion Medicine exercises</w:t>
      </w:r>
      <w:r w:rsidR="00E31516">
        <w:rPr>
          <w:rFonts w:eastAsia="Times New Roman" w:cs="Times New Roman"/>
          <w:bCs/>
          <w:sz w:val="21"/>
          <w:szCs w:val="21"/>
          <w:lang w:val="en"/>
        </w:rPr>
        <w:t xml:space="preserve">.  PT testing for </w:t>
      </w:r>
      <w:r w:rsidR="00C96B9E">
        <w:rPr>
          <w:rFonts w:eastAsia="Times New Roman" w:cs="Times New Roman"/>
          <w:bCs/>
          <w:sz w:val="21"/>
          <w:szCs w:val="21"/>
          <w:lang w:val="en"/>
        </w:rPr>
        <w:t>the hemoglobin S sickle screen</w:t>
      </w:r>
      <w:r w:rsidR="00E31516">
        <w:rPr>
          <w:rFonts w:eastAsia="Times New Roman" w:cs="Times New Roman"/>
          <w:bCs/>
          <w:sz w:val="21"/>
          <w:szCs w:val="21"/>
          <w:lang w:val="en"/>
        </w:rPr>
        <w:t xml:space="preserve"> is shared with hematology.  Hematology submits their results to CAP and then the Blood Bank performs the testing.  Once results from CAP </w:t>
      </w:r>
      <w:r w:rsidR="00E31516">
        <w:rPr>
          <w:rFonts w:eastAsia="Times New Roman" w:cs="Times New Roman"/>
          <w:bCs/>
          <w:sz w:val="21"/>
          <w:szCs w:val="21"/>
          <w:lang w:val="en"/>
        </w:rPr>
        <w:lastRenderedPageBreak/>
        <w:t xml:space="preserve">are given to hematology they are shared with Blood Bank for evaluation of acceptability.  Acceptability parameters are defined by this policy and are in accordance with the CFR (see details of the CFR below). </w:t>
      </w:r>
      <w:r>
        <w:rPr>
          <w:rFonts w:eastAsia="Times New Roman" w:cs="Times New Roman"/>
          <w:bCs/>
          <w:sz w:val="21"/>
          <w:szCs w:val="21"/>
          <w:lang w:val="en"/>
        </w:rPr>
        <w:t xml:space="preserve"> </w:t>
      </w:r>
    </w:p>
    <w:p w:rsidR="00E31516" w:rsidRPr="003C1A74" w:rsidRDefault="00E31516" w:rsidP="005C4DE8">
      <w:pPr>
        <w:pStyle w:val="NoSpacing"/>
        <w:numPr>
          <w:ilvl w:val="0"/>
          <w:numId w:val="27"/>
        </w:numPr>
        <w:tabs>
          <w:tab w:val="left" w:pos="-1170"/>
        </w:tabs>
        <w:spacing w:line="276" w:lineRule="auto"/>
        <w:rPr>
          <w:rFonts w:eastAsia="Times New Roman" w:cs="Times New Roman"/>
          <w:bCs/>
          <w:sz w:val="21"/>
          <w:szCs w:val="21"/>
          <w:lang w:val="en"/>
        </w:rPr>
      </w:pPr>
      <w:r>
        <w:rPr>
          <w:rFonts w:eastAsia="Times New Roman" w:cs="Times New Roman"/>
          <w:bCs/>
          <w:sz w:val="21"/>
          <w:szCs w:val="21"/>
          <w:lang w:val="en"/>
        </w:rPr>
        <w:t xml:space="preserve">The </w:t>
      </w:r>
      <w:r w:rsidRPr="00E31516">
        <w:rPr>
          <w:rFonts w:eastAsia="Times New Roman" w:cs="Times New Roman"/>
          <w:bCs/>
          <w:i/>
          <w:sz w:val="21"/>
          <w:szCs w:val="21"/>
          <w:lang w:val="en"/>
        </w:rPr>
        <w:t>Proficiency Testing Survey Process</w:t>
      </w:r>
      <w:r>
        <w:rPr>
          <w:rFonts w:eastAsia="Times New Roman" w:cs="Times New Roman"/>
          <w:bCs/>
          <w:sz w:val="21"/>
          <w:szCs w:val="21"/>
          <w:lang w:val="en"/>
        </w:rPr>
        <w:t xml:space="preserve"> is a global lab policy that explains acceptability criteria and follow up actions for failed PT testing.  </w:t>
      </w:r>
      <w:r w:rsidR="001A6550">
        <w:rPr>
          <w:rFonts w:eastAsia="Times New Roman" w:cs="Times New Roman"/>
          <w:bCs/>
          <w:sz w:val="21"/>
          <w:szCs w:val="21"/>
          <w:lang w:val="en"/>
        </w:rPr>
        <w:t xml:space="preserve">The policy also lists guidelines for follow up of unacceptable results including review of original testing paperwork, review of relevant QC performed before and after the failed testing, retesting of the sample, and discussion with the staff performing the testing.  A formal response is required by CAP for any failed tests.  CAP accesses the acceptability of the investigation and corrective action.  When all reviews of critique/evaluation have been completed, </w:t>
      </w:r>
      <w:r w:rsidR="006A1550">
        <w:rPr>
          <w:rFonts w:eastAsia="Times New Roman" w:cs="Times New Roman"/>
          <w:bCs/>
          <w:sz w:val="21"/>
          <w:szCs w:val="21"/>
          <w:lang w:val="en"/>
        </w:rPr>
        <w:t>Blood Bank will retain a copy and return the o</w:t>
      </w:r>
      <w:r w:rsidR="001A6550">
        <w:rPr>
          <w:rFonts w:eastAsia="Times New Roman" w:cs="Times New Roman"/>
          <w:bCs/>
          <w:sz w:val="21"/>
          <w:szCs w:val="21"/>
          <w:lang w:val="en"/>
        </w:rPr>
        <w:t xml:space="preserve">riginal </w:t>
      </w:r>
      <w:r w:rsidR="006A1550">
        <w:rPr>
          <w:rFonts w:eastAsia="Times New Roman" w:cs="Times New Roman"/>
          <w:bCs/>
          <w:sz w:val="21"/>
          <w:szCs w:val="21"/>
          <w:lang w:val="en"/>
        </w:rPr>
        <w:t>to</w:t>
      </w:r>
      <w:r w:rsidR="001A6550">
        <w:rPr>
          <w:rFonts w:eastAsia="Times New Roman" w:cs="Times New Roman"/>
          <w:bCs/>
          <w:sz w:val="21"/>
          <w:szCs w:val="21"/>
          <w:lang w:val="en"/>
        </w:rPr>
        <w:t xml:space="preserve"> the Accreditation office.  </w:t>
      </w:r>
      <w:r w:rsidR="006A1550">
        <w:rPr>
          <w:rFonts w:eastAsia="Times New Roman" w:cs="Times New Roman"/>
          <w:bCs/>
          <w:sz w:val="21"/>
          <w:szCs w:val="21"/>
          <w:lang w:val="en"/>
        </w:rPr>
        <w:t xml:space="preserve">Timely review of PT evaluations ensure that any unsuccessful scores are investigated and corrective actions are completed well in advance of the next PT challenge.  </w:t>
      </w:r>
    </w:p>
    <w:p w:rsidR="00C24835" w:rsidRPr="00C24835" w:rsidRDefault="00C24835" w:rsidP="005C4DE8">
      <w:pPr>
        <w:pStyle w:val="NoSpacing"/>
        <w:numPr>
          <w:ilvl w:val="0"/>
          <w:numId w:val="27"/>
        </w:numPr>
        <w:tabs>
          <w:tab w:val="left" w:pos="-1170"/>
        </w:tabs>
        <w:spacing w:line="276" w:lineRule="auto"/>
        <w:rPr>
          <w:rFonts w:eastAsia="Times New Roman" w:cs="Times New Roman"/>
          <w:b/>
          <w:bCs/>
          <w:sz w:val="21"/>
          <w:szCs w:val="21"/>
          <w:lang w:val="en"/>
        </w:rPr>
      </w:pPr>
      <w:r w:rsidRPr="00C24835">
        <w:rPr>
          <w:rFonts w:cs="Times New Roman"/>
        </w:rPr>
        <w:t xml:space="preserve">42 CFR 493.1236 </w:t>
      </w:r>
      <w:r w:rsidRPr="00CE4370">
        <w:rPr>
          <w:rFonts w:eastAsia="Times New Roman" w:cs="Times New Roman"/>
          <w:b/>
          <w:bCs/>
          <w:sz w:val="21"/>
          <w:szCs w:val="21"/>
          <w:lang w:val="en"/>
        </w:rPr>
        <w:t>Standard: Evaluation of proficiency testing performance.</w:t>
      </w:r>
    </w:p>
    <w:p w:rsidR="00C24835" w:rsidRDefault="00C24835" w:rsidP="00C24835">
      <w:pPr>
        <w:pStyle w:val="NoSpacing"/>
        <w:numPr>
          <w:ilvl w:val="0"/>
          <w:numId w:val="26"/>
        </w:numPr>
        <w:tabs>
          <w:tab w:val="left" w:pos="-1170"/>
        </w:tabs>
        <w:spacing w:line="276" w:lineRule="auto"/>
        <w:rPr>
          <w:rFonts w:cs="Times New Roman"/>
        </w:rPr>
      </w:pPr>
      <w:r w:rsidRPr="00C24835">
        <w:rPr>
          <w:rFonts w:cs="Times New Roman"/>
        </w:rPr>
        <w:t xml:space="preserve">The laboratory must review and evaluate the results obtained on proficiency testing performed as specified in </w:t>
      </w:r>
      <w:r w:rsidRPr="005C4DE8">
        <w:rPr>
          <w:rFonts w:cs="Times New Roman"/>
        </w:rPr>
        <w:t xml:space="preserve">subpart H of this part.  </w:t>
      </w:r>
    </w:p>
    <w:p w:rsidR="00A72593" w:rsidRDefault="00A72593" w:rsidP="00A72593">
      <w:pPr>
        <w:pStyle w:val="NoSpacing"/>
        <w:numPr>
          <w:ilvl w:val="0"/>
          <w:numId w:val="31"/>
        </w:numPr>
        <w:tabs>
          <w:tab w:val="left" w:pos="-1170"/>
        </w:tabs>
        <w:spacing w:line="276" w:lineRule="auto"/>
        <w:rPr>
          <w:rFonts w:cs="Times New Roman"/>
        </w:rPr>
      </w:pPr>
      <w:r>
        <w:rPr>
          <w:rFonts w:cs="Times New Roman"/>
        </w:rPr>
        <w:t xml:space="preserve">Subpart H describes acceptability of score of responses to the PT testing for ABO group and D typing, unexpected antibody detection, compatibility testing, and antibody identification.  It also describes acceptable course of action in the event of failure to obtain an acceptable score.  </w:t>
      </w:r>
    </w:p>
    <w:p w:rsidR="00A72593" w:rsidRPr="005C4DE8" w:rsidRDefault="00EB1272" w:rsidP="00A72593">
      <w:pPr>
        <w:pStyle w:val="NoSpacing"/>
        <w:numPr>
          <w:ilvl w:val="0"/>
          <w:numId w:val="31"/>
        </w:numPr>
        <w:tabs>
          <w:tab w:val="left" w:pos="-1170"/>
        </w:tabs>
        <w:spacing w:line="276" w:lineRule="auto"/>
        <w:rPr>
          <w:rFonts w:cs="Times New Roman"/>
        </w:rPr>
      </w:pPr>
      <w:r>
        <w:rPr>
          <w:rFonts w:cs="Times New Roman"/>
        </w:rPr>
        <w:t xml:space="preserve">See </w:t>
      </w:r>
      <w:r w:rsidR="001B79AA">
        <w:rPr>
          <w:rFonts w:cs="Times New Roman"/>
        </w:rPr>
        <w:t>BB Leadership</w:t>
      </w:r>
      <w:r>
        <w:rPr>
          <w:rFonts w:cs="Times New Roman"/>
        </w:rPr>
        <w:t xml:space="preserve"> for Subpart H</w:t>
      </w:r>
      <w:r w:rsidR="001B79AA">
        <w:rPr>
          <w:rFonts w:cs="Times New Roman"/>
        </w:rPr>
        <w:t xml:space="preserve"> if interested</w:t>
      </w:r>
      <w:r>
        <w:rPr>
          <w:rFonts w:cs="Times New Roman"/>
        </w:rPr>
        <w:t xml:space="preserve">.  </w:t>
      </w:r>
      <w:r w:rsidR="00A72593">
        <w:rPr>
          <w:rFonts w:cs="Times New Roman"/>
        </w:rPr>
        <w:t xml:space="preserve">  </w:t>
      </w:r>
    </w:p>
    <w:p w:rsidR="00C24835" w:rsidRPr="005C4DE8" w:rsidRDefault="00C24835" w:rsidP="00C24835">
      <w:pPr>
        <w:pStyle w:val="NoSpacing"/>
        <w:numPr>
          <w:ilvl w:val="0"/>
          <w:numId w:val="26"/>
        </w:numPr>
        <w:tabs>
          <w:tab w:val="left" w:pos="-1170"/>
        </w:tabs>
        <w:spacing w:line="276" w:lineRule="auto"/>
        <w:rPr>
          <w:rFonts w:cs="Times New Roman"/>
        </w:rPr>
      </w:pPr>
      <w:r w:rsidRPr="005C4DE8">
        <w:rPr>
          <w:rFonts w:cs="Times New Roman"/>
        </w:rPr>
        <w:t>The laboratory must verify the accuracy of the following:</w:t>
      </w:r>
    </w:p>
    <w:p w:rsidR="00C24835" w:rsidRPr="005C4DE8" w:rsidRDefault="00C24835" w:rsidP="00C24835">
      <w:pPr>
        <w:pStyle w:val="NoSpacing"/>
        <w:numPr>
          <w:ilvl w:val="1"/>
          <w:numId w:val="26"/>
        </w:numPr>
        <w:tabs>
          <w:tab w:val="left" w:pos="-1170"/>
        </w:tabs>
        <w:spacing w:line="276" w:lineRule="auto"/>
        <w:rPr>
          <w:rFonts w:cs="Times New Roman"/>
        </w:rPr>
      </w:pPr>
      <w:r w:rsidRPr="00CE4370">
        <w:rPr>
          <w:rFonts w:eastAsia="Times New Roman" w:cs="Times New Roman"/>
          <w:lang w:val="en"/>
        </w:rPr>
        <w:t xml:space="preserve">Any </w:t>
      </w:r>
      <w:proofErr w:type="spellStart"/>
      <w:r w:rsidRPr="00CE4370">
        <w:rPr>
          <w:rFonts w:eastAsia="Times New Roman" w:cs="Times New Roman"/>
          <w:lang w:val="en"/>
        </w:rPr>
        <w:t>analyte</w:t>
      </w:r>
      <w:proofErr w:type="spellEnd"/>
      <w:r w:rsidRPr="00CE4370">
        <w:rPr>
          <w:rFonts w:eastAsia="Times New Roman" w:cs="Times New Roman"/>
          <w:lang w:val="en"/>
        </w:rPr>
        <w:t xml:space="preserve"> or subspecialty without </w:t>
      </w:r>
      <w:proofErr w:type="spellStart"/>
      <w:r w:rsidRPr="00CE4370">
        <w:rPr>
          <w:rFonts w:eastAsia="Times New Roman" w:cs="Times New Roman"/>
          <w:lang w:val="en"/>
        </w:rPr>
        <w:t>analytes</w:t>
      </w:r>
      <w:proofErr w:type="spellEnd"/>
      <w:r w:rsidRPr="00CE4370">
        <w:rPr>
          <w:rFonts w:eastAsia="Times New Roman" w:cs="Times New Roman"/>
          <w:lang w:val="en"/>
        </w:rPr>
        <w:t xml:space="preserve"> listed in subpart I of this part that is not evaluated or scored by a CMS-approved proficiency testing program</w:t>
      </w:r>
      <w:r w:rsidRPr="005C4DE8">
        <w:rPr>
          <w:rFonts w:eastAsia="Times New Roman" w:cs="Times New Roman"/>
          <w:lang w:val="en"/>
        </w:rPr>
        <w:t xml:space="preserve">. </w:t>
      </w:r>
    </w:p>
    <w:p w:rsidR="00C24835" w:rsidRPr="005C4DE8" w:rsidRDefault="00C24835" w:rsidP="00C24835">
      <w:pPr>
        <w:pStyle w:val="NoSpacing"/>
        <w:numPr>
          <w:ilvl w:val="1"/>
          <w:numId w:val="26"/>
        </w:numPr>
        <w:tabs>
          <w:tab w:val="left" w:pos="-1170"/>
        </w:tabs>
        <w:spacing w:line="276" w:lineRule="auto"/>
        <w:rPr>
          <w:rFonts w:cs="Times New Roman"/>
        </w:rPr>
      </w:pPr>
      <w:r w:rsidRPr="00CE4370">
        <w:rPr>
          <w:rFonts w:eastAsia="Times New Roman" w:cs="Times New Roman"/>
          <w:lang w:val="en"/>
        </w:rPr>
        <w:t xml:space="preserve">Any </w:t>
      </w:r>
      <w:proofErr w:type="spellStart"/>
      <w:r w:rsidRPr="00CE4370">
        <w:rPr>
          <w:rFonts w:eastAsia="Times New Roman" w:cs="Times New Roman"/>
          <w:lang w:val="en"/>
        </w:rPr>
        <w:t>analyte</w:t>
      </w:r>
      <w:proofErr w:type="spellEnd"/>
      <w:r w:rsidRPr="00CE4370">
        <w:rPr>
          <w:rFonts w:eastAsia="Times New Roman" w:cs="Times New Roman"/>
          <w:lang w:val="en"/>
        </w:rPr>
        <w:t>, specialty or subspecialty assigned a proficiency testing score that does not reflect laboratory test performance (that is, when the proficiency testing program does not obtain the agreement required for scoring as specified in subpart I of this part, or the laboratory receives a zero score for nonparticipation, or late return of results).</w:t>
      </w:r>
    </w:p>
    <w:p w:rsidR="00C24835" w:rsidRPr="005C4DE8" w:rsidRDefault="00C24835" w:rsidP="00C24835">
      <w:pPr>
        <w:pStyle w:val="NoSpacing"/>
        <w:numPr>
          <w:ilvl w:val="0"/>
          <w:numId w:val="26"/>
        </w:numPr>
        <w:tabs>
          <w:tab w:val="left" w:pos="-1170"/>
        </w:tabs>
        <w:spacing w:line="276" w:lineRule="auto"/>
        <w:rPr>
          <w:rFonts w:cs="Times New Roman"/>
        </w:rPr>
      </w:pPr>
      <w:r w:rsidRPr="00CE4370">
        <w:rPr>
          <w:rFonts w:eastAsia="Times New Roman" w:cs="Times New Roman"/>
          <w:lang w:val="en"/>
        </w:rPr>
        <w:t>At least twice annually, the laboratory must verify the accuracy of the following:</w:t>
      </w:r>
    </w:p>
    <w:p w:rsidR="00C24835" w:rsidRPr="005C4DE8" w:rsidRDefault="00C24835" w:rsidP="00C24835">
      <w:pPr>
        <w:pStyle w:val="ListParagraph"/>
        <w:numPr>
          <w:ilvl w:val="1"/>
          <w:numId w:val="26"/>
        </w:numPr>
        <w:shd w:val="clear" w:color="auto" w:fill="FFFFFF"/>
        <w:spacing w:before="100" w:beforeAutospacing="1" w:after="100" w:afterAutospacing="1" w:line="240" w:lineRule="auto"/>
        <w:rPr>
          <w:rFonts w:ascii="Times New Roman" w:eastAsia="Times New Roman" w:hAnsi="Times New Roman" w:cs="Times New Roman"/>
          <w:lang w:val="en"/>
        </w:rPr>
      </w:pPr>
      <w:r w:rsidRPr="005C4DE8">
        <w:rPr>
          <w:rFonts w:ascii="Times New Roman" w:eastAsia="Times New Roman" w:hAnsi="Times New Roman" w:cs="Times New Roman"/>
          <w:lang w:val="en"/>
        </w:rPr>
        <w:t xml:space="preserve">Any test or procedure it performs that is not included in subpart </w:t>
      </w:r>
      <w:proofErr w:type="gramStart"/>
      <w:r w:rsidRPr="005C4DE8">
        <w:rPr>
          <w:rFonts w:ascii="Times New Roman" w:eastAsia="Times New Roman" w:hAnsi="Times New Roman" w:cs="Times New Roman"/>
          <w:lang w:val="en"/>
        </w:rPr>
        <w:t>I</w:t>
      </w:r>
      <w:proofErr w:type="gramEnd"/>
      <w:r w:rsidRPr="005C4DE8">
        <w:rPr>
          <w:rFonts w:ascii="Times New Roman" w:eastAsia="Times New Roman" w:hAnsi="Times New Roman" w:cs="Times New Roman"/>
          <w:lang w:val="en"/>
        </w:rPr>
        <w:t xml:space="preserve"> of this part. </w:t>
      </w:r>
    </w:p>
    <w:p w:rsidR="00C24835" w:rsidRPr="003C1A74" w:rsidRDefault="00C24835" w:rsidP="00C24835">
      <w:pPr>
        <w:pStyle w:val="ListParagraph"/>
        <w:numPr>
          <w:ilvl w:val="1"/>
          <w:numId w:val="26"/>
        </w:numPr>
        <w:shd w:val="clear" w:color="auto" w:fill="FFFFFF"/>
        <w:spacing w:before="100" w:beforeAutospacing="1" w:after="100" w:afterAutospacing="1" w:line="240" w:lineRule="auto"/>
        <w:rPr>
          <w:rFonts w:ascii="Times New Roman" w:eastAsia="Times New Roman" w:hAnsi="Times New Roman" w:cs="Times New Roman"/>
          <w:lang w:val="en"/>
        </w:rPr>
      </w:pPr>
      <w:r w:rsidRPr="003C1A74">
        <w:rPr>
          <w:rFonts w:ascii="Times New Roman" w:eastAsia="Times New Roman" w:hAnsi="Times New Roman" w:cs="Times New Roman"/>
          <w:lang w:val="en"/>
        </w:rPr>
        <w:t xml:space="preserve">(2) Any test or procedure listed in subpart I of this part for which compatible proficiency testing samples are not offered by a CMS-approved proficiency testing program. </w:t>
      </w:r>
    </w:p>
    <w:p w:rsidR="00C24835" w:rsidRPr="003C1A74" w:rsidRDefault="00C24835" w:rsidP="00C24835">
      <w:pPr>
        <w:pStyle w:val="NoSpacing"/>
        <w:numPr>
          <w:ilvl w:val="0"/>
          <w:numId w:val="26"/>
        </w:numPr>
        <w:tabs>
          <w:tab w:val="left" w:pos="-1170"/>
        </w:tabs>
        <w:spacing w:line="276" w:lineRule="auto"/>
        <w:rPr>
          <w:rFonts w:cs="Times New Roman"/>
        </w:rPr>
      </w:pPr>
      <w:r w:rsidRPr="003C1A74">
        <w:rPr>
          <w:rFonts w:cs="Times New Roman"/>
        </w:rPr>
        <w:t xml:space="preserve">All proficiency testing evaluations and verification activities must be documented.  </w:t>
      </w:r>
    </w:p>
    <w:p w:rsidR="003C1A74" w:rsidRPr="00392BAB" w:rsidRDefault="005C4DE8" w:rsidP="003C1A74">
      <w:pPr>
        <w:pStyle w:val="NoSpacing"/>
        <w:numPr>
          <w:ilvl w:val="0"/>
          <w:numId w:val="28"/>
        </w:numPr>
        <w:tabs>
          <w:tab w:val="left" w:pos="-1170"/>
        </w:tabs>
        <w:spacing w:line="276" w:lineRule="auto"/>
        <w:rPr>
          <w:rFonts w:cs="Times New Roman"/>
        </w:rPr>
      </w:pPr>
      <w:r w:rsidRPr="003C1A74">
        <w:rPr>
          <w:rFonts w:cs="Times New Roman"/>
        </w:rPr>
        <w:t>42 CFR 49.1236 refers to the</w:t>
      </w:r>
      <w:r w:rsidR="007174B7" w:rsidRPr="003C1A74">
        <w:rPr>
          <w:rFonts w:cs="Times New Roman"/>
        </w:rPr>
        <w:t xml:space="preserve"> Code of Federal Regulations, T</w:t>
      </w:r>
      <w:r w:rsidRPr="003C1A74">
        <w:rPr>
          <w:rFonts w:cs="Times New Roman"/>
        </w:rPr>
        <w:t xml:space="preserve">itle 42 </w:t>
      </w:r>
      <w:r w:rsidR="007174B7" w:rsidRPr="003C1A74">
        <w:rPr>
          <w:rFonts w:cs="Times New Roman"/>
        </w:rPr>
        <w:t xml:space="preserve">which </w:t>
      </w:r>
      <w:r w:rsidRPr="003C1A74">
        <w:rPr>
          <w:rFonts w:cs="Times New Roman"/>
        </w:rPr>
        <w:t xml:space="preserve">applies to public health.  Blood Bank is bound to regulations in Title 42 as well as Title 21 Food and Drugs.  </w:t>
      </w:r>
    </w:p>
    <w:p w:rsidR="005C4DE8" w:rsidRDefault="005C4DE8" w:rsidP="001627E4">
      <w:pPr>
        <w:pStyle w:val="NoSpacing"/>
        <w:numPr>
          <w:ilvl w:val="3"/>
          <w:numId w:val="30"/>
        </w:numPr>
        <w:tabs>
          <w:tab w:val="left" w:pos="-1170"/>
        </w:tabs>
        <w:spacing w:line="276" w:lineRule="auto"/>
        <w:rPr>
          <w:rFonts w:cs="Times New Roman"/>
          <w:b/>
        </w:rPr>
      </w:pPr>
      <w:r>
        <w:rPr>
          <w:rFonts w:cs="Times New Roman"/>
          <w:b/>
        </w:rPr>
        <w:t>Proficiency Testing for Facilities not Subject to US Regulation</w:t>
      </w:r>
    </w:p>
    <w:p w:rsidR="005C4DE8" w:rsidRDefault="005C4DE8" w:rsidP="001627E4">
      <w:pPr>
        <w:pStyle w:val="NoSpacing"/>
        <w:tabs>
          <w:tab w:val="left" w:pos="-1170"/>
        </w:tabs>
        <w:spacing w:line="276" w:lineRule="auto"/>
        <w:ind w:left="960"/>
        <w:rPr>
          <w:rFonts w:cs="Times New Roman"/>
        </w:rPr>
      </w:pPr>
      <w:r>
        <w:rPr>
          <w:rFonts w:cs="Times New Roman"/>
        </w:rPr>
        <w:t xml:space="preserve">Facilities not subject to US regulation shall participate in an external proficiency testing program, if available, for each </w:t>
      </w:r>
      <w:proofErr w:type="spellStart"/>
      <w:r>
        <w:rPr>
          <w:rFonts w:cs="Times New Roman"/>
        </w:rPr>
        <w:t>analyte</w:t>
      </w:r>
      <w:proofErr w:type="spellEnd"/>
      <w:r>
        <w:rPr>
          <w:rFonts w:cs="Times New Roman"/>
        </w:rPr>
        <w:t xml:space="preserve">.  </w:t>
      </w:r>
    </w:p>
    <w:p w:rsidR="001627E4" w:rsidRDefault="001627E4" w:rsidP="001627E4">
      <w:pPr>
        <w:pStyle w:val="NoSpacing"/>
        <w:numPr>
          <w:ilvl w:val="1"/>
          <w:numId w:val="27"/>
        </w:numPr>
        <w:tabs>
          <w:tab w:val="left" w:pos="-1170"/>
        </w:tabs>
        <w:spacing w:line="276" w:lineRule="auto"/>
        <w:rPr>
          <w:rFonts w:cs="Times New Roman"/>
        </w:rPr>
      </w:pPr>
      <w:r>
        <w:rPr>
          <w:rFonts w:cs="Times New Roman"/>
        </w:rPr>
        <w:t xml:space="preserve">This standard does not apply as the Blood Bank is subject to US regulation. </w:t>
      </w:r>
    </w:p>
    <w:p w:rsidR="007174B7" w:rsidRPr="00337D88" w:rsidRDefault="001627E4" w:rsidP="00337D88">
      <w:pPr>
        <w:pStyle w:val="NoSpacing"/>
        <w:numPr>
          <w:ilvl w:val="4"/>
          <w:numId w:val="30"/>
        </w:numPr>
        <w:tabs>
          <w:tab w:val="left" w:pos="-1170"/>
        </w:tabs>
        <w:spacing w:line="276" w:lineRule="auto"/>
        <w:rPr>
          <w:rFonts w:cs="Times New Roman"/>
        </w:rPr>
      </w:pPr>
      <w:r>
        <w:rPr>
          <w:rFonts w:cs="Times New Roman"/>
        </w:rPr>
        <w:t xml:space="preserve">When an external proficiency testing program is not available, there shall be a system for determining the accuracy and reliability of test results.  </w:t>
      </w:r>
    </w:p>
    <w:p w:rsidR="007174B7" w:rsidRPr="00392BAB" w:rsidRDefault="001627E4" w:rsidP="00392BAB">
      <w:pPr>
        <w:pStyle w:val="NoSpacing"/>
        <w:numPr>
          <w:ilvl w:val="4"/>
          <w:numId w:val="30"/>
        </w:numPr>
        <w:tabs>
          <w:tab w:val="left" w:pos="-1170"/>
        </w:tabs>
        <w:spacing w:line="276" w:lineRule="auto"/>
        <w:rPr>
          <w:rFonts w:cs="Times New Roman"/>
        </w:rPr>
      </w:pPr>
      <w:r>
        <w:rPr>
          <w:rFonts w:cs="Times New Roman"/>
        </w:rPr>
        <w:t xml:space="preserve">Proficiency testing shall include comparison of test results from an outside laboratory.  </w:t>
      </w:r>
      <w:r w:rsidR="00150913" w:rsidRPr="00392BAB">
        <w:rPr>
          <w:rFonts w:cs="Times New Roman"/>
        </w:rPr>
        <w:t xml:space="preserve">  </w:t>
      </w:r>
    </w:p>
    <w:p w:rsidR="001627E4" w:rsidRPr="001627E4" w:rsidRDefault="001627E4" w:rsidP="002A709C">
      <w:pPr>
        <w:pStyle w:val="NoSpacing"/>
        <w:tabs>
          <w:tab w:val="left" w:pos="-1170"/>
        </w:tabs>
        <w:spacing w:line="276" w:lineRule="auto"/>
        <w:ind w:left="360"/>
        <w:rPr>
          <w:rFonts w:cs="Times New Roman"/>
          <w:b/>
        </w:rPr>
      </w:pPr>
      <w:r w:rsidRPr="001627E4">
        <w:rPr>
          <w:rFonts w:cs="Times New Roman"/>
          <w:b/>
        </w:rPr>
        <w:t>5.1.3 Quality Control</w:t>
      </w:r>
    </w:p>
    <w:p w:rsidR="00392BAB" w:rsidRDefault="001627E4" w:rsidP="00392BAB">
      <w:pPr>
        <w:pStyle w:val="NoSpacing"/>
        <w:tabs>
          <w:tab w:val="left" w:pos="-1170"/>
        </w:tabs>
        <w:spacing w:line="276" w:lineRule="auto"/>
        <w:ind w:left="360"/>
        <w:rPr>
          <w:rFonts w:cs="Times New Roman"/>
        </w:rPr>
      </w:pPr>
      <w:r>
        <w:rPr>
          <w:rFonts w:cs="Times New Roman"/>
        </w:rPr>
        <w:t xml:space="preserve">A program of quality control shall be established that is sufficiently comprehensive to ensure that reagents, equipment, and methods perform as expected.  Chapter 9, Process Improvement </w:t>
      </w:r>
      <w:proofErr w:type="gramStart"/>
      <w:r>
        <w:rPr>
          <w:rFonts w:cs="Times New Roman"/>
        </w:rPr>
        <w:t>Through</w:t>
      </w:r>
      <w:proofErr w:type="gramEnd"/>
      <w:r>
        <w:rPr>
          <w:rFonts w:cs="Times New Roman"/>
        </w:rPr>
        <w:t xml:space="preserve"> Corrective and Preventive Action, applies.  </w:t>
      </w:r>
    </w:p>
    <w:p w:rsidR="001627E4" w:rsidRDefault="001627E4" w:rsidP="002A709C">
      <w:pPr>
        <w:pStyle w:val="NoSpacing"/>
        <w:tabs>
          <w:tab w:val="left" w:pos="-1170"/>
        </w:tabs>
        <w:spacing w:line="276" w:lineRule="auto"/>
        <w:ind w:left="720"/>
        <w:rPr>
          <w:rFonts w:cs="Times New Roman"/>
        </w:rPr>
      </w:pPr>
      <w:r w:rsidRPr="002A709C">
        <w:rPr>
          <w:rFonts w:cs="Times New Roman"/>
          <w:b/>
        </w:rPr>
        <w:t>5.1.3.1</w:t>
      </w:r>
      <w:r>
        <w:rPr>
          <w:rFonts w:cs="Times New Roman"/>
        </w:rPr>
        <w:t xml:space="preserve"> The validity of test results and methods and the acceptability of products or services provided shall be evaluated when quality control failures occur.  </w:t>
      </w:r>
    </w:p>
    <w:p w:rsidR="001627E4" w:rsidRPr="001768C7" w:rsidRDefault="001627E4" w:rsidP="001627E4">
      <w:pPr>
        <w:pStyle w:val="NoSpacing"/>
        <w:tabs>
          <w:tab w:val="left" w:pos="-1170"/>
        </w:tabs>
        <w:spacing w:line="276" w:lineRule="auto"/>
        <w:rPr>
          <w:rFonts w:cs="Times New Roman"/>
        </w:rPr>
      </w:pPr>
      <w:r>
        <w:rPr>
          <w:rFonts w:cs="Times New Roman"/>
        </w:rPr>
        <w:tab/>
      </w:r>
      <w:r w:rsidRPr="002A709C">
        <w:rPr>
          <w:rFonts w:cs="Times New Roman"/>
          <w:b/>
        </w:rPr>
        <w:t>5.1.3.2</w:t>
      </w:r>
      <w:r>
        <w:rPr>
          <w:rFonts w:cs="Times New Roman"/>
        </w:rPr>
        <w:t xml:space="preserve"> Quality control failures shall be investigated before release of test results, products, or services.  </w:t>
      </w:r>
    </w:p>
    <w:p w:rsidR="00C96B9E" w:rsidRDefault="00C96B9E" w:rsidP="00C96B9E">
      <w:pPr>
        <w:pStyle w:val="NoSpacing"/>
        <w:numPr>
          <w:ilvl w:val="1"/>
          <w:numId w:val="27"/>
        </w:numPr>
        <w:tabs>
          <w:tab w:val="left" w:pos="-1170"/>
        </w:tabs>
        <w:spacing w:line="276" w:lineRule="auto"/>
        <w:rPr>
          <w:rFonts w:cs="Times New Roman"/>
        </w:rPr>
      </w:pPr>
      <w:r>
        <w:rPr>
          <w:rFonts w:cs="Times New Roman"/>
        </w:rPr>
        <w:lastRenderedPageBreak/>
        <w:t xml:space="preserve">Transfusion Services QAQC policy area </w:t>
      </w:r>
      <w:r w:rsidR="009A2323">
        <w:rPr>
          <w:rFonts w:cs="Times New Roman"/>
        </w:rPr>
        <w:t xml:space="preserve">in </w:t>
      </w:r>
      <w:proofErr w:type="spellStart"/>
      <w:r w:rsidR="009A2323">
        <w:rPr>
          <w:rFonts w:cs="Times New Roman"/>
        </w:rPr>
        <w:t>PolicyStat</w:t>
      </w:r>
      <w:proofErr w:type="spellEnd"/>
      <w:r w:rsidR="009A2323">
        <w:rPr>
          <w:rFonts w:cs="Times New Roman"/>
        </w:rPr>
        <w:t xml:space="preserve"> </w:t>
      </w:r>
      <w:r>
        <w:rPr>
          <w:rFonts w:cs="Times New Roman"/>
        </w:rPr>
        <w:t xml:space="preserve">contains 31 policies that detail Blood Bank’s quality control/ quality assurance of reagents, equipment, and methods.   All reagent and equipment quality control is described within these policies as well as follow up actions for failed quality control and preventive maintenance.  BB Leadership is notified of any failures.  In most instances of failure, BB Leadership determines follow up actions.  Reagents that fail quality control are immediately removed from use and quarantined if necessary.  Equipment that fails quality control/preventive maintenance is also immediately taken out of use.  </w:t>
      </w:r>
    </w:p>
    <w:p w:rsidR="00023F8E" w:rsidRPr="000526B7" w:rsidRDefault="00023F8E" w:rsidP="000526B7">
      <w:pPr>
        <w:autoSpaceDE w:val="0"/>
        <w:autoSpaceDN w:val="0"/>
        <w:adjustRightInd w:val="0"/>
        <w:spacing w:after="0"/>
        <w:rPr>
          <w:rFonts w:ascii="Times New Roman" w:hAnsi="Times New Roman" w:cs="Times New Roman"/>
          <w:color w:val="7F7F7F" w:themeColor="text1" w:themeTint="80"/>
        </w:rPr>
      </w:pPr>
    </w:p>
    <w:p w:rsidR="001768C7" w:rsidRPr="00172D9A" w:rsidRDefault="001768C7" w:rsidP="00C17228">
      <w:pPr>
        <w:autoSpaceDE w:val="0"/>
        <w:autoSpaceDN w:val="0"/>
        <w:adjustRightInd w:val="0"/>
        <w:spacing w:after="0"/>
        <w:ind w:left="720"/>
        <w:rPr>
          <w:rFonts w:ascii="Times New Roman" w:hAnsi="Times New Roman" w:cs="Times New Roman"/>
          <w:color w:val="BFBFBF" w:themeColor="background1" w:themeShade="BF"/>
        </w:rPr>
      </w:pPr>
    </w:p>
    <w:p w:rsidR="00023F8E" w:rsidRPr="00172D9A" w:rsidRDefault="00023F8E" w:rsidP="00023F8E">
      <w:pPr>
        <w:pStyle w:val="NoSpacing"/>
        <w:tabs>
          <w:tab w:val="left" w:pos="540"/>
        </w:tabs>
        <w:spacing w:line="276" w:lineRule="auto"/>
        <w:rPr>
          <w:rFonts w:cs="Times New Roman"/>
        </w:rPr>
      </w:pPr>
      <w:r w:rsidRPr="00172D9A">
        <w:rPr>
          <w:rFonts w:cs="Times New Roman"/>
        </w:rPr>
        <w:t>The goal of the AABB Standards Chat is to increase staff awareness as to their purpose and how they impact the Blood Bank’s policies and procedures.  If you have a question about AABB standards, please see a member of BB Leadership.</w:t>
      </w:r>
    </w:p>
    <w:p w:rsidR="00381295" w:rsidRDefault="00023F8E" w:rsidP="00023F8E">
      <w:pPr>
        <w:tabs>
          <w:tab w:val="left" w:pos="8535"/>
        </w:tabs>
        <w:rPr>
          <w:rFonts w:ascii="Times New Roman" w:hAnsi="Times New Roman" w:cs="Times New Roman"/>
        </w:rPr>
      </w:pPr>
      <w:r w:rsidRPr="00172D9A">
        <w:rPr>
          <w:rFonts w:ascii="Times New Roman" w:hAnsi="Times New Roman" w:cs="Times New Roman"/>
        </w:rPr>
        <w:tab/>
      </w:r>
    </w:p>
    <w:p w:rsidR="00381295" w:rsidRPr="00381295" w:rsidRDefault="00381295" w:rsidP="00381295">
      <w:pPr>
        <w:rPr>
          <w:rFonts w:ascii="Times New Roman" w:hAnsi="Times New Roman" w:cs="Times New Roman"/>
        </w:rPr>
      </w:pPr>
    </w:p>
    <w:p w:rsidR="00023F8E" w:rsidRPr="00381295" w:rsidRDefault="00023F8E" w:rsidP="00381295">
      <w:pPr>
        <w:tabs>
          <w:tab w:val="left" w:pos="2595"/>
        </w:tabs>
        <w:rPr>
          <w:rFonts w:ascii="Times New Roman" w:hAnsi="Times New Roman" w:cs="Times New Roman"/>
        </w:rPr>
      </w:pPr>
    </w:p>
    <w:sectPr w:rsidR="00023F8E" w:rsidRPr="00381295" w:rsidSect="00AC18B8">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CE" w:rsidRDefault="00CA71CE" w:rsidP="00CA71CE">
      <w:pPr>
        <w:spacing w:after="0" w:line="240" w:lineRule="auto"/>
      </w:pPr>
      <w:r>
        <w:separator/>
      </w:r>
    </w:p>
  </w:endnote>
  <w:endnote w:type="continuationSeparator" w:id="0">
    <w:p w:rsidR="00CA71CE" w:rsidRDefault="00CA71CE" w:rsidP="00C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445167"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445167"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 xml:space="preserve">AABB Standards\AABB Standards </w:t>
    </w:r>
    <w:r w:rsidR="00A7446B">
      <w:rPr>
        <w:rFonts w:ascii="Times New Roman" w:hAnsi="Times New Roman" w:cs="Times New Roman"/>
        <w:sz w:val="16"/>
        <w:szCs w:val="16"/>
      </w:rPr>
      <w:t>14</w:t>
    </w:r>
    <w:r>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t xml:space="preserve">    CREATED: </w:t>
    </w:r>
    <w:r w:rsidR="00A7446B">
      <w:rPr>
        <w:rFonts w:ascii="Times New Roman" w:hAnsi="Times New Roman" w:cs="Times New Roman"/>
        <w:sz w:val="16"/>
        <w:szCs w:val="16"/>
      </w:rPr>
      <w:t>06/10</w:t>
    </w:r>
    <w:r w:rsidR="00B563BB">
      <w:rPr>
        <w:rFonts w:ascii="Times New Roman" w:hAnsi="Times New Roman" w:cs="Times New Roman"/>
        <w:sz w:val="16"/>
        <w:szCs w:val="16"/>
      </w:rPr>
      <w:t>2021</w:t>
    </w:r>
    <w:r>
      <w:rPr>
        <w:rFonts w:ascii="Times New Roman" w:hAnsi="Times New Roman" w:cs="Times New Roman"/>
        <w:sz w:val="16"/>
        <w:szCs w:val="16"/>
      </w:rPr>
      <w:t xml:space="preserve"> CS</w:t>
    </w:r>
    <w:r w:rsidR="00B563BB">
      <w:rPr>
        <w:rFonts w:ascii="Times New Roman" w:hAnsi="Times New Roman" w:cs="Times New Roman"/>
        <w:sz w:val="16"/>
        <w:szCs w:val="16"/>
      </w:rPr>
      <w:t xml:space="preserve">     </w:t>
    </w:r>
    <w:r w:rsidR="00A9687C">
      <w:rPr>
        <w:rFonts w:ascii="Times New Roman" w:hAnsi="Times New Roman" w:cs="Times New Roman"/>
        <w:sz w:val="16"/>
        <w:szCs w:val="16"/>
      </w:rPr>
      <w:t xml:space="preserve"> Effective: </w:t>
    </w:r>
    <w:r w:rsidR="008D0595">
      <w:rPr>
        <w:rFonts w:ascii="Times New Roman" w:hAnsi="Times New Roman" w:cs="Times New Roman"/>
        <w:sz w:val="16"/>
        <w:szCs w:val="16"/>
      </w:rPr>
      <w:t>6/18/2021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CE" w:rsidRDefault="00CA71CE" w:rsidP="00CA71CE">
      <w:pPr>
        <w:spacing w:after="0" w:line="240" w:lineRule="auto"/>
      </w:pPr>
      <w:r>
        <w:separator/>
      </w:r>
    </w:p>
  </w:footnote>
  <w:footnote w:type="continuationSeparator" w:id="0">
    <w:p w:rsidR="00CA71CE" w:rsidRDefault="00CA71CE" w:rsidP="00C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445167"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445167"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Pr>
        <w:rFonts w:ascii="Times New Roman" w:hAnsi="Times New Roman" w:cs="Times New Roman"/>
        <w:sz w:val="20"/>
      </w:rPr>
      <w:t>U</w:t>
    </w:r>
    <w:r w:rsidRPr="00D232AB">
      <w:rPr>
        <w:rFonts w:ascii="Times New Roman" w:hAnsi="Times New Roman" w:cs="Times New Roman"/>
        <w:sz w:val="20"/>
      </w:rPr>
      <w:t>ING EDUCATION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86"/>
      </v:shape>
    </w:pict>
  </w:numPicBullet>
  <w:abstractNum w:abstractNumId="0" w15:restartNumberingAfterBreak="0">
    <w:nsid w:val="002E0B31"/>
    <w:multiLevelType w:val="hybridMultilevel"/>
    <w:tmpl w:val="94805888"/>
    <w:lvl w:ilvl="0" w:tplc="04090001">
      <w:start w:val="1"/>
      <w:numFmt w:val="bullet"/>
      <w:lvlText w:val=""/>
      <w:lvlJc w:val="left"/>
      <w:pPr>
        <w:ind w:left="540" w:hanging="360"/>
      </w:pPr>
      <w:rPr>
        <w:rFonts w:ascii="Symbol" w:hAnsi="Symbol" w:hint="default"/>
        <w:color w:val="auto"/>
      </w:rPr>
    </w:lvl>
    <w:lvl w:ilvl="1" w:tplc="04090007">
      <w:start w:val="1"/>
      <w:numFmt w:val="bullet"/>
      <w:lvlText w:val=""/>
      <w:lvlPicBulletId w:val="0"/>
      <w:lvlJc w:val="left"/>
      <w:pPr>
        <w:ind w:left="450" w:hanging="360"/>
      </w:pPr>
      <w:rPr>
        <w:rFonts w:ascii="Symbol" w:hAnsi="Symbol" w:hint="default"/>
      </w:rPr>
    </w:lvl>
    <w:lvl w:ilvl="2" w:tplc="0409000B">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3510A4"/>
    <w:multiLevelType w:val="hybridMultilevel"/>
    <w:tmpl w:val="76AE8AFE"/>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FF5533"/>
    <w:multiLevelType w:val="hybridMultilevel"/>
    <w:tmpl w:val="DB8A0134"/>
    <w:lvl w:ilvl="0" w:tplc="04090007">
      <w:start w:val="1"/>
      <w:numFmt w:val="bullet"/>
      <w:lvlText w:val=""/>
      <w:lvlPicBulletId w:val="0"/>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526F53"/>
    <w:multiLevelType w:val="multilevel"/>
    <w:tmpl w:val="1C10DDC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915BDF"/>
    <w:multiLevelType w:val="hybridMultilevel"/>
    <w:tmpl w:val="9FFABE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519E"/>
    <w:multiLevelType w:val="hybridMultilevel"/>
    <w:tmpl w:val="2072210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F041AB"/>
    <w:multiLevelType w:val="hybridMultilevel"/>
    <w:tmpl w:val="CDB08876"/>
    <w:lvl w:ilvl="0" w:tplc="44642880">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07">
      <w:start w:val="1"/>
      <w:numFmt w:val="bullet"/>
      <w:lvlText w:val=""/>
      <w:lvlPicBulletId w:val="0"/>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91207"/>
    <w:multiLevelType w:val="hybridMultilevel"/>
    <w:tmpl w:val="807A38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171BEB"/>
    <w:multiLevelType w:val="hybridMultilevel"/>
    <w:tmpl w:val="49D4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318FD"/>
    <w:multiLevelType w:val="hybridMultilevel"/>
    <w:tmpl w:val="72662948"/>
    <w:lvl w:ilvl="0" w:tplc="04090007">
      <w:start w:val="1"/>
      <w:numFmt w:val="bullet"/>
      <w:lvlText w:val=""/>
      <w:lvlPicBulletId w:val="0"/>
      <w:lvlJc w:val="left"/>
      <w:pPr>
        <w:ind w:left="990" w:hanging="360"/>
      </w:pPr>
      <w:rPr>
        <w:rFonts w:ascii="Symbol" w:hAnsi="Symbol" w:hint="default"/>
      </w:rPr>
    </w:lvl>
    <w:lvl w:ilvl="1" w:tplc="04090007">
      <w:start w:val="1"/>
      <w:numFmt w:val="bullet"/>
      <w:lvlText w:val=""/>
      <w:lvlPicBulletId w:val="0"/>
      <w:lvlJc w:val="left"/>
      <w:pPr>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4383F68"/>
    <w:multiLevelType w:val="hybridMultilevel"/>
    <w:tmpl w:val="5B740020"/>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C0A3285"/>
    <w:multiLevelType w:val="hybridMultilevel"/>
    <w:tmpl w:val="C46E37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D7BF2"/>
    <w:multiLevelType w:val="hybridMultilevel"/>
    <w:tmpl w:val="E526A282"/>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4C2820"/>
    <w:multiLevelType w:val="multilevel"/>
    <w:tmpl w:val="2EF03890"/>
    <w:lvl w:ilvl="0">
      <w:start w:val="5"/>
      <w:numFmt w:val="decimal"/>
      <w:lvlText w:val="%1"/>
      <w:lvlJc w:val="left"/>
      <w:pPr>
        <w:ind w:left="645" w:hanging="645"/>
      </w:pPr>
      <w:rPr>
        <w:rFonts w:hint="default"/>
      </w:rPr>
    </w:lvl>
    <w:lvl w:ilvl="1">
      <w:start w:val="1"/>
      <w:numFmt w:val="decimal"/>
      <w:lvlText w:val="%1.%2"/>
      <w:lvlJc w:val="left"/>
      <w:pPr>
        <w:ind w:left="965" w:hanging="645"/>
      </w:pPr>
      <w:rPr>
        <w:rFonts w:hint="default"/>
      </w:rPr>
    </w:lvl>
    <w:lvl w:ilvl="2">
      <w:start w:val="2"/>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b/>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000" w:hanging="1440"/>
      </w:pPr>
      <w:rPr>
        <w:rFonts w:hint="default"/>
      </w:rPr>
    </w:lvl>
  </w:abstractNum>
  <w:abstractNum w:abstractNumId="14" w15:restartNumberingAfterBreak="0">
    <w:nsid w:val="3CF83524"/>
    <w:multiLevelType w:val="hybridMultilevel"/>
    <w:tmpl w:val="6AE423E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E1563"/>
    <w:multiLevelType w:val="hybridMultilevel"/>
    <w:tmpl w:val="3100167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4B2307"/>
    <w:multiLevelType w:val="hybridMultilevel"/>
    <w:tmpl w:val="DBD64AB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E01738"/>
    <w:multiLevelType w:val="hybridMultilevel"/>
    <w:tmpl w:val="102259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A15C4"/>
    <w:multiLevelType w:val="hybridMultilevel"/>
    <w:tmpl w:val="902A42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DD79C4"/>
    <w:multiLevelType w:val="multilevel"/>
    <w:tmpl w:val="2E9684CA"/>
    <w:lvl w:ilvl="0">
      <w:start w:val="1"/>
      <w:numFmt w:val="bullet"/>
      <w:lvlText w:val=""/>
      <w:lvlPicBulletId w:val="0"/>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B646F52"/>
    <w:multiLevelType w:val="multilevel"/>
    <w:tmpl w:val="B9D82DB6"/>
    <w:lvl w:ilvl="0">
      <w:start w:val="1"/>
      <w:numFmt w:val="bullet"/>
      <w:lvlText w:val=""/>
      <w:lvlPicBulletId w:val="0"/>
      <w:lvlJc w:val="left"/>
      <w:pPr>
        <w:ind w:left="72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1" w15:restartNumberingAfterBreak="0">
    <w:nsid w:val="4EB95239"/>
    <w:multiLevelType w:val="hybridMultilevel"/>
    <w:tmpl w:val="34C6E9E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C61794"/>
    <w:multiLevelType w:val="hybridMultilevel"/>
    <w:tmpl w:val="7E76FA9C"/>
    <w:lvl w:ilvl="0" w:tplc="04090007">
      <w:start w:val="1"/>
      <w:numFmt w:val="bullet"/>
      <w:lvlText w:val=""/>
      <w:lvlPicBulletId w:val="0"/>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0D47EF"/>
    <w:multiLevelType w:val="multilevel"/>
    <w:tmpl w:val="CFA68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215558"/>
    <w:multiLevelType w:val="hybridMultilevel"/>
    <w:tmpl w:val="A126A7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E1805"/>
    <w:multiLevelType w:val="hybridMultilevel"/>
    <w:tmpl w:val="7D1C1B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F32EA"/>
    <w:multiLevelType w:val="hybridMultilevel"/>
    <w:tmpl w:val="4BDA56A4"/>
    <w:lvl w:ilvl="0" w:tplc="04090007">
      <w:start w:val="1"/>
      <w:numFmt w:val="bullet"/>
      <w:lvlText w:val=""/>
      <w:lvlPicBulletId w:val="0"/>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7" w15:restartNumberingAfterBreak="0">
    <w:nsid w:val="6B8112E9"/>
    <w:multiLevelType w:val="hybridMultilevel"/>
    <w:tmpl w:val="159A3B3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F431AF9"/>
    <w:multiLevelType w:val="multilevel"/>
    <w:tmpl w:val="F9F268B4"/>
    <w:lvl w:ilvl="0">
      <w:start w:val="5"/>
      <w:numFmt w:val="decimal"/>
      <w:lvlText w:val="%1"/>
      <w:lvlJc w:val="left"/>
      <w:pPr>
        <w:ind w:left="645" w:hanging="645"/>
      </w:pPr>
      <w:rPr>
        <w:rFonts w:hint="default"/>
      </w:rPr>
    </w:lvl>
    <w:lvl w:ilvl="1">
      <w:start w:val="1"/>
      <w:numFmt w:val="decimal"/>
      <w:lvlText w:val="%1.%2"/>
      <w:lvlJc w:val="left"/>
      <w:pPr>
        <w:ind w:left="885" w:hanging="64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73BC52AE"/>
    <w:multiLevelType w:val="hybridMultilevel"/>
    <w:tmpl w:val="514E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0672C"/>
    <w:multiLevelType w:val="hybridMultilevel"/>
    <w:tmpl w:val="C6960A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9"/>
  </w:num>
  <w:num w:numId="5">
    <w:abstractNumId w:val="1"/>
  </w:num>
  <w:num w:numId="6">
    <w:abstractNumId w:val="17"/>
  </w:num>
  <w:num w:numId="7">
    <w:abstractNumId w:val="20"/>
  </w:num>
  <w:num w:numId="8">
    <w:abstractNumId w:val="12"/>
  </w:num>
  <w:num w:numId="9">
    <w:abstractNumId w:val="18"/>
  </w:num>
  <w:num w:numId="10">
    <w:abstractNumId w:val="24"/>
  </w:num>
  <w:num w:numId="11">
    <w:abstractNumId w:val="5"/>
  </w:num>
  <w:num w:numId="12">
    <w:abstractNumId w:val="11"/>
  </w:num>
  <w:num w:numId="13">
    <w:abstractNumId w:val="23"/>
  </w:num>
  <w:num w:numId="14">
    <w:abstractNumId w:val="22"/>
  </w:num>
  <w:num w:numId="15">
    <w:abstractNumId w:val="3"/>
  </w:num>
  <w:num w:numId="16">
    <w:abstractNumId w:val="8"/>
  </w:num>
  <w:num w:numId="17">
    <w:abstractNumId w:val="29"/>
  </w:num>
  <w:num w:numId="18">
    <w:abstractNumId w:val="25"/>
  </w:num>
  <w:num w:numId="19">
    <w:abstractNumId w:val="10"/>
  </w:num>
  <w:num w:numId="20">
    <w:abstractNumId w:val="30"/>
  </w:num>
  <w:num w:numId="21">
    <w:abstractNumId w:val="4"/>
  </w:num>
  <w:num w:numId="22">
    <w:abstractNumId w:val="16"/>
  </w:num>
  <w:num w:numId="23">
    <w:abstractNumId w:val="21"/>
  </w:num>
  <w:num w:numId="24">
    <w:abstractNumId w:val="15"/>
  </w:num>
  <w:num w:numId="25">
    <w:abstractNumId w:val="7"/>
  </w:num>
  <w:num w:numId="26">
    <w:abstractNumId w:val="6"/>
  </w:num>
  <w:num w:numId="27">
    <w:abstractNumId w:val="2"/>
  </w:num>
  <w:num w:numId="28">
    <w:abstractNumId w:val="27"/>
  </w:num>
  <w:num w:numId="29">
    <w:abstractNumId w:val="28"/>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E"/>
    <w:rsid w:val="00023F8E"/>
    <w:rsid w:val="000526B7"/>
    <w:rsid w:val="00055942"/>
    <w:rsid w:val="0006173D"/>
    <w:rsid w:val="00073700"/>
    <w:rsid w:val="00090C7E"/>
    <w:rsid w:val="000D0856"/>
    <w:rsid w:val="000F0192"/>
    <w:rsid w:val="000F0B9D"/>
    <w:rsid w:val="00143F0A"/>
    <w:rsid w:val="00150913"/>
    <w:rsid w:val="001627E4"/>
    <w:rsid w:val="00172D9A"/>
    <w:rsid w:val="001768C7"/>
    <w:rsid w:val="00177F7C"/>
    <w:rsid w:val="001A6550"/>
    <w:rsid w:val="001B79AA"/>
    <w:rsid w:val="001C03EE"/>
    <w:rsid w:val="001E1733"/>
    <w:rsid w:val="00214C5C"/>
    <w:rsid w:val="002A22C2"/>
    <w:rsid w:val="002A709C"/>
    <w:rsid w:val="002B0F4A"/>
    <w:rsid w:val="002C246E"/>
    <w:rsid w:val="002D1911"/>
    <w:rsid w:val="002D3B40"/>
    <w:rsid w:val="002E23A4"/>
    <w:rsid w:val="003020C9"/>
    <w:rsid w:val="00302AB1"/>
    <w:rsid w:val="00337D88"/>
    <w:rsid w:val="00340751"/>
    <w:rsid w:val="0034150E"/>
    <w:rsid w:val="0035314D"/>
    <w:rsid w:val="003562AD"/>
    <w:rsid w:val="00381295"/>
    <w:rsid w:val="00392BAB"/>
    <w:rsid w:val="003C1A74"/>
    <w:rsid w:val="003C1F15"/>
    <w:rsid w:val="00400112"/>
    <w:rsid w:val="00445167"/>
    <w:rsid w:val="00463299"/>
    <w:rsid w:val="004B3DAB"/>
    <w:rsid w:val="004C4C36"/>
    <w:rsid w:val="004F795E"/>
    <w:rsid w:val="00516A58"/>
    <w:rsid w:val="005C4DE8"/>
    <w:rsid w:val="005D08E5"/>
    <w:rsid w:val="005F0ECF"/>
    <w:rsid w:val="00610505"/>
    <w:rsid w:val="006A1550"/>
    <w:rsid w:val="007174B7"/>
    <w:rsid w:val="00744560"/>
    <w:rsid w:val="007770B8"/>
    <w:rsid w:val="007830F0"/>
    <w:rsid w:val="007A78DE"/>
    <w:rsid w:val="007C09F6"/>
    <w:rsid w:val="0083597B"/>
    <w:rsid w:val="00844A31"/>
    <w:rsid w:val="00852BE4"/>
    <w:rsid w:val="00894EE6"/>
    <w:rsid w:val="008D0595"/>
    <w:rsid w:val="008D74FC"/>
    <w:rsid w:val="008F7B88"/>
    <w:rsid w:val="00905BF1"/>
    <w:rsid w:val="00916260"/>
    <w:rsid w:val="009A2323"/>
    <w:rsid w:val="009C46ED"/>
    <w:rsid w:val="009E218F"/>
    <w:rsid w:val="00A72593"/>
    <w:rsid w:val="00A7446B"/>
    <w:rsid w:val="00A9687C"/>
    <w:rsid w:val="00AB5594"/>
    <w:rsid w:val="00AD0CDB"/>
    <w:rsid w:val="00B113B1"/>
    <w:rsid w:val="00B563BB"/>
    <w:rsid w:val="00B6001D"/>
    <w:rsid w:val="00B74A22"/>
    <w:rsid w:val="00BE1362"/>
    <w:rsid w:val="00BE3DDA"/>
    <w:rsid w:val="00C022F1"/>
    <w:rsid w:val="00C17228"/>
    <w:rsid w:val="00C24835"/>
    <w:rsid w:val="00C468C1"/>
    <w:rsid w:val="00C70758"/>
    <w:rsid w:val="00C96B9E"/>
    <w:rsid w:val="00CA5B5C"/>
    <w:rsid w:val="00CA71CE"/>
    <w:rsid w:val="00CD5C82"/>
    <w:rsid w:val="00D6069C"/>
    <w:rsid w:val="00DA66BB"/>
    <w:rsid w:val="00DE4C30"/>
    <w:rsid w:val="00E31516"/>
    <w:rsid w:val="00E46BAC"/>
    <w:rsid w:val="00EB1272"/>
    <w:rsid w:val="00EC3564"/>
    <w:rsid w:val="00ED03AA"/>
    <w:rsid w:val="00EF0B7C"/>
    <w:rsid w:val="00F351CF"/>
    <w:rsid w:val="00F86E8B"/>
    <w:rsid w:val="00F977A0"/>
    <w:rsid w:val="00FC5062"/>
    <w:rsid w:val="00FD657F"/>
    <w:rsid w:val="00FF68BF"/>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F719"/>
  <w15:chartTrackingRefBased/>
  <w15:docId w15:val="{4D3171F3-C5A2-4EFD-8A26-83D1B16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8E"/>
  </w:style>
  <w:style w:type="paragraph" w:styleId="Footer">
    <w:name w:val="footer"/>
    <w:basedOn w:val="Normal"/>
    <w:link w:val="FooterChar"/>
    <w:uiPriority w:val="99"/>
    <w:unhideWhenUsed/>
    <w:rsid w:val="00023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8E"/>
  </w:style>
  <w:style w:type="paragraph" w:styleId="ListParagraph">
    <w:name w:val="List Paragraph"/>
    <w:basedOn w:val="Normal"/>
    <w:uiPriority w:val="34"/>
    <w:qFormat/>
    <w:rsid w:val="00023F8E"/>
    <w:pPr>
      <w:ind w:left="720"/>
      <w:contextualSpacing/>
    </w:pPr>
  </w:style>
  <w:style w:type="paragraph" w:styleId="NoSpacing">
    <w:name w:val="No Spacing"/>
    <w:uiPriority w:val="1"/>
    <w:qFormat/>
    <w:rsid w:val="00023F8E"/>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445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536398">
      <w:bodyDiv w:val="1"/>
      <w:marLeft w:val="0"/>
      <w:marRight w:val="0"/>
      <w:marTop w:val="30"/>
      <w:marBottom w:val="750"/>
      <w:divBdr>
        <w:top w:val="none" w:sz="0" w:space="0" w:color="auto"/>
        <w:left w:val="none" w:sz="0" w:space="0" w:color="auto"/>
        <w:bottom w:val="none" w:sz="0" w:space="0" w:color="auto"/>
        <w:right w:val="none" w:sz="0" w:space="0" w:color="auto"/>
      </w:divBdr>
      <w:divsChild>
        <w:div w:id="735010731">
          <w:marLeft w:val="0"/>
          <w:marRight w:val="0"/>
          <w:marTop w:val="0"/>
          <w:marBottom w:val="0"/>
          <w:divBdr>
            <w:top w:val="single" w:sz="36" w:space="0" w:color="FFFFFF"/>
            <w:left w:val="none" w:sz="0" w:space="0" w:color="auto"/>
            <w:bottom w:val="none" w:sz="0" w:space="0" w:color="auto"/>
            <w:right w:val="none" w:sz="0" w:space="0" w:color="auto"/>
          </w:divBdr>
          <w:divsChild>
            <w:div w:id="148238421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Froedtert Health</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Sorum, Cary A</cp:lastModifiedBy>
  <cp:revision>7</cp:revision>
  <cp:lastPrinted>2021-06-11T03:01:00Z</cp:lastPrinted>
  <dcterms:created xsi:type="dcterms:W3CDTF">2021-06-10T21:22:00Z</dcterms:created>
  <dcterms:modified xsi:type="dcterms:W3CDTF">2021-06-18T23:00:00Z</dcterms:modified>
</cp:coreProperties>
</file>