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8E" w:rsidRPr="0060013C" w:rsidRDefault="001E451D" w:rsidP="001E451D">
      <w:pPr>
        <w:jc w:val="center"/>
        <w:rPr>
          <w:b/>
          <w:sz w:val="24"/>
          <w:szCs w:val="24"/>
        </w:rPr>
      </w:pPr>
      <w:r w:rsidRPr="0060013C">
        <w:rPr>
          <w:b/>
          <w:sz w:val="24"/>
          <w:szCs w:val="24"/>
        </w:rPr>
        <w:t>Cord Blood Testing in GEL</w:t>
      </w:r>
    </w:p>
    <w:p w:rsidR="001E451D" w:rsidRPr="0060013C" w:rsidRDefault="001E451D" w:rsidP="001E451D">
      <w:pPr>
        <w:jc w:val="center"/>
        <w:rPr>
          <w:sz w:val="24"/>
          <w:szCs w:val="24"/>
        </w:rPr>
      </w:pPr>
    </w:p>
    <w:p w:rsidR="00A94D2D" w:rsidRPr="0060013C" w:rsidRDefault="001E451D" w:rsidP="001E451D">
      <w:pPr>
        <w:rPr>
          <w:sz w:val="24"/>
          <w:szCs w:val="24"/>
        </w:rPr>
      </w:pPr>
      <w:r w:rsidRPr="0060013C">
        <w:rPr>
          <w:sz w:val="24"/>
          <w:szCs w:val="24"/>
        </w:rPr>
        <w:t xml:space="preserve">When we initially implemented Gel testing, interference with Wharton’s Jelly in cord </w:t>
      </w:r>
      <w:r w:rsidR="00A94D2D" w:rsidRPr="0060013C">
        <w:rPr>
          <w:sz w:val="24"/>
          <w:szCs w:val="24"/>
        </w:rPr>
        <w:t>blood specimens</w:t>
      </w:r>
      <w:r w:rsidRPr="0060013C">
        <w:rPr>
          <w:sz w:val="24"/>
          <w:szCs w:val="24"/>
        </w:rPr>
        <w:t xml:space="preserve"> caused discrepant results.  </w:t>
      </w:r>
      <w:r w:rsidR="00A94D2D" w:rsidRPr="0060013C">
        <w:rPr>
          <w:sz w:val="24"/>
          <w:szCs w:val="24"/>
        </w:rPr>
        <w:t>At the time the decision was made to continue performing tube testing on cord blood specimens.</w:t>
      </w:r>
    </w:p>
    <w:p w:rsidR="00A94D2D" w:rsidRPr="0060013C" w:rsidRDefault="00A94D2D" w:rsidP="001E451D">
      <w:pPr>
        <w:rPr>
          <w:sz w:val="24"/>
          <w:szCs w:val="24"/>
        </w:rPr>
      </w:pPr>
    </w:p>
    <w:p w:rsidR="0004123A" w:rsidRPr="0060013C" w:rsidRDefault="001E451D" w:rsidP="001E451D">
      <w:pPr>
        <w:rPr>
          <w:sz w:val="24"/>
          <w:szCs w:val="24"/>
        </w:rPr>
      </w:pPr>
      <w:r w:rsidRPr="0060013C">
        <w:rPr>
          <w:sz w:val="24"/>
          <w:szCs w:val="24"/>
        </w:rPr>
        <w:t>L&amp;D’s transition</w:t>
      </w:r>
      <w:r w:rsidR="00A94D2D" w:rsidRPr="0060013C">
        <w:rPr>
          <w:sz w:val="24"/>
          <w:szCs w:val="24"/>
        </w:rPr>
        <w:t xml:space="preserve"> from collecting</w:t>
      </w:r>
      <w:r w:rsidRPr="0060013C">
        <w:rPr>
          <w:sz w:val="24"/>
          <w:szCs w:val="24"/>
        </w:rPr>
        <w:t xml:space="preserve"> cord blood specimens in red top tubes to lavender top (EDTA) tubes </w:t>
      </w:r>
      <w:r w:rsidR="00A94D2D" w:rsidRPr="0060013C">
        <w:rPr>
          <w:sz w:val="24"/>
          <w:szCs w:val="24"/>
        </w:rPr>
        <w:t xml:space="preserve">has </w:t>
      </w:r>
      <w:r w:rsidRPr="0060013C">
        <w:rPr>
          <w:sz w:val="24"/>
          <w:szCs w:val="24"/>
        </w:rPr>
        <w:t>caused us to reevaluate our cord blood testing policy</w:t>
      </w:r>
      <w:r w:rsidR="0004123A" w:rsidRPr="0060013C">
        <w:rPr>
          <w:sz w:val="24"/>
          <w:szCs w:val="24"/>
        </w:rPr>
        <w:t xml:space="preserve">.  </w:t>
      </w:r>
    </w:p>
    <w:p w:rsidR="0004123A" w:rsidRPr="0060013C" w:rsidRDefault="0004123A" w:rsidP="001E451D">
      <w:pPr>
        <w:rPr>
          <w:sz w:val="24"/>
          <w:szCs w:val="24"/>
        </w:rPr>
      </w:pPr>
    </w:p>
    <w:p w:rsidR="001E451D" w:rsidRPr="0060013C" w:rsidRDefault="0004123A" w:rsidP="001E451D">
      <w:pPr>
        <w:rPr>
          <w:sz w:val="24"/>
          <w:szCs w:val="24"/>
        </w:rPr>
      </w:pPr>
      <w:r w:rsidRPr="0060013C">
        <w:rPr>
          <w:sz w:val="24"/>
          <w:szCs w:val="24"/>
        </w:rPr>
        <w:t>Our goal has always been to simplify and streamline our policies.  Having as many tests as possible using the Gel technology is consistent with that goal. Therefore we will be switching to cord blood Gel testing starting on Monday July 20, 2015.</w:t>
      </w:r>
    </w:p>
    <w:p w:rsidR="0004123A" w:rsidRDefault="0004123A" w:rsidP="001E451D">
      <w:pPr>
        <w:rPr>
          <w:sz w:val="24"/>
          <w:szCs w:val="24"/>
        </w:rPr>
      </w:pPr>
    </w:p>
    <w:p w:rsidR="000A03F4" w:rsidRDefault="000A03F4" w:rsidP="001E451D">
      <w:pPr>
        <w:rPr>
          <w:sz w:val="24"/>
          <w:szCs w:val="24"/>
        </w:rPr>
      </w:pPr>
      <w:r>
        <w:rPr>
          <w:sz w:val="24"/>
          <w:szCs w:val="24"/>
        </w:rPr>
        <w:t>Read the Newborn Testing SOP starting on the next page.</w:t>
      </w:r>
    </w:p>
    <w:p w:rsidR="000A03F4" w:rsidRDefault="000A03F4" w:rsidP="001E451D">
      <w:pPr>
        <w:rPr>
          <w:sz w:val="24"/>
          <w:szCs w:val="24"/>
        </w:rPr>
      </w:pPr>
    </w:p>
    <w:p w:rsidR="000A03F4" w:rsidRDefault="000A03F4">
      <w:pPr>
        <w:rPr>
          <w:sz w:val="24"/>
          <w:szCs w:val="24"/>
        </w:rPr>
      </w:pPr>
      <w:r>
        <w:rPr>
          <w:sz w:val="24"/>
          <w:szCs w:val="24"/>
        </w:rPr>
        <w:br w:type="page"/>
      </w:r>
    </w:p>
    <w:p w:rsidR="000A03F4" w:rsidRPr="000E25BA" w:rsidRDefault="000A03F4" w:rsidP="000A03F4">
      <w:pPr>
        <w:jc w:val="center"/>
        <w:rPr>
          <w:sz w:val="16"/>
          <w:szCs w:val="16"/>
        </w:rPr>
      </w:pPr>
      <w:bookmarkStart w:id="0" w:name="_Toc516033280"/>
      <w:bookmarkStart w:id="1" w:name="_Toc385236139"/>
      <w:bookmarkStart w:id="2" w:name="NewbornTesting"/>
      <w:r w:rsidRPr="000E25BA">
        <w:rPr>
          <w:rFonts w:cs="Arial"/>
          <w:noProof/>
          <w:sz w:val="16"/>
          <w:szCs w:val="16"/>
        </w:rPr>
        <w:lastRenderedPageBreak/>
        <w:drawing>
          <wp:anchor distT="0" distB="0" distL="114300" distR="114300" simplePos="0" relativeHeight="251661312" behindDoc="1" locked="0" layoutInCell="1" allowOverlap="1">
            <wp:simplePos x="0" y="0"/>
            <wp:positionH relativeFrom="column">
              <wp:posOffset>-60463</wp:posOffset>
            </wp:positionH>
            <wp:positionV relativeFrom="paragraph">
              <wp:posOffset>-111152</wp:posOffset>
            </wp:positionV>
            <wp:extent cx="853053" cy="351182"/>
            <wp:effectExtent l="19050" t="0" r="4197" b="0"/>
            <wp:wrapNone/>
            <wp:docPr id="2"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5" cstate="print"/>
                    <a:srcRect/>
                    <a:stretch>
                      <a:fillRect/>
                    </a:stretch>
                  </pic:blipFill>
                  <pic:spPr bwMode="auto">
                    <a:xfrm>
                      <a:off x="0" y="0"/>
                      <a:ext cx="853053" cy="351182"/>
                    </a:xfrm>
                    <a:prstGeom prst="rect">
                      <a:avLst/>
                    </a:prstGeom>
                    <a:noFill/>
                    <a:ln w="9525">
                      <a:noFill/>
                      <a:miter lim="800000"/>
                      <a:headEnd/>
                      <a:tailEnd/>
                    </a:ln>
                  </pic:spPr>
                </pic:pic>
              </a:graphicData>
            </a:graphic>
          </wp:anchor>
        </w:drawing>
      </w:r>
      <w:r w:rsidRPr="000E25BA">
        <w:rPr>
          <w:sz w:val="16"/>
          <w:szCs w:val="16"/>
        </w:rPr>
        <w:t>C</w:t>
      </w:r>
      <w:r>
        <w:rPr>
          <w:sz w:val="16"/>
          <w:szCs w:val="16"/>
        </w:rPr>
        <w:t>linical Laboratory – Policy and Procedure</w:t>
      </w:r>
    </w:p>
    <w:p w:rsidR="000A03F4" w:rsidRDefault="000A03F4" w:rsidP="000A03F4">
      <w:pPr>
        <w:pStyle w:val="Heading1"/>
      </w:pPr>
    </w:p>
    <w:p w:rsidR="000A03F4" w:rsidRDefault="000A03F4" w:rsidP="000A03F4">
      <w:pPr>
        <w:pStyle w:val="Heading1"/>
        <w:jc w:val="center"/>
      </w:pPr>
      <w:r>
        <w:t>Newborn</w:t>
      </w:r>
      <w:r>
        <w:fldChar w:fldCharType="begin"/>
      </w:r>
      <w:r>
        <w:instrText xml:space="preserve"> XE "Newborn:Testing" </w:instrText>
      </w:r>
      <w:r>
        <w:fldChar w:fldCharType="end"/>
      </w:r>
      <w:r>
        <w:t xml:space="preserve"> Testing</w:t>
      </w:r>
      <w:bookmarkEnd w:id="0"/>
      <w:bookmarkEnd w:id="1"/>
    </w:p>
    <w:bookmarkEnd w:id="2"/>
    <w:p w:rsidR="000A03F4" w:rsidRDefault="000A03F4" w:rsidP="000A03F4">
      <w:pPr>
        <w:pStyle w:val="Heading2"/>
        <w:ind w:left="360" w:hanging="360"/>
      </w:pPr>
      <w:r>
        <w:t xml:space="preserve">Principle:   </w:t>
      </w:r>
    </w:p>
    <w:p w:rsidR="000A03F4" w:rsidRDefault="000A03F4" w:rsidP="000A03F4">
      <w:r w:rsidRPr="00D21B9B">
        <w:t xml:space="preserve">Testing of newborns (patients less than 4 months of age) is primarily used to determine </w:t>
      </w:r>
      <w:proofErr w:type="spellStart"/>
      <w:r w:rsidRPr="00D21B9B">
        <w:t>Rh</w:t>
      </w:r>
      <w:proofErr w:type="spellEnd"/>
      <w:r w:rsidRPr="00D21B9B">
        <w:t xml:space="preserve"> immune globulin (</w:t>
      </w:r>
      <w:proofErr w:type="spellStart"/>
      <w:r w:rsidRPr="00D21B9B">
        <w:t>RhIG</w:t>
      </w:r>
      <w:proofErr w:type="spellEnd"/>
      <w:r w:rsidRPr="00D21B9B">
        <w:t>)</w:t>
      </w:r>
      <w:r w:rsidRPr="00D21B9B">
        <w:fldChar w:fldCharType="begin"/>
      </w:r>
      <w:r w:rsidRPr="00D21B9B">
        <w:instrText xml:space="preserve"> XE "Rh immune globulin (RhIG):Newborn Testing" </w:instrText>
      </w:r>
      <w:r w:rsidRPr="00D21B9B">
        <w:fldChar w:fldCharType="end"/>
      </w:r>
      <w:r w:rsidRPr="00D21B9B">
        <w:t xml:space="preserve"> candidacy of the newborn's mother.  Results can also identify and/or aid the newborn's clinician in resolving clinical problems with the newborn.  </w:t>
      </w:r>
    </w:p>
    <w:p w:rsidR="000A03F4" w:rsidRDefault="000A03F4" w:rsidP="000A03F4">
      <w:pPr>
        <w:pStyle w:val="Heading2"/>
        <w:spacing w:before="100" w:beforeAutospacing="1"/>
        <w:ind w:left="360" w:hanging="360"/>
      </w:pPr>
      <w:r>
        <w:t>Preparation:</w:t>
      </w:r>
      <w:r>
        <w:tab/>
      </w:r>
    </w:p>
    <w:p w:rsidR="000A03F4" w:rsidRDefault="000A03F4" w:rsidP="000A03F4">
      <w:r>
        <w:t>Refer to the following SOPs for materials list, specimen requirements, reading and grading test results, and other test considerations:</w:t>
      </w:r>
    </w:p>
    <w:p w:rsidR="000A03F4" w:rsidRDefault="000A03F4" w:rsidP="000A03F4"/>
    <w:p w:rsidR="000A03F4" w:rsidRPr="00457CC3" w:rsidRDefault="000A03F4" w:rsidP="000A03F4">
      <w:pPr>
        <w:numPr>
          <w:ilvl w:val="0"/>
          <w:numId w:val="4"/>
        </w:numPr>
        <w:tabs>
          <w:tab w:val="clear" w:pos="360"/>
        </w:tabs>
        <w:rPr>
          <w:color w:val="0000CC"/>
          <w:u w:val="single"/>
        </w:rPr>
      </w:pPr>
      <w:bookmarkStart w:id="3" w:name="_Hlt39909662"/>
      <w:r w:rsidRPr="00457CC3">
        <w:rPr>
          <w:color w:val="0000CC"/>
          <w:u w:val="single"/>
        </w:rPr>
        <w:t>Test Standards</w:t>
      </w:r>
      <w:bookmarkEnd w:id="3"/>
    </w:p>
    <w:p w:rsidR="000A03F4" w:rsidRDefault="000A03F4" w:rsidP="000A03F4">
      <w:pPr>
        <w:numPr>
          <w:ilvl w:val="0"/>
          <w:numId w:val="4"/>
        </w:numPr>
        <w:tabs>
          <w:tab w:val="clear" w:pos="360"/>
        </w:tabs>
        <w:rPr>
          <w:color w:val="0000CC"/>
          <w:u w:val="single"/>
        </w:rPr>
      </w:pPr>
      <w:r w:rsidRPr="00457CC3">
        <w:rPr>
          <w:color w:val="0000CC"/>
          <w:u w:val="single"/>
        </w:rPr>
        <w:t>Patient Specimens</w:t>
      </w:r>
    </w:p>
    <w:p w:rsidR="000A03F4" w:rsidRPr="00AC5E24" w:rsidRDefault="000A03F4" w:rsidP="000A03F4">
      <w:pPr>
        <w:numPr>
          <w:ilvl w:val="0"/>
          <w:numId w:val="4"/>
        </w:numPr>
        <w:tabs>
          <w:tab w:val="clear" w:pos="360"/>
        </w:tabs>
        <w:rPr>
          <w:color w:val="FF0000"/>
          <w:u w:val="single"/>
        </w:rPr>
      </w:pPr>
      <w:r w:rsidRPr="00AC5E24">
        <w:rPr>
          <w:color w:val="FF0000"/>
          <w:u w:val="single"/>
        </w:rPr>
        <w:t>Gel Testing</w:t>
      </w:r>
    </w:p>
    <w:p w:rsidR="000A03F4" w:rsidRPr="00457CC3" w:rsidRDefault="000A03F4" w:rsidP="000A03F4">
      <w:pPr>
        <w:numPr>
          <w:ilvl w:val="0"/>
          <w:numId w:val="4"/>
        </w:numPr>
        <w:tabs>
          <w:tab w:val="clear" w:pos="360"/>
        </w:tabs>
        <w:rPr>
          <w:color w:val="0000CC"/>
          <w:u w:val="single"/>
        </w:rPr>
      </w:pPr>
      <w:r w:rsidRPr="00457CC3">
        <w:rPr>
          <w:color w:val="0000CC"/>
          <w:u w:val="single"/>
        </w:rPr>
        <w:t>Tube Testing</w:t>
      </w:r>
    </w:p>
    <w:p w:rsidR="000A03F4" w:rsidRPr="00457CC3" w:rsidRDefault="000A03F4" w:rsidP="000A03F4">
      <w:pPr>
        <w:numPr>
          <w:ilvl w:val="0"/>
          <w:numId w:val="4"/>
        </w:numPr>
        <w:tabs>
          <w:tab w:val="clear" w:pos="360"/>
        </w:tabs>
        <w:rPr>
          <w:color w:val="0000CC"/>
          <w:u w:val="single"/>
        </w:rPr>
      </w:pPr>
      <w:r w:rsidRPr="00457CC3">
        <w:rPr>
          <w:color w:val="0000CC"/>
          <w:u w:val="single"/>
        </w:rPr>
        <w:t>ABO Testing</w:t>
      </w:r>
    </w:p>
    <w:p w:rsidR="000A03F4" w:rsidRPr="00457CC3" w:rsidRDefault="000A03F4" w:rsidP="000A03F4">
      <w:pPr>
        <w:numPr>
          <w:ilvl w:val="0"/>
          <w:numId w:val="4"/>
        </w:numPr>
        <w:tabs>
          <w:tab w:val="clear" w:pos="360"/>
        </w:tabs>
        <w:rPr>
          <w:color w:val="0000CC"/>
          <w:u w:val="single"/>
        </w:rPr>
      </w:pPr>
      <w:proofErr w:type="spellStart"/>
      <w:r w:rsidRPr="00457CC3">
        <w:rPr>
          <w:color w:val="0000CC"/>
          <w:u w:val="single"/>
        </w:rPr>
        <w:t>Rh</w:t>
      </w:r>
      <w:proofErr w:type="spellEnd"/>
      <w:r w:rsidRPr="00457CC3">
        <w:rPr>
          <w:color w:val="0000CC"/>
          <w:u w:val="single"/>
        </w:rPr>
        <w:t xml:space="preserve"> Testing</w:t>
      </w:r>
    </w:p>
    <w:p w:rsidR="000A03F4" w:rsidRPr="00457CC3" w:rsidRDefault="000A03F4" w:rsidP="000A03F4">
      <w:pPr>
        <w:pStyle w:val="ListParagraph"/>
        <w:numPr>
          <w:ilvl w:val="0"/>
          <w:numId w:val="4"/>
        </w:numPr>
        <w:contextualSpacing w:val="0"/>
        <w:rPr>
          <w:i/>
          <w:color w:val="0000CC"/>
          <w:u w:val="single"/>
        </w:rPr>
      </w:pPr>
      <w:r w:rsidRPr="00457CC3">
        <w:rPr>
          <w:color w:val="0000CC"/>
          <w:u w:val="single"/>
        </w:rPr>
        <w:t>Direct Antiglobulin Test (DAT)</w:t>
      </w:r>
    </w:p>
    <w:p w:rsidR="000A03F4" w:rsidRPr="00457CC3" w:rsidRDefault="000A03F4" w:rsidP="000A03F4">
      <w:pPr>
        <w:pStyle w:val="ListParagraph"/>
        <w:numPr>
          <w:ilvl w:val="0"/>
          <w:numId w:val="4"/>
        </w:numPr>
        <w:contextualSpacing w:val="0"/>
        <w:rPr>
          <w:i/>
          <w:color w:val="0000CC"/>
          <w:u w:val="single"/>
        </w:rPr>
      </w:pPr>
      <w:bookmarkStart w:id="4" w:name="_Hlt506619146"/>
      <w:r w:rsidRPr="00457CC3">
        <w:rPr>
          <w:color w:val="0000CC"/>
          <w:u w:val="single"/>
        </w:rPr>
        <w:t>Indirect Antiglobulin Test (IAT</w:t>
      </w:r>
      <w:bookmarkEnd w:id="4"/>
      <w:r w:rsidRPr="00457CC3">
        <w:rPr>
          <w:color w:val="0000CC"/>
          <w:u w:val="single"/>
        </w:rPr>
        <w:t>)</w:t>
      </w:r>
    </w:p>
    <w:p w:rsidR="000A03F4" w:rsidRPr="00457CC3" w:rsidRDefault="000A03F4" w:rsidP="000A03F4">
      <w:pPr>
        <w:pStyle w:val="ListParagraph"/>
        <w:numPr>
          <w:ilvl w:val="0"/>
          <w:numId w:val="4"/>
        </w:numPr>
        <w:contextualSpacing w:val="0"/>
        <w:rPr>
          <w:i/>
          <w:color w:val="0000CC"/>
          <w:u w:val="single"/>
        </w:rPr>
      </w:pPr>
      <w:r w:rsidRPr="00457CC3">
        <w:rPr>
          <w:color w:val="0000CC"/>
          <w:u w:val="single"/>
        </w:rPr>
        <w:t>Antibody Screen</w:t>
      </w:r>
    </w:p>
    <w:p w:rsidR="000A03F4" w:rsidRDefault="000A03F4" w:rsidP="000A03F4">
      <w:pPr>
        <w:pStyle w:val="Heading2"/>
        <w:spacing w:before="100" w:beforeAutospacing="1"/>
        <w:ind w:left="360" w:hanging="360"/>
      </w:pPr>
      <w:bookmarkStart w:id="5" w:name="OLE_LINK4"/>
      <w:r>
        <w:t>Specimen:</w:t>
      </w:r>
    </w:p>
    <w:p w:rsidR="000A03F4" w:rsidRDefault="000A03F4" w:rsidP="000A03F4">
      <w:pPr>
        <w:numPr>
          <w:ilvl w:val="0"/>
          <w:numId w:val="5"/>
        </w:numPr>
        <w:tabs>
          <w:tab w:val="clear" w:pos="720"/>
          <w:tab w:val="num" w:pos="-360"/>
        </w:tabs>
        <w:ind w:left="360"/>
      </w:pPr>
      <w:r>
        <w:t>Cord blood</w:t>
      </w:r>
      <w:r>
        <w:fldChar w:fldCharType="begin"/>
      </w:r>
      <w:r>
        <w:instrText xml:space="preserve"> XE "Specimen:Cord Blood" </w:instrText>
      </w:r>
      <w:r>
        <w:fldChar w:fldCharType="end"/>
      </w:r>
      <w:r>
        <w:t xml:space="preserve">:  Specimen must be labeled with the mother's name and hospital number since the newborn is not registered at the time of delivery.  The specimen must also have the word CORD written on the label before the specimen can be accepted for testing. </w:t>
      </w:r>
    </w:p>
    <w:p w:rsidR="000A03F4" w:rsidRDefault="000A03F4" w:rsidP="000A03F4">
      <w:pPr>
        <w:numPr>
          <w:ilvl w:val="0"/>
          <w:numId w:val="5"/>
        </w:numPr>
        <w:tabs>
          <w:tab w:val="clear" w:pos="720"/>
          <w:tab w:val="num" w:pos="-360"/>
        </w:tabs>
        <w:ind w:left="360"/>
      </w:pPr>
      <w:r>
        <w:t>Venous blood:  Specimen must be labeled with newborn’s name and hospital number.</w:t>
      </w:r>
    </w:p>
    <w:bookmarkEnd w:id="5"/>
    <w:p w:rsidR="000A03F4" w:rsidRDefault="000A03F4" w:rsidP="000A03F4">
      <w:pPr>
        <w:pStyle w:val="Heading2"/>
        <w:spacing w:before="100" w:beforeAutospacing="1"/>
        <w:ind w:left="360" w:hanging="360"/>
      </w:pPr>
      <w:r>
        <w:t>Procedure:</w:t>
      </w:r>
    </w:p>
    <w:p w:rsidR="000A03F4" w:rsidRPr="00ED5959" w:rsidRDefault="000A03F4" w:rsidP="000A03F4">
      <w:pPr>
        <w:pStyle w:val="ListNumber"/>
        <w:numPr>
          <w:ilvl w:val="0"/>
          <w:numId w:val="7"/>
        </w:numPr>
        <w:ind w:left="360"/>
        <w:jc w:val="left"/>
      </w:pPr>
      <w:r w:rsidRPr="00ED5959">
        <w:t>Review mother's current ABO/</w:t>
      </w:r>
      <w:proofErr w:type="spellStart"/>
      <w:r w:rsidRPr="00ED5959">
        <w:t>Rh</w:t>
      </w:r>
      <w:proofErr w:type="spellEnd"/>
      <w:r w:rsidRPr="00ED5959">
        <w:t xml:space="preserve"> and antibody screen results.  </w:t>
      </w:r>
      <w:r w:rsidRPr="00ED5959">
        <w:fldChar w:fldCharType="begin"/>
      </w:r>
      <w:r w:rsidRPr="00ED5959">
        <w:instrText xml:space="preserve"> XE "RhIG:RhIG Decision Log" </w:instrText>
      </w:r>
      <w:r w:rsidRPr="00ED5959">
        <w:fldChar w:fldCharType="end"/>
      </w:r>
      <w:r w:rsidRPr="00ED5959">
        <w:t xml:space="preserve">Complete the </w:t>
      </w:r>
      <w:proofErr w:type="spellStart"/>
      <w:r w:rsidRPr="00457CC3">
        <w:rPr>
          <w:color w:val="0000CC"/>
          <w:u w:val="single"/>
        </w:rPr>
        <w:t>RhIG</w:t>
      </w:r>
      <w:proofErr w:type="spellEnd"/>
      <w:r w:rsidRPr="00457CC3">
        <w:rPr>
          <w:color w:val="0000CC"/>
          <w:u w:val="single"/>
        </w:rPr>
        <w:t xml:space="preserve"> Decisi</w:t>
      </w:r>
      <w:bookmarkStart w:id="6" w:name="_Hlt19514856"/>
      <w:r w:rsidRPr="00457CC3">
        <w:rPr>
          <w:color w:val="0000CC"/>
          <w:u w:val="single"/>
        </w:rPr>
        <w:t>o</w:t>
      </w:r>
      <w:bookmarkEnd w:id="6"/>
      <w:r w:rsidRPr="00457CC3">
        <w:rPr>
          <w:color w:val="0000CC"/>
          <w:u w:val="single"/>
        </w:rPr>
        <w:t>n Log</w:t>
      </w:r>
      <w:r w:rsidRPr="00457CC3">
        <w:rPr>
          <w:color w:val="0000CC"/>
        </w:rPr>
        <w:t xml:space="preserve"> </w:t>
      </w:r>
      <w:r w:rsidRPr="00ED5959">
        <w:t xml:space="preserve">(refer to </w:t>
      </w:r>
      <w:r w:rsidRPr="00457CC3">
        <w:t>Appendix 1</w:t>
      </w:r>
      <w:r w:rsidRPr="00ED5959">
        <w:t>).   A specimen obtained from the mother during her current admission is preferable.  If a current specimen is not available, the ABO/</w:t>
      </w:r>
      <w:proofErr w:type="spellStart"/>
      <w:r w:rsidRPr="00ED5959">
        <w:t>Rh</w:t>
      </w:r>
      <w:proofErr w:type="spellEnd"/>
      <w:r w:rsidRPr="00ED5959">
        <w:t xml:space="preserve"> may be performed on any acceptable specimen submitted for lab testing.  Perform the mother's antibody screen if the results are needed to resolve problems with the newborn's testing.  Order and result the test(s) in the LIS.</w:t>
      </w:r>
    </w:p>
    <w:p w:rsidR="000A03F4" w:rsidRDefault="000A03F4" w:rsidP="000A03F4">
      <w:pPr>
        <w:pStyle w:val="ListNumber"/>
        <w:numPr>
          <w:ilvl w:val="0"/>
          <w:numId w:val="7"/>
        </w:numPr>
        <w:ind w:left="360"/>
        <w:jc w:val="left"/>
        <w:rPr>
          <w:color w:val="FF0000"/>
        </w:rPr>
      </w:pPr>
      <w:r w:rsidRPr="00AC5E24">
        <w:rPr>
          <w:color w:val="FF0000"/>
        </w:rPr>
        <w:t>For ABO/</w:t>
      </w:r>
      <w:proofErr w:type="spellStart"/>
      <w:r w:rsidRPr="00AC5E24">
        <w:rPr>
          <w:color w:val="FF0000"/>
        </w:rPr>
        <w:t>Rh</w:t>
      </w:r>
      <w:proofErr w:type="spellEnd"/>
      <w:r w:rsidRPr="00AC5E24">
        <w:rPr>
          <w:color w:val="FF0000"/>
        </w:rPr>
        <w:t xml:space="preserve"> </w:t>
      </w:r>
      <w:r>
        <w:rPr>
          <w:color w:val="FF0000"/>
        </w:rPr>
        <w:t xml:space="preserve">and DAT, </w:t>
      </w:r>
      <w:r w:rsidRPr="00AC5E24">
        <w:rPr>
          <w:color w:val="FF0000"/>
        </w:rPr>
        <w:t>proceed as in SOPs listed above.</w:t>
      </w:r>
    </w:p>
    <w:p w:rsidR="000A03F4" w:rsidRPr="00E32F5C" w:rsidRDefault="000A03F4" w:rsidP="000A03F4">
      <w:pPr>
        <w:pStyle w:val="ListNumber"/>
        <w:numPr>
          <w:ilvl w:val="0"/>
          <w:numId w:val="7"/>
        </w:numPr>
        <w:ind w:left="360"/>
        <w:jc w:val="left"/>
        <w:rPr>
          <w:color w:val="FF0000"/>
        </w:rPr>
      </w:pPr>
      <w:r>
        <w:rPr>
          <w:color w:val="FF0000"/>
        </w:rPr>
        <w:t>Perform weak D testing using the tube method when the gel anti-D well is negative.</w:t>
      </w:r>
    </w:p>
    <w:p w:rsidR="000A03F4" w:rsidRPr="00AC5E24" w:rsidRDefault="000A03F4" w:rsidP="000A03F4">
      <w:pPr>
        <w:pStyle w:val="ListNumber"/>
        <w:numPr>
          <w:ilvl w:val="0"/>
          <w:numId w:val="7"/>
        </w:numPr>
        <w:ind w:left="360"/>
        <w:jc w:val="left"/>
        <w:rPr>
          <w:color w:val="FF0000"/>
        </w:rPr>
      </w:pPr>
      <w:r w:rsidRPr="00AC5E24">
        <w:rPr>
          <w:color w:val="FF0000"/>
        </w:rPr>
        <w:t>When the newborn testing results in an AB Pos interpretation or when there are questionable</w:t>
      </w:r>
      <w:r>
        <w:rPr>
          <w:color w:val="FF0000"/>
        </w:rPr>
        <w:t xml:space="preserve"> reactions, i.e. mixed field reactions, repeat the ABO/</w:t>
      </w:r>
      <w:proofErr w:type="spellStart"/>
      <w:r>
        <w:rPr>
          <w:color w:val="FF0000"/>
        </w:rPr>
        <w:t>Rh</w:t>
      </w:r>
      <w:proofErr w:type="spellEnd"/>
      <w:r>
        <w:rPr>
          <w:color w:val="FF0000"/>
        </w:rPr>
        <w:t xml:space="preserve"> and DAT testing using the tube method.</w:t>
      </w:r>
    </w:p>
    <w:p w:rsidR="000A03F4" w:rsidRPr="00ED5959" w:rsidRDefault="000A03F4" w:rsidP="000A03F4">
      <w:pPr>
        <w:pStyle w:val="ListNumber"/>
        <w:numPr>
          <w:ilvl w:val="0"/>
          <w:numId w:val="7"/>
        </w:numPr>
        <w:ind w:left="360"/>
        <w:jc w:val="left"/>
      </w:pPr>
      <w:r w:rsidRPr="00ED5959">
        <w:t>Cord specimens must be washed 4 times to reduce false positive reactions due to Wharton's jelly</w:t>
      </w:r>
      <w:r w:rsidRPr="00ED5959">
        <w:fldChar w:fldCharType="begin"/>
      </w:r>
      <w:r w:rsidRPr="00ED5959">
        <w:instrText xml:space="preserve"> XE "Cord:Wharton's Jelly" </w:instrText>
      </w:r>
      <w:r w:rsidRPr="00ED5959">
        <w:fldChar w:fldCharType="end"/>
      </w:r>
      <w:r w:rsidRPr="00ED5959">
        <w:t xml:space="preserve"> which is a high molecular weight protein found in the cord.   </w:t>
      </w:r>
    </w:p>
    <w:p w:rsidR="000A03F4" w:rsidRPr="00ED5959" w:rsidRDefault="000A03F4" w:rsidP="000A03F4">
      <w:pPr>
        <w:pStyle w:val="ListNumber"/>
        <w:numPr>
          <w:ilvl w:val="0"/>
          <w:numId w:val="7"/>
        </w:numPr>
        <w:ind w:left="360"/>
        <w:jc w:val="left"/>
      </w:pPr>
      <w:r w:rsidRPr="00ED5959">
        <w:t>Label tubes for the ABO/</w:t>
      </w:r>
      <w:proofErr w:type="spellStart"/>
      <w:r w:rsidRPr="00ED5959">
        <w:t>Rh</w:t>
      </w:r>
      <w:proofErr w:type="spellEnd"/>
      <w:r w:rsidRPr="00ED5959">
        <w:t>, DAT. Label two extra tubes for repeat or additional testing if needed.</w:t>
      </w:r>
    </w:p>
    <w:p w:rsidR="000A03F4" w:rsidRPr="00ED5959" w:rsidRDefault="000A03F4" w:rsidP="000A03F4">
      <w:pPr>
        <w:pStyle w:val="ListNumber"/>
        <w:numPr>
          <w:ilvl w:val="0"/>
          <w:numId w:val="7"/>
        </w:numPr>
        <w:ind w:left="360"/>
        <w:jc w:val="left"/>
      </w:pPr>
      <w:r w:rsidRPr="00ED5959">
        <w:t xml:space="preserve">Add 1 drop of a 5% cell suspension of the newborn’s cells to each tube.   </w:t>
      </w:r>
    </w:p>
    <w:p w:rsidR="000A03F4" w:rsidRDefault="000A03F4" w:rsidP="000A03F4">
      <w:pPr>
        <w:pStyle w:val="ListNumber"/>
        <w:numPr>
          <w:ilvl w:val="0"/>
          <w:numId w:val="7"/>
        </w:numPr>
        <w:ind w:left="360"/>
        <w:jc w:val="left"/>
      </w:pPr>
      <w:r w:rsidRPr="00ED5959">
        <w:t>For ABO/</w:t>
      </w:r>
      <w:proofErr w:type="spellStart"/>
      <w:r w:rsidRPr="00ED5959">
        <w:t>Rh</w:t>
      </w:r>
      <w:proofErr w:type="spellEnd"/>
      <w:r w:rsidRPr="00ED5959">
        <w:t xml:space="preserve"> proceed as in SOPs listed above.</w:t>
      </w:r>
    </w:p>
    <w:p w:rsidR="000A03F4" w:rsidRDefault="000A03F4" w:rsidP="000A03F4">
      <w:pPr>
        <w:pStyle w:val="Heading2"/>
        <w:ind w:left="360" w:hanging="360"/>
      </w:pPr>
      <w:r w:rsidRPr="00D21B9B">
        <w:lastRenderedPageBreak/>
        <w:t>Newborn DAT</w:t>
      </w:r>
      <w:r w:rsidRPr="00D21B9B">
        <w:fldChar w:fldCharType="begin"/>
      </w:r>
      <w:r w:rsidRPr="00D21B9B">
        <w:instrText xml:space="preserve"> XE "Infant DAT" </w:instrText>
      </w:r>
      <w:r w:rsidRPr="00D21B9B">
        <w:fldChar w:fldCharType="end"/>
      </w:r>
      <w:r w:rsidRPr="00D21B9B">
        <w:fldChar w:fldCharType="begin"/>
      </w:r>
      <w:r w:rsidRPr="00D21B9B">
        <w:instrText xml:space="preserve"> XE "DAT:Infant" </w:instrText>
      </w:r>
      <w:r w:rsidRPr="00D21B9B">
        <w:fldChar w:fldCharType="end"/>
      </w:r>
      <w:r w:rsidRPr="00D21B9B">
        <w:t>:</w:t>
      </w:r>
    </w:p>
    <w:p w:rsidR="000A03F4" w:rsidRPr="00D21B9B" w:rsidRDefault="000A03F4" w:rsidP="000A03F4">
      <w:pPr>
        <w:pStyle w:val="ListNumber"/>
        <w:numPr>
          <w:ilvl w:val="0"/>
          <w:numId w:val="9"/>
        </w:numPr>
        <w:jc w:val="left"/>
      </w:pPr>
      <w:r>
        <w:rPr>
          <w:color w:val="FF0000"/>
        </w:rPr>
        <w:t xml:space="preserve">When the DAT tube method is performed, </w:t>
      </w:r>
      <w:r w:rsidRPr="00173058">
        <w:t>add</w:t>
      </w:r>
      <w:r w:rsidRPr="00D21B9B">
        <w:t xml:space="preserve"> two drops of Anti-</w:t>
      </w:r>
      <w:r w:rsidRPr="00ED5959">
        <w:t>IgG to the tube labeled DAT</w:t>
      </w:r>
      <w:r w:rsidRPr="00D21B9B">
        <w:t>. Mix well and centrifuge.</w:t>
      </w:r>
    </w:p>
    <w:p w:rsidR="000A03F4" w:rsidRPr="00BE1D78" w:rsidRDefault="000A03F4" w:rsidP="000A03F4">
      <w:pPr>
        <w:pStyle w:val="ListNumber"/>
        <w:numPr>
          <w:ilvl w:val="0"/>
          <w:numId w:val="9"/>
        </w:numPr>
        <w:jc w:val="left"/>
      </w:pPr>
      <w:proofErr w:type="spellStart"/>
      <w:r w:rsidRPr="00BE1D78">
        <w:t>Resuspend</w:t>
      </w:r>
      <w:proofErr w:type="spellEnd"/>
      <w:r w:rsidRPr="00BE1D78">
        <w:t xml:space="preserve"> the red cells, read and record results. </w:t>
      </w:r>
    </w:p>
    <w:p w:rsidR="000A03F4" w:rsidRPr="00B6307C" w:rsidRDefault="000A03F4" w:rsidP="000A03F4">
      <w:pPr>
        <w:pStyle w:val="ListNumber"/>
        <w:numPr>
          <w:ilvl w:val="0"/>
          <w:numId w:val="9"/>
        </w:numPr>
        <w:jc w:val="left"/>
      </w:pPr>
      <w:r w:rsidRPr="00B6307C">
        <w:t xml:space="preserve">Add one drop of check cells to each negative test, centrifuge, </w:t>
      </w:r>
      <w:proofErr w:type="spellStart"/>
      <w:r w:rsidRPr="00B6307C">
        <w:t>resuspend</w:t>
      </w:r>
      <w:proofErr w:type="spellEnd"/>
      <w:r w:rsidRPr="00B6307C">
        <w:t xml:space="preserve"> the red cells, read and record results.  If this test is negative, results are invalid and DAT must be repeated. Document the repeat test as a comment in LIS.  </w:t>
      </w:r>
    </w:p>
    <w:p w:rsidR="000A03F4" w:rsidRDefault="000A03F4" w:rsidP="000A03F4">
      <w:pPr>
        <w:pStyle w:val="Heading2"/>
        <w:ind w:left="360" w:hanging="360"/>
      </w:pPr>
      <w:r>
        <w:t>Negative DAT (Eluate Request):</w:t>
      </w:r>
    </w:p>
    <w:p w:rsidR="000A03F4" w:rsidRDefault="000A03F4" w:rsidP="000A03F4">
      <w:pPr>
        <w:pStyle w:val="BodyText"/>
        <w:jc w:val="left"/>
      </w:pPr>
      <w:r>
        <w:t xml:space="preserve">Refer to </w:t>
      </w:r>
      <w:r w:rsidRPr="00457CC3">
        <w:rPr>
          <w:color w:val="0000CC"/>
          <w:u w:val="single"/>
        </w:rPr>
        <w:t>ABO Antibodies (Newborn/Maternal)</w:t>
      </w:r>
      <w:r>
        <w:t xml:space="preserve"> SOP.</w:t>
      </w:r>
    </w:p>
    <w:p w:rsidR="000A03F4" w:rsidRDefault="000A03F4" w:rsidP="000A03F4">
      <w:pPr>
        <w:pStyle w:val="Heading2"/>
        <w:ind w:left="360" w:hanging="360"/>
      </w:pPr>
      <w:bookmarkStart w:id="7" w:name="NewbornTestingPositiveDAT"/>
      <w:r>
        <w:t>Positive DAT</w:t>
      </w:r>
      <w:r>
        <w:fldChar w:fldCharType="begin"/>
      </w:r>
      <w:r>
        <w:instrText xml:space="preserve"> XE "Newborn:Positive DAT" </w:instrText>
      </w:r>
      <w:r>
        <w:fldChar w:fldCharType="end"/>
      </w:r>
      <w:r>
        <w:t>:</w:t>
      </w:r>
    </w:p>
    <w:bookmarkEnd w:id="7"/>
    <w:p w:rsidR="000A03F4" w:rsidRPr="00B6307C" w:rsidRDefault="000A03F4" w:rsidP="000A03F4">
      <w:pPr>
        <w:pStyle w:val="ListNumber"/>
        <w:numPr>
          <w:ilvl w:val="0"/>
          <w:numId w:val="8"/>
        </w:numPr>
        <w:ind w:left="360"/>
        <w:jc w:val="left"/>
      </w:pPr>
      <w:r w:rsidRPr="00B6307C">
        <w:t xml:space="preserve">Report the positive DAT interpretation and grade </w:t>
      </w:r>
      <w:proofErr w:type="gramStart"/>
      <w:r w:rsidRPr="00B6307C">
        <w:t>reactions  (</w:t>
      </w:r>
      <w:proofErr w:type="gramEnd"/>
      <w:r w:rsidRPr="00B6307C">
        <w:t xml:space="preserve">+w, 1+, 2+, 3+ or 4+).  </w:t>
      </w:r>
    </w:p>
    <w:p w:rsidR="000A03F4" w:rsidRPr="00B6307C" w:rsidRDefault="000A03F4" w:rsidP="000A03F4">
      <w:pPr>
        <w:pStyle w:val="ListNumber"/>
        <w:numPr>
          <w:ilvl w:val="0"/>
          <w:numId w:val="8"/>
        </w:numPr>
        <w:ind w:left="360"/>
        <w:jc w:val="left"/>
      </w:pPr>
      <w:r w:rsidRPr="00B6307C">
        <w:t>If mother's blood type and antibody screen have not been done, obtain a mother's blood specimen and perform these tests.</w:t>
      </w:r>
    </w:p>
    <w:p w:rsidR="000A03F4" w:rsidRPr="00B6307C" w:rsidRDefault="000A03F4" w:rsidP="000A03F4">
      <w:pPr>
        <w:pStyle w:val="ListNumber"/>
        <w:numPr>
          <w:ilvl w:val="0"/>
          <w:numId w:val="8"/>
        </w:numPr>
        <w:ind w:left="360"/>
        <w:jc w:val="left"/>
      </w:pPr>
      <w:r w:rsidRPr="00B6307C">
        <w:t>If mother's test results indicate that the positive DAT is due to immune ABO antibodies, no further testing is indicated.</w:t>
      </w:r>
    </w:p>
    <w:p w:rsidR="000A03F4" w:rsidRDefault="000A03F4" w:rsidP="000A03F4">
      <w:pPr>
        <w:ind w:left="360"/>
      </w:pPr>
      <w:r w:rsidRPr="00B6307C">
        <w:t>ABO incompatibility is indicated when:</w:t>
      </w:r>
    </w:p>
    <w:p w:rsidR="000A03F4" w:rsidRPr="00B6307C" w:rsidRDefault="000A03F4" w:rsidP="000A03F4">
      <w:pPr>
        <w:ind w:left="360"/>
      </w:pPr>
    </w:p>
    <w:p w:rsidR="000A03F4" w:rsidRPr="00B6307C" w:rsidRDefault="000A03F4" w:rsidP="000A03F4">
      <w:pPr>
        <w:numPr>
          <w:ilvl w:val="0"/>
          <w:numId w:val="6"/>
        </w:numPr>
      </w:pPr>
      <w:r w:rsidRPr="00B6307C">
        <w:t>Mother's antibody screen is negative</w:t>
      </w:r>
    </w:p>
    <w:p w:rsidR="000A03F4" w:rsidRPr="00B6307C" w:rsidRDefault="000A03F4" w:rsidP="000A03F4">
      <w:pPr>
        <w:ind w:left="720"/>
      </w:pPr>
      <w:proofErr w:type="gramStart"/>
      <w:r w:rsidRPr="00B6307C">
        <w:t>and</w:t>
      </w:r>
      <w:proofErr w:type="gramEnd"/>
      <w:r w:rsidRPr="00B6307C">
        <w:t xml:space="preserve"> </w:t>
      </w:r>
    </w:p>
    <w:p w:rsidR="000A03F4" w:rsidRPr="00B6307C" w:rsidRDefault="000A03F4" w:rsidP="000A03F4">
      <w:pPr>
        <w:numPr>
          <w:ilvl w:val="0"/>
          <w:numId w:val="6"/>
        </w:numPr>
      </w:pPr>
      <w:r w:rsidRPr="00B6307C">
        <w:t>Mother's blood is of a type that contains immune anti-A and /or anti-B</w:t>
      </w:r>
    </w:p>
    <w:p w:rsidR="000A03F4" w:rsidRPr="00B6307C" w:rsidRDefault="000A03F4" w:rsidP="000A03F4">
      <w:pPr>
        <w:ind w:left="720"/>
      </w:pPr>
      <w:proofErr w:type="gramStart"/>
      <w:r w:rsidRPr="00B6307C">
        <w:t>and</w:t>
      </w:r>
      <w:proofErr w:type="gramEnd"/>
    </w:p>
    <w:p w:rsidR="000A03F4" w:rsidRPr="00B6307C" w:rsidRDefault="000A03F4" w:rsidP="000A03F4">
      <w:pPr>
        <w:numPr>
          <w:ilvl w:val="0"/>
          <w:numId w:val="6"/>
        </w:numPr>
      </w:pPr>
      <w:r w:rsidRPr="00B6307C">
        <w:t>Baby is group A</w:t>
      </w:r>
      <w:proofErr w:type="gramStart"/>
      <w:r w:rsidRPr="00B6307C">
        <w:t>,B</w:t>
      </w:r>
      <w:proofErr w:type="gramEnd"/>
      <w:r w:rsidRPr="00B6307C">
        <w:t>, or AB and corresponds with the mother’s antibody. i.e. the baby is group A and the mother has anti-A</w:t>
      </w:r>
    </w:p>
    <w:p w:rsidR="000A03F4" w:rsidRPr="008868ED" w:rsidRDefault="000A03F4" w:rsidP="000A03F4">
      <w:pPr>
        <w:ind w:left="720"/>
        <w:rPr>
          <w:strike/>
        </w:rPr>
      </w:pPr>
    </w:p>
    <w:p w:rsidR="000A03F4" w:rsidRDefault="000A03F4" w:rsidP="000A03F4">
      <w:pPr>
        <w:ind w:left="720"/>
      </w:pPr>
      <w:r>
        <w:t>Note: Add the "ABO" comment to the "Positive" interpretation in LIS.</w:t>
      </w:r>
    </w:p>
    <w:p w:rsidR="000A03F4" w:rsidRDefault="000A03F4" w:rsidP="000A03F4">
      <w:pPr>
        <w:ind w:left="720"/>
      </w:pPr>
    </w:p>
    <w:p w:rsidR="000A03F4" w:rsidRPr="00B6307C" w:rsidRDefault="000A03F4" w:rsidP="000A03F4">
      <w:pPr>
        <w:pStyle w:val="ListNumber"/>
        <w:numPr>
          <w:ilvl w:val="0"/>
          <w:numId w:val="8"/>
        </w:numPr>
        <w:ind w:left="360"/>
        <w:jc w:val="left"/>
      </w:pPr>
      <w:r w:rsidRPr="00B6307C">
        <w:t xml:space="preserve">If the mother's plasma/serum is positive due to the presence of antenatal </w:t>
      </w:r>
      <w:proofErr w:type="spellStart"/>
      <w:r w:rsidRPr="00B6307C">
        <w:t>RhIG</w:t>
      </w:r>
      <w:proofErr w:type="spellEnd"/>
      <w:r w:rsidRPr="00B6307C">
        <w:fldChar w:fldCharType="begin"/>
      </w:r>
      <w:r w:rsidRPr="00B6307C">
        <w:instrText xml:space="preserve"> XE "Antenatal RhIG:Cord" </w:instrText>
      </w:r>
      <w:r w:rsidRPr="00B6307C">
        <w:fldChar w:fldCharType="end"/>
      </w:r>
      <w:r w:rsidRPr="00B6307C">
        <w:fldChar w:fldCharType="begin"/>
      </w:r>
      <w:r w:rsidRPr="00B6307C">
        <w:instrText xml:space="preserve"> XE "Cord:Antenatal RhIG" </w:instrText>
      </w:r>
      <w:r w:rsidRPr="00B6307C">
        <w:fldChar w:fldCharType="end"/>
      </w:r>
      <w:r w:rsidRPr="00B6307C">
        <w:t xml:space="preserve"> and/or a cold agglutinin, no further testing is indicated.</w:t>
      </w:r>
    </w:p>
    <w:p w:rsidR="000A03F4" w:rsidRPr="006F15D7" w:rsidRDefault="000A03F4" w:rsidP="000A03F4">
      <w:pPr>
        <w:ind w:left="360"/>
        <w:rPr>
          <w:color w:val="0000FF"/>
        </w:rPr>
      </w:pPr>
      <w:r>
        <w:t xml:space="preserve">Note: Add the "RHIG" comment to the "Positive" interpretation in LIS.  If both immune ABO antibodies and </w:t>
      </w:r>
      <w:proofErr w:type="spellStart"/>
      <w:r>
        <w:t>ARhIG</w:t>
      </w:r>
      <w:proofErr w:type="spellEnd"/>
      <w:r>
        <w:t xml:space="preserve"> may be present, add the "ABORHIG" comment.</w:t>
      </w:r>
    </w:p>
    <w:p w:rsidR="000A03F4" w:rsidRDefault="000A03F4" w:rsidP="000A03F4">
      <w:pPr>
        <w:ind w:left="360"/>
      </w:pPr>
    </w:p>
    <w:p w:rsidR="000A03F4" w:rsidRDefault="000A03F4" w:rsidP="000A03F4">
      <w:pPr>
        <w:pStyle w:val="ListNumber"/>
        <w:numPr>
          <w:ilvl w:val="0"/>
          <w:numId w:val="8"/>
        </w:numPr>
        <w:ind w:left="360"/>
        <w:jc w:val="left"/>
      </w:pPr>
      <w:r>
        <w:t xml:space="preserve">Perform elution studies on all other </w:t>
      </w:r>
      <w:r w:rsidRPr="00B6307C">
        <w:t xml:space="preserve">examples of </w:t>
      </w:r>
      <w:bookmarkStart w:id="8" w:name="_GoBack"/>
      <w:bookmarkEnd w:id="8"/>
      <w:r w:rsidRPr="00B6307C">
        <w:t>positive</w:t>
      </w:r>
      <w:r>
        <w:t xml:space="preserve"> DAT.</w:t>
      </w:r>
    </w:p>
    <w:p w:rsidR="000A03F4" w:rsidRDefault="000A03F4" w:rsidP="000A03F4">
      <w:pPr>
        <w:pStyle w:val="ListNumber"/>
        <w:numPr>
          <w:ilvl w:val="0"/>
          <w:numId w:val="8"/>
        </w:numPr>
        <w:ind w:left="720"/>
        <w:jc w:val="left"/>
      </w:pPr>
      <w:r w:rsidRPr="00B6307C">
        <w:t>A positive DAT is considered a critical test result.</w:t>
      </w:r>
      <w:r>
        <w:rPr>
          <w:color w:val="FF0000"/>
        </w:rPr>
        <w:t xml:space="preserve"> </w:t>
      </w:r>
      <w:r>
        <w:t xml:space="preserve"> Call the patient care unit for all positive DAT tests.  Add the “CALL” comment to the result in LIS.</w:t>
      </w:r>
    </w:p>
    <w:p w:rsidR="000A03F4" w:rsidRDefault="000A03F4" w:rsidP="000A03F4">
      <w:pPr>
        <w:pStyle w:val="Heading2"/>
        <w:ind w:left="360" w:hanging="360"/>
      </w:pPr>
      <w:r>
        <w:t>Weak D Invalid:</w:t>
      </w:r>
    </w:p>
    <w:p w:rsidR="000A03F4" w:rsidRPr="00B6307C" w:rsidRDefault="000A03F4" w:rsidP="000A03F4">
      <w:r>
        <w:t xml:space="preserve">An </w:t>
      </w:r>
      <w:r w:rsidRPr="00B6307C">
        <w:t xml:space="preserve">Rh-negative mother must be considered </w:t>
      </w:r>
      <w:proofErr w:type="gramStart"/>
      <w:r w:rsidRPr="00B6307C">
        <w:t>a</w:t>
      </w:r>
      <w:r>
        <w:t>n</w:t>
      </w:r>
      <w:proofErr w:type="gramEnd"/>
      <w:r w:rsidRPr="00B6307C">
        <w:t xml:space="preserve"> </w:t>
      </w:r>
      <w:proofErr w:type="spellStart"/>
      <w:r w:rsidRPr="00B6307C">
        <w:t>RhIG</w:t>
      </w:r>
      <w:proofErr w:type="spellEnd"/>
      <w:r w:rsidRPr="00B6307C">
        <w:t xml:space="preserve"> candidate if the D or Weak D testing is invalid for any reason.</w:t>
      </w:r>
    </w:p>
    <w:p w:rsidR="000A03F4" w:rsidRDefault="000A03F4" w:rsidP="000A03F4"/>
    <w:p w:rsidR="000A03F4" w:rsidRDefault="000A03F4" w:rsidP="000A03F4">
      <w:pPr>
        <w:pStyle w:val="Heading2"/>
        <w:ind w:left="360" w:hanging="360"/>
      </w:pPr>
      <w:r>
        <w:t xml:space="preserve">References:  </w:t>
      </w:r>
    </w:p>
    <w:p w:rsidR="000A03F4" w:rsidRDefault="000A03F4" w:rsidP="000A03F4">
      <w:pPr>
        <w:pStyle w:val="ListParagraph"/>
        <w:numPr>
          <w:ilvl w:val="0"/>
          <w:numId w:val="10"/>
        </w:numPr>
        <w:contextualSpacing w:val="0"/>
        <w:rPr>
          <w:u w:val="single"/>
        </w:rPr>
      </w:pPr>
      <w:r w:rsidRPr="0026364D">
        <w:rPr>
          <w:u w:val="single"/>
        </w:rPr>
        <w:t>AABB Technical Manual</w:t>
      </w:r>
    </w:p>
    <w:p w:rsidR="000A03F4" w:rsidRDefault="000A03F4" w:rsidP="000A03F4"/>
    <w:p w:rsidR="000A03F4" w:rsidRDefault="000A03F4" w:rsidP="000A03F4">
      <w:pPr>
        <w:rPr>
          <w:noProof/>
        </w:rPr>
      </w:pPr>
      <w:r>
        <w:t>RB1410 v.1 Revi</w:t>
      </w:r>
      <w:r w:rsidR="0031420A">
        <w:t>s</w:t>
      </w:r>
      <w:r>
        <w:t>ed</w:t>
      </w:r>
      <w:r w:rsidRPr="007E23E7">
        <w:t xml:space="preserve">: </w:t>
      </w:r>
      <w:r>
        <w:t>2</w:t>
      </w:r>
      <w:r w:rsidR="0031420A">
        <w:t>9</w:t>
      </w:r>
      <w:r>
        <w:t>Jun15</w:t>
      </w:r>
    </w:p>
    <w:p w:rsidR="000A03F4" w:rsidRPr="004B6487" w:rsidRDefault="000A03F4" w:rsidP="000A03F4">
      <w:pPr>
        <w:pStyle w:val="BodyText"/>
        <w:jc w:val="left"/>
        <w:rPr>
          <w:u w:val="single"/>
        </w:rPr>
      </w:pPr>
    </w:p>
    <w:p w:rsidR="000A03F4" w:rsidRPr="004B6487" w:rsidRDefault="000A03F4" w:rsidP="000A03F4"/>
    <w:p w:rsidR="000A03F4" w:rsidRPr="004B6487" w:rsidRDefault="000A03F4" w:rsidP="000A03F4"/>
    <w:p w:rsidR="000A03F4" w:rsidRPr="004B6487" w:rsidRDefault="000A03F4" w:rsidP="000A03F4"/>
    <w:p w:rsidR="000A03F4" w:rsidRDefault="000A03F4" w:rsidP="000A03F4"/>
    <w:p w:rsidR="000A03F4" w:rsidRDefault="000A03F4" w:rsidP="000A03F4">
      <w:r>
        <w:rPr>
          <w:noProof/>
        </w:rPr>
        <w:pict>
          <v:shapetype id="_x0000_t202" coordsize="21600,21600" o:spt="202" path="m,l,21600r21600,l21600,xe">
            <v:stroke joinstyle="miter"/>
            <v:path gradientshapeok="t" o:connecttype="rect"/>
          </v:shapetype>
          <v:shape id="_x0000_s1026" type="#_x0000_t202" style="position:absolute;margin-left:-25.6pt;margin-top:9.75pt;width:520.75pt;height:370.9pt;z-index:251658240">
            <v:textbox style="mso-next-textbox:#_x0000_s1026">
              <w:txbxContent>
                <w:p w:rsidR="000A03F4" w:rsidRDefault="000A03F4" w:rsidP="000A03F4">
                  <w:pPr>
                    <w:jc w:val="center"/>
                  </w:pPr>
                  <w:r>
                    <w:rPr>
                      <w:noProof/>
                    </w:rPr>
                    <w:drawing>
                      <wp:inline distT="0" distB="0" distL="0" distR="0">
                        <wp:extent cx="6421120" cy="465029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21120" cy="4650296"/>
                                </a:xfrm>
                                <a:prstGeom prst="rect">
                                  <a:avLst/>
                                </a:prstGeom>
                                <a:noFill/>
                                <a:ln w="9525">
                                  <a:noFill/>
                                  <a:miter lim="800000"/>
                                  <a:headEnd/>
                                  <a:tailEnd/>
                                </a:ln>
                              </pic:spPr>
                            </pic:pic>
                          </a:graphicData>
                        </a:graphic>
                      </wp:inline>
                    </w:drawing>
                  </w:r>
                </w:p>
                <w:p w:rsidR="000A03F4" w:rsidRDefault="000A03F4" w:rsidP="000A03F4">
                  <w:pPr>
                    <w:jc w:val="center"/>
                  </w:pPr>
                </w:p>
                <w:p w:rsidR="000A03F4" w:rsidRDefault="000A03F4" w:rsidP="000A03F4">
                  <w:pPr>
                    <w:jc w:val="center"/>
                  </w:pPr>
                </w:p>
                <w:p w:rsidR="000A03F4" w:rsidRPr="00CD7DA3" w:rsidRDefault="000A03F4" w:rsidP="000A03F4">
                  <w:pPr>
                    <w:jc w:val="center"/>
                  </w:pPr>
                </w:p>
              </w:txbxContent>
            </v:textbox>
          </v:shape>
        </w:pict>
      </w:r>
    </w:p>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 w:rsidR="000A03F4" w:rsidRDefault="000A03F4" w:rsidP="000A03F4">
      <w:pPr>
        <w:jc w:val="center"/>
      </w:pPr>
      <w:bookmarkStart w:id="9" w:name="NewbornTstingAp1"/>
      <w:bookmarkEnd w:id="9"/>
    </w:p>
    <w:p w:rsidR="000A03F4" w:rsidRDefault="000A03F4" w:rsidP="000A03F4">
      <w:pPr>
        <w:jc w:val="center"/>
      </w:pPr>
    </w:p>
    <w:p w:rsidR="000A03F4" w:rsidRDefault="000A03F4" w:rsidP="000A03F4">
      <w:pPr>
        <w:jc w:val="center"/>
      </w:pPr>
    </w:p>
    <w:p w:rsidR="000A03F4" w:rsidRDefault="000A03F4" w:rsidP="000A03F4">
      <w:pPr>
        <w:jc w:val="center"/>
      </w:pPr>
    </w:p>
    <w:p w:rsidR="000A03F4" w:rsidRDefault="000A03F4" w:rsidP="000A03F4">
      <w:pPr>
        <w:jc w:val="center"/>
      </w:pPr>
      <w:r>
        <w:t>Appendix 1</w:t>
      </w:r>
    </w:p>
    <w:p w:rsidR="000A03F4" w:rsidRDefault="000A03F4" w:rsidP="000A03F4"/>
    <w:p w:rsidR="000A03F4" w:rsidRDefault="000A03F4" w:rsidP="000A03F4">
      <w:pPr>
        <w:pStyle w:val="Heading3"/>
      </w:pPr>
    </w:p>
    <w:p w:rsidR="000A03F4" w:rsidRPr="004B6487" w:rsidRDefault="000A03F4" w:rsidP="000A03F4"/>
    <w:p w:rsidR="000A03F4" w:rsidRPr="0060013C" w:rsidRDefault="000A03F4" w:rsidP="001E451D">
      <w:pPr>
        <w:rPr>
          <w:sz w:val="24"/>
          <w:szCs w:val="24"/>
        </w:rPr>
      </w:pPr>
    </w:p>
    <w:sectPr w:rsidR="000A03F4" w:rsidRPr="0060013C" w:rsidSect="000A03F4">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3693"/>
    <w:multiLevelType w:val="hybridMultilevel"/>
    <w:tmpl w:val="D6F62CD0"/>
    <w:lvl w:ilvl="0" w:tplc="E5245868">
      <w:start w:val="1"/>
      <w:numFmt w:val="decimal"/>
      <w:lvlText w:val="%1)"/>
      <w:lvlJc w:val="left"/>
      <w:pPr>
        <w:ind w:left="360" w:hanging="360"/>
      </w:pPr>
      <w:rPr>
        <w:rFonts w:ascii="Arial Black" w:hAnsi="Arial Black" w:hint="default"/>
        <w:b w:val="0"/>
        <w:i w:val="0"/>
        <w:sz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188C5EA0"/>
    <w:multiLevelType w:val="singleLevel"/>
    <w:tmpl w:val="04090001"/>
    <w:lvl w:ilvl="0">
      <w:start w:val="1"/>
      <w:numFmt w:val="bullet"/>
      <w:lvlText w:val=""/>
      <w:lvlJc w:val="left"/>
      <w:pPr>
        <w:ind w:left="720" w:hanging="360"/>
      </w:pPr>
      <w:rPr>
        <w:rFonts w:ascii="Symbol" w:hAnsi="Symbol" w:hint="default"/>
      </w:rPr>
    </w:lvl>
  </w:abstractNum>
  <w:abstractNum w:abstractNumId="2">
    <w:nsid w:val="190D37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FBB6E58"/>
    <w:multiLevelType w:val="singleLevel"/>
    <w:tmpl w:val="045CB588"/>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4">
    <w:nsid w:val="231358B7"/>
    <w:multiLevelType w:val="hybridMultilevel"/>
    <w:tmpl w:val="43E65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5F09F2"/>
    <w:multiLevelType w:val="hybridMultilevel"/>
    <w:tmpl w:val="6DE2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D601C"/>
    <w:multiLevelType w:val="hybridMultilevel"/>
    <w:tmpl w:val="CE64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107F2"/>
    <w:multiLevelType w:val="hybridMultilevel"/>
    <w:tmpl w:val="0B58A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D435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73816CA7"/>
    <w:multiLevelType w:val="singleLevel"/>
    <w:tmpl w:val="045CB588"/>
    <w:lvl w:ilvl="0">
      <w:start w:val="1"/>
      <w:numFmt w:val="decimal"/>
      <w:lvlText w:val="%1)"/>
      <w:legacy w:legacy="1" w:legacySpace="0" w:legacyIndent="360"/>
      <w:lvlJc w:val="left"/>
      <w:pPr>
        <w:ind w:left="1440" w:hanging="360"/>
      </w:pPr>
      <w:rPr>
        <w:rFonts w:ascii="Arial Black" w:hAnsi="Arial Narrow" w:hint="default"/>
        <w:b w:val="0"/>
        <w:i w:val="0"/>
        <w:sz w:val="18"/>
      </w:rPr>
    </w:lvl>
  </w:abstractNum>
  <w:num w:numId="1">
    <w:abstractNumId w:val="7"/>
  </w:num>
  <w:num w:numId="2">
    <w:abstractNumId w:val="5"/>
  </w:num>
  <w:num w:numId="3">
    <w:abstractNumId w:val="6"/>
  </w:num>
  <w:num w:numId="4">
    <w:abstractNumId w:val="2"/>
  </w:num>
  <w:num w:numId="5">
    <w:abstractNumId w:val="8"/>
  </w:num>
  <w:num w:numId="6">
    <w:abstractNumId w:val="1"/>
  </w:num>
  <w:num w:numId="7">
    <w:abstractNumId w:val="9"/>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451D"/>
    <w:rsid w:val="00032B80"/>
    <w:rsid w:val="000404D0"/>
    <w:rsid w:val="0004123A"/>
    <w:rsid w:val="000973B2"/>
    <w:rsid w:val="000A03F4"/>
    <w:rsid w:val="000B2AAF"/>
    <w:rsid w:val="001E451D"/>
    <w:rsid w:val="0031420A"/>
    <w:rsid w:val="00382FA2"/>
    <w:rsid w:val="00383366"/>
    <w:rsid w:val="003E01DF"/>
    <w:rsid w:val="0052498E"/>
    <w:rsid w:val="005E20D7"/>
    <w:rsid w:val="0060013C"/>
    <w:rsid w:val="006E5C9D"/>
    <w:rsid w:val="00755A43"/>
    <w:rsid w:val="0087018E"/>
    <w:rsid w:val="008C49C4"/>
    <w:rsid w:val="00A94D2D"/>
    <w:rsid w:val="00AE323A"/>
    <w:rsid w:val="00CA6715"/>
    <w:rsid w:val="00CF6691"/>
    <w:rsid w:val="00D3148E"/>
    <w:rsid w:val="00D66646"/>
    <w:rsid w:val="00DA1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D7"/>
    <w:rPr>
      <w:rFonts w:ascii="Verdana" w:hAnsi="Verdana"/>
    </w:rPr>
  </w:style>
  <w:style w:type="paragraph" w:styleId="Heading1">
    <w:name w:val="heading 1"/>
    <w:basedOn w:val="Normal"/>
    <w:next w:val="Normal"/>
    <w:link w:val="Heading1Char"/>
    <w:qFormat/>
    <w:rsid w:val="008C49C4"/>
    <w:pPr>
      <w:keepNext/>
      <w:outlineLvl w:val="0"/>
    </w:pPr>
    <w:rPr>
      <w:b/>
    </w:rPr>
  </w:style>
  <w:style w:type="paragraph" w:styleId="Heading2">
    <w:name w:val="heading 2"/>
    <w:basedOn w:val="Normal"/>
    <w:next w:val="Normal"/>
    <w:link w:val="Heading2Char"/>
    <w:qFormat/>
    <w:rsid w:val="005E20D7"/>
    <w:pPr>
      <w:keepNext/>
      <w:outlineLvl w:val="1"/>
    </w:pPr>
    <w:rPr>
      <w:b/>
    </w:rPr>
  </w:style>
  <w:style w:type="paragraph" w:styleId="Heading3">
    <w:name w:val="heading 3"/>
    <w:basedOn w:val="Normal"/>
    <w:next w:val="Normal"/>
    <w:link w:val="Heading3Char"/>
    <w:qFormat/>
    <w:rsid w:val="00CA6715"/>
    <w:pPr>
      <w:widowControl w:val="0"/>
      <w:outlineLvl w:val="2"/>
    </w:pPr>
    <w:rPr>
      <w:u w:val="single"/>
    </w:rPr>
  </w:style>
  <w:style w:type="paragraph" w:styleId="Heading4">
    <w:name w:val="heading 4"/>
    <w:basedOn w:val="Normal"/>
    <w:next w:val="Normal"/>
    <w:link w:val="Heading4Char"/>
    <w:qFormat/>
    <w:rsid w:val="00CA6715"/>
    <w:pPr>
      <w:keepNext/>
      <w:outlineLvl w:val="3"/>
    </w:pPr>
    <w:rPr>
      <w:i/>
    </w:rPr>
  </w:style>
  <w:style w:type="paragraph" w:styleId="Heading5">
    <w:name w:val="heading 5"/>
    <w:basedOn w:val="Normal"/>
    <w:next w:val="Normal"/>
    <w:link w:val="Heading5Char"/>
    <w:qFormat/>
    <w:rsid w:val="00CA6715"/>
    <w:pPr>
      <w:keepNext/>
      <w:outlineLvl w:val="4"/>
    </w:pPr>
    <w:rPr>
      <w:b/>
      <w:u w:val="single"/>
    </w:rPr>
  </w:style>
  <w:style w:type="paragraph" w:styleId="Heading6">
    <w:name w:val="heading 6"/>
    <w:basedOn w:val="Normal"/>
    <w:next w:val="Normal"/>
    <w:link w:val="Heading6Char"/>
    <w:qFormat/>
    <w:rsid w:val="00CA6715"/>
    <w:pPr>
      <w:keepNext/>
      <w:outlineLvl w:val="5"/>
    </w:pPr>
    <w:rPr>
      <w:b/>
      <w:u w:val="single"/>
    </w:rPr>
  </w:style>
  <w:style w:type="paragraph" w:styleId="Heading7">
    <w:name w:val="heading 7"/>
    <w:basedOn w:val="Normal"/>
    <w:next w:val="Normal"/>
    <w:link w:val="Heading7Char"/>
    <w:qFormat/>
    <w:rsid w:val="00CA6715"/>
    <w:pPr>
      <w:keepNext/>
      <w:pBdr>
        <w:bottom w:val="single" w:sz="6" w:space="1" w:color="auto"/>
      </w:pBdr>
      <w:outlineLvl w:val="6"/>
    </w:pPr>
    <w:rPr>
      <w:b/>
    </w:rPr>
  </w:style>
  <w:style w:type="paragraph" w:styleId="Heading8">
    <w:name w:val="heading 8"/>
    <w:basedOn w:val="Normal"/>
    <w:next w:val="Normal"/>
    <w:link w:val="Heading8Char"/>
    <w:qFormat/>
    <w:rsid w:val="00CA6715"/>
    <w:pPr>
      <w:keepNext/>
      <w:outlineLvl w:val="7"/>
    </w:pPr>
    <w:rPr>
      <w:b/>
      <w:i/>
    </w:rPr>
  </w:style>
  <w:style w:type="paragraph" w:styleId="Heading9">
    <w:name w:val="heading 9"/>
    <w:basedOn w:val="Normal"/>
    <w:next w:val="Normal"/>
    <w:link w:val="Heading9Char"/>
    <w:qFormat/>
    <w:rsid w:val="00CA67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9C4"/>
    <w:rPr>
      <w:rFonts w:ascii="Verdana" w:hAnsi="Verdana"/>
      <w:b/>
    </w:rPr>
  </w:style>
  <w:style w:type="character" w:customStyle="1" w:styleId="Heading2Char">
    <w:name w:val="Heading 2 Char"/>
    <w:basedOn w:val="DefaultParagraphFont"/>
    <w:link w:val="Heading2"/>
    <w:rsid w:val="005E20D7"/>
    <w:rPr>
      <w:rFonts w:ascii="Verdana" w:hAnsi="Verdana"/>
      <w:b/>
    </w:rPr>
  </w:style>
  <w:style w:type="character" w:customStyle="1" w:styleId="Heading3Char">
    <w:name w:val="Heading 3 Char"/>
    <w:basedOn w:val="DefaultParagraphFont"/>
    <w:link w:val="Heading3"/>
    <w:rsid w:val="00CA6715"/>
    <w:rPr>
      <w:rFonts w:ascii="Arial" w:hAnsi="Arial"/>
      <w:u w:val="single"/>
    </w:rPr>
  </w:style>
  <w:style w:type="character" w:customStyle="1" w:styleId="Heading4Char">
    <w:name w:val="Heading 4 Char"/>
    <w:basedOn w:val="DefaultParagraphFont"/>
    <w:link w:val="Heading4"/>
    <w:rsid w:val="00CA6715"/>
    <w:rPr>
      <w:rFonts w:ascii="Arial" w:hAnsi="Arial"/>
      <w:i/>
    </w:rPr>
  </w:style>
  <w:style w:type="character" w:customStyle="1" w:styleId="Heading5Char">
    <w:name w:val="Heading 5 Char"/>
    <w:basedOn w:val="DefaultParagraphFont"/>
    <w:link w:val="Heading5"/>
    <w:rsid w:val="00CA6715"/>
    <w:rPr>
      <w:rFonts w:ascii="Arial" w:hAnsi="Arial"/>
      <w:b/>
      <w:u w:val="single"/>
    </w:rPr>
  </w:style>
  <w:style w:type="character" w:customStyle="1" w:styleId="Heading6Char">
    <w:name w:val="Heading 6 Char"/>
    <w:basedOn w:val="DefaultParagraphFont"/>
    <w:link w:val="Heading6"/>
    <w:rsid w:val="00CA6715"/>
    <w:rPr>
      <w:rFonts w:ascii="Arial" w:hAnsi="Arial"/>
      <w:b/>
      <w:sz w:val="24"/>
      <w:u w:val="single"/>
    </w:rPr>
  </w:style>
  <w:style w:type="character" w:customStyle="1" w:styleId="Heading7Char">
    <w:name w:val="Heading 7 Char"/>
    <w:basedOn w:val="DefaultParagraphFont"/>
    <w:link w:val="Heading7"/>
    <w:rsid w:val="00CA6715"/>
    <w:rPr>
      <w:rFonts w:ascii="Arial" w:hAnsi="Arial"/>
      <w:b/>
    </w:rPr>
  </w:style>
  <w:style w:type="character" w:customStyle="1" w:styleId="Heading8Char">
    <w:name w:val="Heading 8 Char"/>
    <w:basedOn w:val="DefaultParagraphFont"/>
    <w:link w:val="Heading8"/>
    <w:rsid w:val="00CA6715"/>
    <w:rPr>
      <w:rFonts w:ascii="Arial" w:hAnsi="Arial"/>
      <w:b/>
      <w:i/>
    </w:rPr>
  </w:style>
  <w:style w:type="character" w:customStyle="1" w:styleId="Heading9Char">
    <w:name w:val="Heading 9 Char"/>
    <w:basedOn w:val="DefaultParagraphFont"/>
    <w:link w:val="Heading9"/>
    <w:rsid w:val="00CA6715"/>
    <w:rPr>
      <w:rFonts w:ascii="Arial" w:hAnsi="Arial" w:cs="Arial"/>
      <w:sz w:val="22"/>
      <w:szCs w:val="22"/>
    </w:rPr>
  </w:style>
  <w:style w:type="paragraph" w:styleId="Caption">
    <w:name w:val="caption"/>
    <w:basedOn w:val="Normal"/>
    <w:next w:val="Normal"/>
    <w:qFormat/>
    <w:rsid w:val="00CA6715"/>
    <w:rPr>
      <w:b/>
      <w:bCs/>
    </w:rPr>
  </w:style>
  <w:style w:type="paragraph" w:styleId="Title">
    <w:name w:val="Title"/>
    <w:basedOn w:val="Normal"/>
    <w:link w:val="TitleChar"/>
    <w:qFormat/>
    <w:rsid w:val="00CA6715"/>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CA6715"/>
    <w:rPr>
      <w:rFonts w:ascii="Arial" w:hAnsi="Arial" w:cs="Arial"/>
      <w:b/>
      <w:bCs/>
      <w:kern w:val="28"/>
      <w:sz w:val="32"/>
      <w:szCs w:val="32"/>
    </w:rPr>
  </w:style>
  <w:style w:type="paragraph" w:styleId="Subtitle">
    <w:name w:val="Subtitle"/>
    <w:basedOn w:val="Normal"/>
    <w:link w:val="SubtitleChar"/>
    <w:qFormat/>
    <w:rsid w:val="00CA6715"/>
    <w:pPr>
      <w:spacing w:after="60"/>
      <w:jc w:val="center"/>
      <w:outlineLvl w:val="1"/>
    </w:pPr>
    <w:rPr>
      <w:rFonts w:cs="Arial"/>
      <w:szCs w:val="24"/>
    </w:rPr>
  </w:style>
  <w:style w:type="character" w:customStyle="1" w:styleId="SubtitleChar">
    <w:name w:val="Subtitle Char"/>
    <w:basedOn w:val="DefaultParagraphFont"/>
    <w:link w:val="Subtitle"/>
    <w:rsid w:val="00CA6715"/>
    <w:rPr>
      <w:rFonts w:ascii="Arial" w:hAnsi="Arial" w:cs="Arial"/>
      <w:sz w:val="24"/>
      <w:szCs w:val="24"/>
    </w:rPr>
  </w:style>
  <w:style w:type="character" w:styleId="Emphasis">
    <w:name w:val="Emphasis"/>
    <w:basedOn w:val="DefaultParagraphFont"/>
    <w:qFormat/>
    <w:rsid w:val="00CA6715"/>
    <w:rPr>
      <w:i/>
      <w:iCs/>
    </w:rPr>
  </w:style>
  <w:style w:type="paragraph" w:styleId="TOCHeading">
    <w:name w:val="TOC Heading"/>
    <w:basedOn w:val="Heading1"/>
    <w:next w:val="Normal"/>
    <w:uiPriority w:val="39"/>
    <w:semiHidden/>
    <w:unhideWhenUsed/>
    <w:qFormat/>
    <w:rsid w:val="00CA6715"/>
    <w:pPr>
      <w:keepLines/>
      <w:spacing w:before="480" w:line="276" w:lineRule="auto"/>
      <w:outlineLvl w:val="9"/>
    </w:pPr>
    <w:rPr>
      <w:rFonts w:ascii="Cambria" w:hAnsi="Cambria"/>
      <w:bCs/>
      <w:color w:val="365F91"/>
      <w:sz w:val="28"/>
      <w:szCs w:val="28"/>
    </w:rPr>
  </w:style>
  <w:style w:type="paragraph" w:styleId="ListParagraph">
    <w:name w:val="List Paragraph"/>
    <w:basedOn w:val="Normal"/>
    <w:uiPriority w:val="34"/>
    <w:qFormat/>
    <w:rsid w:val="0004123A"/>
    <w:pPr>
      <w:ind w:left="720"/>
      <w:contextualSpacing/>
    </w:pPr>
  </w:style>
  <w:style w:type="paragraph" w:styleId="BodyText">
    <w:name w:val="Body Text"/>
    <w:basedOn w:val="Normal"/>
    <w:link w:val="BodyTextChar"/>
    <w:uiPriority w:val="99"/>
    <w:rsid w:val="000A03F4"/>
    <w:pPr>
      <w:spacing w:after="240" w:line="240" w:lineRule="atLeast"/>
      <w:jc w:val="both"/>
    </w:pPr>
    <w:rPr>
      <w:spacing w:val="-5"/>
    </w:rPr>
  </w:style>
  <w:style w:type="character" w:customStyle="1" w:styleId="BodyTextChar">
    <w:name w:val="Body Text Char"/>
    <w:basedOn w:val="DefaultParagraphFont"/>
    <w:link w:val="BodyText"/>
    <w:uiPriority w:val="99"/>
    <w:rsid w:val="000A03F4"/>
    <w:rPr>
      <w:rFonts w:ascii="Verdana" w:hAnsi="Verdana"/>
      <w:spacing w:val="-5"/>
    </w:rPr>
  </w:style>
  <w:style w:type="paragraph" w:styleId="ListNumber">
    <w:name w:val="List Number"/>
    <w:basedOn w:val="List"/>
    <w:rsid w:val="000A03F4"/>
    <w:pPr>
      <w:spacing w:after="240" w:line="240" w:lineRule="atLeast"/>
      <w:ind w:left="0" w:firstLine="0"/>
      <w:contextualSpacing w:val="0"/>
      <w:jc w:val="both"/>
    </w:pPr>
    <w:rPr>
      <w:spacing w:val="-5"/>
    </w:rPr>
  </w:style>
  <w:style w:type="paragraph" w:styleId="List">
    <w:name w:val="List"/>
    <w:basedOn w:val="Normal"/>
    <w:uiPriority w:val="99"/>
    <w:semiHidden/>
    <w:unhideWhenUsed/>
    <w:rsid w:val="000A03F4"/>
    <w:pPr>
      <w:ind w:left="360" w:hanging="360"/>
      <w:contextualSpacing/>
    </w:pPr>
  </w:style>
  <w:style w:type="paragraph" w:styleId="BalloonText">
    <w:name w:val="Balloon Text"/>
    <w:basedOn w:val="Normal"/>
    <w:link w:val="BalloonTextChar"/>
    <w:uiPriority w:val="99"/>
    <w:semiHidden/>
    <w:unhideWhenUsed/>
    <w:rsid w:val="000A03F4"/>
    <w:rPr>
      <w:rFonts w:ascii="Tahoma" w:hAnsi="Tahoma" w:cs="Tahoma"/>
      <w:sz w:val="16"/>
      <w:szCs w:val="16"/>
    </w:rPr>
  </w:style>
  <w:style w:type="character" w:customStyle="1" w:styleId="BalloonTextChar">
    <w:name w:val="Balloon Text Char"/>
    <w:basedOn w:val="DefaultParagraphFont"/>
    <w:link w:val="BalloonText"/>
    <w:uiPriority w:val="99"/>
    <w:semiHidden/>
    <w:rsid w:val="000A0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llr6676</dc:creator>
  <cp:lastModifiedBy>llr6676</cp:lastModifiedBy>
  <cp:revision>4</cp:revision>
  <cp:lastPrinted>2015-06-29T17:44:00Z</cp:lastPrinted>
  <dcterms:created xsi:type="dcterms:W3CDTF">2015-06-29T19:55:00Z</dcterms:created>
  <dcterms:modified xsi:type="dcterms:W3CDTF">2015-06-29T20:29:00Z</dcterms:modified>
</cp:coreProperties>
</file>