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271" w:rsidRDefault="00031908"/>
    <w:p w:rsidR="00EA5C82" w:rsidRPr="00EA5C82" w:rsidRDefault="00EA5C82" w:rsidP="00EA5C82">
      <w:pPr>
        <w:pStyle w:val="Heading5"/>
        <w:rPr>
          <w:rFonts w:ascii="Verdana" w:hAnsi="Verdana"/>
          <w:sz w:val="22"/>
          <w:szCs w:val="22"/>
        </w:rPr>
      </w:pPr>
      <w:r w:rsidRPr="00EA5C82">
        <w:rPr>
          <w:rFonts w:ascii="Verdana" w:hAnsi="Verdana"/>
          <w:sz w:val="22"/>
          <w:szCs w:val="22"/>
        </w:rPr>
        <w:t>Principle</w:t>
      </w:r>
    </w:p>
    <w:p w:rsidR="00EA5C82" w:rsidRPr="00EA5C82" w:rsidRDefault="00EA5C82" w:rsidP="00EA5C82">
      <w:pPr>
        <w:rPr>
          <w:rFonts w:ascii="Verdana" w:hAnsi="Verdana"/>
          <w:sz w:val="22"/>
          <w:szCs w:val="22"/>
        </w:rPr>
      </w:pPr>
      <w:r w:rsidRPr="00EA5C82">
        <w:rPr>
          <w:rFonts w:ascii="Verdana" w:hAnsi="Verdana"/>
          <w:sz w:val="22"/>
          <w:szCs w:val="22"/>
        </w:rPr>
        <w:t xml:space="preserve">The basic principle of the erythrocyte sedimentation rate (ESR) test is that anticoagulated blood is placed in a vertical column that remains undisturbed for a specified amount of time.  </w:t>
      </w:r>
      <w:bookmarkStart w:id="0" w:name="_GoBack"/>
      <w:bookmarkEnd w:id="0"/>
      <w:r w:rsidRPr="00EA5C82">
        <w:rPr>
          <w:rFonts w:ascii="Verdana" w:hAnsi="Verdana"/>
          <w:sz w:val="22"/>
          <w:szCs w:val="22"/>
        </w:rPr>
        <w:t>At the conclusion of the test, the distance the red cells have settled is measured in mm per hour (Westergren method).</w:t>
      </w:r>
    </w:p>
    <w:p w:rsidR="00EA5C82" w:rsidRPr="00EA5C82" w:rsidRDefault="00EA5C82" w:rsidP="00EA5C82">
      <w:pPr>
        <w:rPr>
          <w:rFonts w:ascii="Verdana" w:hAnsi="Verdana"/>
          <w:sz w:val="22"/>
          <w:szCs w:val="22"/>
        </w:rPr>
      </w:pPr>
    </w:p>
    <w:p w:rsidR="00EA5C82" w:rsidRPr="00EA5C82" w:rsidRDefault="00EA5C82" w:rsidP="00EA5C82">
      <w:pPr>
        <w:rPr>
          <w:rFonts w:ascii="Verdana" w:hAnsi="Verdana"/>
          <w:sz w:val="22"/>
          <w:szCs w:val="22"/>
        </w:rPr>
      </w:pPr>
      <w:r w:rsidRPr="00EA5C82">
        <w:rPr>
          <w:rFonts w:ascii="Verdana" w:hAnsi="Verdana"/>
          <w:sz w:val="22"/>
          <w:szCs w:val="22"/>
        </w:rPr>
        <w:t>The MINI-CUBE is an automated ESR analyzer incorporating new technology that accurately and precisely measures the sedimentation rate of erythrocytes in standard 13 x 75 mm K</w:t>
      </w:r>
      <w:r w:rsidRPr="00EA5C82">
        <w:rPr>
          <w:rFonts w:ascii="Verdana" w:hAnsi="Verdana"/>
          <w:sz w:val="22"/>
          <w:szCs w:val="22"/>
          <w:vertAlign w:val="subscript"/>
        </w:rPr>
        <w:t>2</w:t>
      </w:r>
      <w:r w:rsidRPr="00EA5C82">
        <w:rPr>
          <w:rFonts w:ascii="Verdana" w:hAnsi="Verdana"/>
          <w:sz w:val="22"/>
          <w:szCs w:val="22"/>
        </w:rPr>
        <w:t>EDTA blood collection tubes with Hemogard™   or conventional stoppers, or K</w:t>
      </w:r>
      <w:r w:rsidRPr="00EA5C82">
        <w:rPr>
          <w:rFonts w:ascii="Verdana" w:hAnsi="Verdana"/>
          <w:sz w:val="22"/>
          <w:szCs w:val="22"/>
          <w:vertAlign w:val="subscript"/>
        </w:rPr>
        <w:t>2</w:t>
      </w:r>
      <w:r w:rsidRPr="00EA5C82">
        <w:rPr>
          <w:rFonts w:ascii="Verdana" w:hAnsi="Verdana"/>
          <w:sz w:val="22"/>
          <w:szCs w:val="22"/>
        </w:rPr>
        <w:t>EDTA Microtainer</w:t>
      </w:r>
      <w:r w:rsidRPr="00EA5C82">
        <w:rPr>
          <w:rFonts w:ascii="Verdana" w:hAnsi="Verdana"/>
          <w:sz w:val="22"/>
          <w:szCs w:val="22"/>
          <w:vertAlign w:val="superscript"/>
        </w:rPr>
        <w:t>®</w:t>
      </w:r>
      <w:r w:rsidRPr="00EA5C82">
        <w:rPr>
          <w:rFonts w:ascii="Verdana" w:hAnsi="Verdana"/>
          <w:sz w:val="22"/>
          <w:szCs w:val="22"/>
        </w:rPr>
        <w:t xml:space="preserve"> tubes (BD). The results are recorded as mm per hour in only 20 minutes. The instrument compensates for temperatures above 18 °C according to Manley’s Nomogram and offers the ability to adjust for patient Hematocrit values &lt;40%.</w:t>
      </w:r>
    </w:p>
    <w:p w:rsidR="00EA5C82" w:rsidRPr="00EA5C82" w:rsidRDefault="00EA5C82" w:rsidP="00EA5C82">
      <w:pPr>
        <w:rPr>
          <w:rFonts w:ascii="Verdana" w:hAnsi="Verdana"/>
          <w:sz w:val="22"/>
          <w:szCs w:val="22"/>
        </w:rPr>
      </w:pPr>
    </w:p>
    <w:p w:rsidR="00EA5C82" w:rsidRPr="00EA5C82" w:rsidRDefault="00EA5C82" w:rsidP="00EA5C82">
      <w:pPr>
        <w:rPr>
          <w:rFonts w:ascii="Verdana" w:hAnsi="Verdana"/>
          <w:sz w:val="22"/>
          <w:szCs w:val="22"/>
        </w:rPr>
      </w:pPr>
      <w:r w:rsidRPr="00EA5C82">
        <w:rPr>
          <w:rFonts w:ascii="Verdana" w:hAnsi="Verdana"/>
          <w:sz w:val="22"/>
          <w:szCs w:val="22"/>
        </w:rPr>
        <w:t>Red cell sedimentation is accelerated by an increase in the plasma concentration of “acute phase proteins,” which are increased in acute tissue damage, chronic inflammation, chronic infection, and pregnancy. The ESR reflects both the increase in certain accelerating proteins, such as fibrinogen and gamma globulins, and the decrease in retarding proteins, such as albumin. Conditions that promote the formation of rouleaux produce an elevated ESR result.</w:t>
      </w:r>
    </w:p>
    <w:p w:rsidR="00EA5C82" w:rsidRDefault="00EA5C82"/>
    <w:p w:rsidR="00CC7025" w:rsidRDefault="00CC7025"/>
    <w:p w:rsidR="00CC7025" w:rsidRDefault="00CC7025"/>
    <w:p w:rsidR="00CC7025" w:rsidRPr="00EA5C82" w:rsidRDefault="00CC7025" w:rsidP="00CC7025">
      <w:pPr>
        <w:rPr>
          <w:rFonts w:ascii="Verdana" w:hAnsi="Verdana"/>
          <w:b/>
          <w:sz w:val="22"/>
          <w:szCs w:val="22"/>
        </w:rPr>
      </w:pPr>
      <w:r w:rsidRPr="00EA5C82">
        <w:rPr>
          <w:rFonts w:ascii="Verdana" w:hAnsi="Verdana"/>
          <w:b/>
          <w:sz w:val="22"/>
          <w:szCs w:val="22"/>
        </w:rPr>
        <w:t>Specimen Collection and Handling</w:t>
      </w:r>
    </w:p>
    <w:p w:rsidR="00EA5C82" w:rsidRDefault="00EA5C82">
      <w:pPr>
        <w:rPr>
          <w:rFonts w:ascii="Verdana" w:hAnsi="Verdana"/>
          <w:sz w:val="22"/>
          <w:szCs w:val="22"/>
        </w:rPr>
      </w:pPr>
    </w:p>
    <w:p w:rsidR="00CC7025" w:rsidRDefault="00CC7025">
      <w:pPr>
        <w:rPr>
          <w:rFonts w:ascii="Verdana" w:hAnsi="Verdana"/>
          <w:sz w:val="22"/>
          <w:szCs w:val="22"/>
        </w:rPr>
      </w:pPr>
    </w:p>
    <w:p w:rsidR="00CC7025" w:rsidRPr="00EA5C82" w:rsidRDefault="00CC7025">
      <w:pPr>
        <w:rPr>
          <w:rFonts w:ascii="Verdana" w:hAnsi="Verdana"/>
          <w:sz w:val="22"/>
          <w:szCs w:val="22"/>
        </w:rPr>
      </w:pPr>
    </w:p>
    <w:p w:rsidR="00EA5C82" w:rsidRPr="00EA5C82" w:rsidRDefault="00EA5C82" w:rsidP="00EA5C82">
      <w:pPr>
        <w:pStyle w:val="Heading5"/>
        <w:rPr>
          <w:rFonts w:ascii="Verdana" w:hAnsi="Verdana"/>
          <w:sz w:val="22"/>
          <w:szCs w:val="22"/>
        </w:rPr>
      </w:pPr>
      <w:r w:rsidRPr="00EA5C82">
        <w:rPr>
          <w:rFonts w:ascii="Verdana" w:hAnsi="Verdana"/>
          <w:sz w:val="22"/>
          <w:szCs w:val="22"/>
        </w:rPr>
        <w:t>Specimen Collection</w:t>
      </w:r>
    </w:p>
    <w:p w:rsidR="00EA5C82" w:rsidRPr="00EA5C82" w:rsidRDefault="00EA5C82" w:rsidP="00EA5C82">
      <w:pPr>
        <w:rPr>
          <w:rFonts w:ascii="Verdana" w:hAnsi="Verdana"/>
          <w:sz w:val="22"/>
          <w:szCs w:val="22"/>
        </w:rPr>
      </w:pPr>
      <w:r w:rsidRPr="00EA5C82">
        <w:rPr>
          <w:rFonts w:ascii="Verdana" w:hAnsi="Verdana"/>
          <w:sz w:val="22"/>
          <w:szCs w:val="22"/>
        </w:rPr>
        <w:t>13 x 75 mm standard K</w:t>
      </w:r>
      <w:r w:rsidRPr="00EA5C82">
        <w:rPr>
          <w:rFonts w:ascii="Verdana" w:hAnsi="Verdana"/>
          <w:sz w:val="22"/>
          <w:szCs w:val="22"/>
          <w:vertAlign w:val="subscript"/>
        </w:rPr>
        <w:t>2</w:t>
      </w:r>
      <w:r w:rsidRPr="00EA5C82">
        <w:rPr>
          <w:rFonts w:ascii="Verdana" w:hAnsi="Verdana"/>
          <w:sz w:val="22"/>
          <w:szCs w:val="22"/>
        </w:rPr>
        <w:t>EDTA blood collection tubes; Acceptable sample volume: 2.0 mL – 4.0 mL</w:t>
      </w:r>
    </w:p>
    <w:p w:rsidR="00EA5C82" w:rsidRPr="00EA5C82" w:rsidRDefault="00EA5C82" w:rsidP="00EA5C82">
      <w:pPr>
        <w:rPr>
          <w:rFonts w:ascii="Verdana" w:hAnsi="Verdana"/>
          <w:sz w:val="22"/>
          <w:szCs w:val="22"/>
        </w:rPr>
      </w:pPr>
    </w:p>
    <w:p w:rsidR="00EA5C82" w:rsidRPr="00EA5C82" w:rsidRDefault="00EA5C82" w:rsidP="00EA5C82">
      <w:pPr>
        <w:rPr>
          <w:rFonts w:ascii="Verdana" w:hAnsi="Verdana"/>
          <w:b/>
          <w:sz w:val="22"/>
          <w:szCs w:val="22"/>
        </w:rPr>
      </w:pPr>
      <w:r w:rsidRPr="00EA5C82">
        <w:rPr>
          <w:rFonts w:ascii="Verdana" w:hAnsi="Verdana"/>
          <w:sz w:val="22"/>
          <w:szCs w:val="22"/>
        </w:rPr>
        <w:t>BD Microtainer K</w:t>
      </w:r>
      <w:r w:rsidRPr="00EA5C82">
        <w:rPr>
          <w:rFonts w:ascii="Verdana" w:hAnsi="Verdana"/>
          <w:sz w:val="22"/>
          <w:szCs w:val="22"/>
          <w:vertAlign w:val="subscript"/>
        </w:rPr>
        <w:t>2</w:t>
      </w:r>
      <w:r w:rsidRPr="00EA5C82">
        <w:rPr>
          <w:rFonts w:ascii="Verdana" w:hAnsi="Verdana"/>
          <w:sz w:val="22"/>
          <w:szCs w:val="22"/>
        </w:rPr>
        <w:t>EDTA blood collection tubes; Minimum sample volume: 500 µL</w:t>
      </w:r>
    </w:p>
    <w:p w:rsidR="00EA5C82" w:rsidRPr="00EA5C82" w:rsidRDefault="00EA5C82" w:rsidP="00EA5C82">
      <w:pPr>
        <w:rPr>
          <w:rFonts w:ascii="Verdana" w:hAnsi="Verdana"/>
          <w:color w:val="FF0000"/>
          <w:sz w:val="22"/>
          <w:szCs w:val="22"/>
        </w:rPr>
      </w:pPr>
    </w:p>
    <w:p w:rsidR="00EA5C82" w:rsidRPr="00EA5C82" w:rsidRDefault="00EA5C82" w:rsidP="00EA5C82">
      <w:pPr>
        <w:rPr>
          <w:rFonts w:ascii="Verdana" w:hAnsi="Verdana"/>
          <w:sz w:val="22"/>
          <w:szCs w:val="22"/>
        </w:rPr>
      </w:pPr>
      <w:r w:rsidRPr="00EA5C82">
        <w:rPr>
          <w:rFonts w:ascii="Verdana" w:hAnsi="Verdana"/>
          <w:sz w:val="22"/>
          <w:szCs w:val="22"/>
        </w:rPr>
        <w:t>Refer to CLSI guidelines for EDTA tube stability.</w:t>
      </w:r>
    </w:p>
    <w:p w:rsidR="00EA5C82" w:rsidRPr="00EA5C82" w:rsidRDefault="00EA5C82" w:rsidP="00EA5C82">
      <w:pPr>
        <w:rPr>
          <w:rFonts w:ascii="Verdana" w:hAnsi="Verdana"/>
          <w:b/>
          <w:sz w:val="22"/>
          <w:szCs w:val="22"/>
        </w:rPr>
      </w:pPr>
      <w:r w:rsidRPr="00EA5C82">
        <w:rPr>
          <w:rFonts w:ascii="Verdana" w:hAnsi="Verdana"/>
          <w:sz w:val="22"/>
          <w:szCs w:val="22"/>
        </w:rPr>
        <w:t xml:space="preserve">  </w:t>
      </w:r>
    </w:p>
    <w:p w:rsidR="00EA5C82" w:rsidRPr="00EA5C82" w:rsidRDefault="00EA5C82" w:rsidP="00EA5C82">
      <w:pPr>
        <w:rPr>
          <w:rFonts w:ascii="Verdana" w:hAnsi="Verdana"/>
          <w:sz w:val="22"/>
          <w:szCs w:val="22"/>
        </w:rPr>
      </w:pPr>
      <w:r w:rsidRPr="00EA5C82">
        <w:rPr>
          <w:rFonts w:ascii="Verdana" w:hAnsi="Verdana"/>
          <w:b/>
          <w:sz w:val="22"/>
          <w:szCs w:val="22"/>
        </w:rPr>
        <w:t xml:space="preserve">NOTE: </w:t>
      </w:r>
      <w:r w:rsidRPr="00EA5C82">
        <w:rPr>
          <w:rFonts w:ascii="Verdana" w:hAnsi="Verdana"/>
          <w:sz w:val="22"/>
          <w:szCs w:val="22"/>
        </w:rPr>
        <w:t xml:space="preserve">The MINI-CUBE can accept EDTA sample tubes with a maximum of </w:t>
      </w:r>
      <w:r w:rsidRPr="00EA5C82">
        <w:rPr>
          <w:rFonts w:ascii="Verdana" w:hAnsi="Verdana"/>
          <w:b/>
          <w:sz w:val="22"/>
          <w:szCs w:val="22"/>
          <w:u w:val="single"/>
        </w:rPr>
        <w:t>one</w:t>
      </w:r>
      <w:r w:rsidRPr="00EA5C82">
        <w:rPr>
          <w:rFonts w:ascii="Verdana" w:hAnsi="Verdana"/>
          <w:sz w:val="22"/>
          <w:szCs w:val="22"/>
        </w:rPr>
        <w:t xml:space="preserve"> secondary patient label adhered as close to the lavender cap as possible and with a label-free gap on one side of the tube.</w:t>
      </w:r>
    </w:p>
    <w:p w:rsidR="00EA5C82" w:rsidRDefault="00EA5C82"/>
    <w:p w:rsidR="00EA5C82" w:rsidRPr="00EA5C82" w:rsidRDefault="00EA5C82" w:rsidP="00EA5C82">
      <w:pPr>
        <w:rPr>
          <w:rFonts w:ascii="Verdana" w:hAnsi="Verdana"/>
          <w:b/>
          <w:sz w:val="22"/>
          <w:szCs w:val="22"/>
        </w:rPr>
      </w:pPr>
    </w:p>
    <w:p w:rsidR="00EA5C82" w:rsidRPr="00EA5C82" w:rsidRDefault="00EA5C82" w:rsidP="00EA5C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2"/>
          <w:szCs w:val="22"/>
        </w:rPr>
      </w:pPr>
      <w:r w:rsidRPr="00EA5C82">
        <w:rPr>
          <w:rFonts w:ascii="Verdana" w:hAnsi="Verdana"/>
          <w:b/>
          <w:sz w:val="22"/>
          <w:szCs w:val="22"/>
        </w:rPr>
        <w:t>Specimen:</w:t>
      </w:r>
      <w:r w:rsidRPr="00EA5C82">
        <w:rPr>
          <w:rFonts w:ascii="Verdana" w:hAnsi="Verdana"/>
          <w:sz w:val="22"/>
          <w:szCs w:val="22"/>
        </w:rPr>
        <w:t xml:space="preserve"> The specimen of choice is whole blood anticoagulated with EDTA.</w:t>
      </w:r>
    </w:p>
    <w:p w:rsidR="00EA5C82" w:rsidRPr="00EA5C82" w:rsidRDefault="00EA5C82" w:rsidP="00EA5C82">
      <w:pPr>
        <w:numPr>
          <w:ilvl w:val="0"/>
          <w:numId w:val="2"/>
        </w:num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2"/>
          <w:szCs w:val="22"/>
        </w:rPr>
      </w:pPr>
      <w:r w:rsidRPr="00EA5C82">
        <w:rPr>
          <w:rFonts w:ascii="Verdana" w:hAnsi="Verdana"/>
          <w:sz w:val="22"/>
          <w:szCs w:val="22"/>
        </w:rPr>
        <w:t>Optimal draw is a tube drawn to capacity</w:t>
      </w:r>
      <w:r w:rsidR="00031908">
        <w:rPr>
          <w:rFonts w:ascii="Verdana" w:hAnsi="Verdana"/>
          <w:sz w:val="22"/>
          <w:szCs w:val="22"/>
        </w:rPr>
        <w:t xml:space="preserve">.  </w:t>
      </w:r>
      <w:r w:rsidRPr="00EA5C82">
        <w:rPr>
          <w:rFonts w:ascii="Verdana" w:hAnsi="Verdana"/>
          <w:sz w:val="22"/>
          <w:szCs w:val="22"/>
        </w:rPr>
        <w:t xml:space="preserve">You need at least </w:t>
      </w:r>
      <w:r>
        <w:rPr>
          <w:rFonts w:ascii="Verdana" w:hAnsi="Verdana"/>
          <w:sz w:val="22"/>
          <w:szCs w:val="22"/>
        </w:rPr>
        <w:t>2.0</w:t>
      </w:r>
      <w:r w:rsidRPr="00EA5C82">
        <w:rPr>
          <w:rFonts w:ascii="Verdana" w:hAnsi="Verdana"/>
          <w:sz w:val="22"/>
          <w:szCs w:val="22"/>
        </w:rPr>
        <w:t xml:space="preserve"> ml of sample per test.</w:t>
      </w:r>
    </w:p>
    <w:p w:rsidR="00EA5C82" w:rsidRPr="00EA5C82" w:rsidRDefault="00EA5C82" w:rsidP="00EA5C82">
      <w:pPr>
        <w:numPr>
          <w:ilvl w:val="0"/>
          <w:numId w:val="2"/>
        </w:num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2"/>
          <w:szCs w:val="22"/>
        </w:rPr>
      </w:pPr>
      <w:r w:rsidRPr="00EA5C82">
        <w:rPr>
          <w:rFonts w:ascii="Verdana" w:hAnsi="Verdana"/>
          <w:sz w:val="22"/>
          <w:szCs w:val="22"/>
        </w:rPr>
        <w:t xml:space="preserve">Specimens must not be clotted (fibrin strands, clots), grossly hemolyzed, or drawn above (proximal) an IV sight.  </w:t>
      </w:r>
    </w:p>
    <w:p w:rsidR="00EA5C82" w:rsidRDefault="00EA5C82" w:rsidP="00EA5C82">
      <w:p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szCs w:val="24"/>
        </w:rPr>
      </w:pPr>
    </w:p>
    <w:p w:rsidR="00EA5C82" w:rsidRDefault="00EA5C82" w:rsidP="00EA5C82">
      <w:p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szCs w:val="24"/>
        </w:rPr>
      </w:pPr>
    </w:p>
    <w:p w:rsidR="00EA5C82" w:rsidRDefault="00EA5C82" w:rsidP="00EA5C82">
      <w:p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szCs w:val="24"/>
        </w:rPr>
      </w:pPr>
    </w:p>
    <w:p w:rsidR="00EA5C82" w:rsidRDefault="00EA5C82" w:rsidP="00EA5C82">
      <w:p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szCs w:val="24"/>
        </w:rPr>
      </w:pPr>
    </w:p>
    <w:p w:rsidR="00EA5C82" w:rsidRPr="00EA5C82" w:rsidRDefault="00EA5C82" w:rsidP="00EA5C82">
      <w:p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szCs w:val="24"/>
        </w:rPr>
      </w:pPr>
    </w:p>
    <w:p w:rsidR="00EA5C82" w:rsidRPr="00EA5C82" w:rsidRDefault="00EA5C82" w:rsidP="00EA5C82">
      <w:pPr>
        <w:rPr>
          <w:rFonts w:ascii="Verdana" w:hAnsi="Verdana"/>
          <w:sz w:val="22"/>
          <w:szCs w:val="22"/>
        </w:rPr>
      </w:pPr>
      <w:r w:rsidRPr="00EA5C82">
        <w:rPr>
          <w:rFonts w:ascii="Verdana" w:hAnsi="Verdana"/>
          <w:b/>
          <w:sz w:val="22"/>
          <w:szCs w:val="22"/>
        </w:rPr>
        <w:t>Patient Preparation:</w:t>
      </w:r>
      <w:r w:rsidRPr="00EA5C82">
        <w:rPr>
          <w:rFonts w:ascii="Verdana" w:hAnsi="Verdana"/>
          <w:sz w:val="22"/>
          <w:szCs w:val="22"/>
        </w:rPr>
        <w:t xml:space="preserve"> No special patient preparation is required</w:t>
      </w:r>
    </w:p>
    <w:p w:rsidR="00EA5C82" w:rsidRPr="00EA5C82" w:rsidRDefault="00EA5C82" w:rsidP="00EA5C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Verdana" w:hAnsi="Verdana"/>
          <w:b/>
          <w:sz w:val="22"/>
          <w:szCs w:val="22"/>
        </w:rPr>
      </w:pPr>
      <w:r w:rsidRPr="00EA5C82">
        <w:rPr>
          <w:rFonts w:ascii="Verdana" w:hAnsi="Verdana"/>
          <w:b/>
          <w:sz w:val="22"/>
          <w:szCs w:val="22"/>
        </w:rPr>
        <w:t>Handling Conditions:</w:t>
      </w:r>
    </w:p>
    <w:p w:rsidR="00EA5C82" w:rsidRPr="00EA5C82" w:rsidRDefault="00EA5C82" w:rsidP="00EA5C82">
      <w:pPr>
        <w:numPr>
          <w:ilvl w:val="0"/>
          <w:numId w:val="1"/>
        </w:num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2"/>
          <w:szCs w:val="22"/>
        </w:rPr>
      </w:pPr>
      <w:r w:rsidRPr="00EA5C82">
        <w:rPr>
          <w:rFonts w:ascii="Verdana" w:hAnsi="Verdana"/>
          <w:sz w:val="22"/>
          <w:szCs w:val="22"/>
        </w:rPr>
        <w:t xml:space="preserve"> Samples must be properly labeled.</w:t>
      </w:r>
    </w:p>
    <w:p w:rsidR="00EA5C82" w:rsidRPr="00EA5C82" w:rsidRDefault="00EA5C82" w:rsidP="00EA5C82">
      <w:pPr>
        <w:numPr>
          <w:ilvl w:val="0"/>
          <w:numId w:val="1"/>
        </w:num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2"/>
          <w:szCs w:val="22"/>
        </w:rPr>
      </w:pPr>
      <w:r w:rsidRPr="00EA5C82">
        <w:rPr>
          <w:rFonts w:ascii="Verdana" w:hAnsi="Verdana"/>
          <w:sz w:val="22"/>
          <w:szCs w:val="22"/>
        </w:rPr>
        <w:t>All specimens will be checked visually for clots.</w:t>
      </w:r>
    </w:p>
    <w:p w:rsidR="00EA5C82" w:rsidRPr="00EA5C82" w:rsidRDefault="00EA5C82" w:rsidP="00EA5C82">
      <w:pPr>
        <w:numPr>
          <w:ilvl w:val="0"/>
          <w:numId w:val="1"/>
        </w:num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2"/>
          <w:szCs w:val="22"/>
        </w:rPr>
      </w:pPr>
      <w:r w:rsidRPr="00EA5C82">
        <w:rPr>
          <w:rFonts w:ascii="Verdana" w:hAnsi="Verdana"/>
          <w:sz w:val="22"/>
          <w:szCs w:val="22"/>
        </w:rPr>
        <w:t>Samples can be run within 4 hours if stored at room temperature (15-30°C)</w:t>
      </w:r>
    </w:p>
    <w:p w:rsidR="00EA5C82" w:rsidRPr="00EA5C82" w:rsidRDefault="00EA5C82" w:rsidP="00EA5C82">
      <w:pPr>
        <w:numPr>
          <w:ilvl w:val="0"/>
          <w:numId w:val="1"/>
        </w:num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2"/>
          <w:szCs w:val="22"/>
        </w:rPr>
      </w:pPr>
      <w:r w:rsidRPr="00EA5C82">
        <w:rPr>
          <w:rFonts w:ascii="Verdana" w:hAnsi="Verdana"/>
          <w:sz w:val="22"/>
          <w:szCs w:val="22"/>
        </w:rPr>
        <w:t>All specimens failing to meet these requirements must be recollected.  All recollections must be docu</w:t>
      </w:r>
      <w:r w:rsidR="00031908">
        <w:rPr>
          <w:rFonts w:ascii="Verdana" w:hAnsi="Verdana"/>
          <w:sz w:val="22"/>
          <w:szCs w:val="22"/>
        </w:rPr>
        <w:t>mented in the Laboratory LIS system</w:t>
      </w:r>
      <w:r w:rsidRPr="00EA5C82">
        <w:rPr>
          <w:rFonts w:ascii="Verdana" w:hAnsi="Verdana"/>
          <w:sz w:val="22"/>
          <w:szCs w:val="22"/>
        </w:rPr>
        <w:t>.</w:t>
      </w:r>
    </w:p>
    <w:p w:rsidR="00EA5C82" w:rsidRPr="00EA5C82" w:rsidRDefault="00EA5C82" w:rsidP="00EA5C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ascii="Verdana" w:hAnsi="Verdana"/>
          <w:b/>
          <w:sz w:val="22"/>
          <w:szCs w:val="22"/>
        </w:rPr>
      </w:pPr>
    </w:p>
    <w:p w:rsidR="00EA5C82" w:rsidRPr="00EA5C82" w:rsidRDefault="00EA5C82" w:rsidP="00EA5C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ascii="Verdana" w:hAnsi="Verdana"/>
          <w:b/>
          <w:sz w:val="22"/>
          <w:szCs w:val="22"/>
        </w:rPr>
      </w:pPr>
    </w:p>
    <w:p w:rsidR="00EA5C82" w:rsidRDefault="00EA5C82" w:rsidP="00EA5C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ascii="Verdana" w:hAnsi="Verdana"/>
          <w:b/>
          <w:sz w:val="22"/>
          <w:szCs w:val="22"/>
        </w:rPr>
      </w:pPr>
      <w:r w:rsidRPr="00EA5C82">
        <w:rPr>
          <w:rFonts w:ascii="Verdana" w:hAnsi="Verdana"/>
          <w:b/>
          <w:sz w:val="22"/>
          <w:szCs w:val="22"/>
        </w:rPr>
        <w:t>Note: All patient specimens should be treated as infectious body substances.  Follow Body Substances isolation precautions.</w:t>
      </w:r>
    </w:p>
    <w:p w:rsidR="00CC7025" w:rsidRDefault="00CC7025" w:rsidP="00EA5C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ascii="Verdana" w:hAnsi="Verdana"/>
          <w:b/>
          <w:sz w:val="22"/>
          <w:szCs w:val="22"/>
        </w:rPr>
      </w:pPr>
    </w:p>
    <w:p w:rsidR="00CC7025" w:rsidRDefault="00CC7025" w:rsidP="00EA5C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ascii="Verdana" w:hAnsi="Verdana"/>
          <w:b/>
          <w:sz w:val="22"/>
          <w:szCs w:val="22"/>
        </w:rPr>
      </w:pPr>
    </w:p>
    <w:p w:rsidR="00EA5C82" w:rsidRDefault="00EA5C82" w:rsidP="00EA5C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sz w:val="22"/>
          <w:szCs w:val="22"/>
        </w:rPr>
      </w:pPr>
    </w:p>
    <w:p w:rsidR="00EA5C82" w:rsidRPr="00EA5C82" w:rsidRDefault="00EA5C82" w:rsidP="00EA5C82">
      <w:pPr>
        <w:rPr>
          <w:rFonts w:ascii="Verdana" w:hAnsi="Verdana"/>
          <w:b/>
          <w:sz w:val="22"/>
          <w:szCs w:val="22"/>
        </w:rPr>
      </w:pPr>
      <w:r w:rsidRPr="00EA5C82">
        <w:rPr>
          <w:rFonts w:ascii="Verdana" w:hAnsi="Verdana"/>
          <w:b/>
          <w:sz w:val="22"/>
          <w:szCs w:val="22"/>
        </w:rPr>
        <w:t>Loading a Transponder</w:t>
      </w:r>
    </w:p>
    <w:p w:rsidR="00EA5C82" w:rsidRPr="00EA5C82" w:rsidRDefault="00EA5C82" w:rsidP="00EA5C82">
      <w:pPr>
        <w:numPr>
          <w:ilvl w:val="0"/>
          <w:numId w:val="3"/>
        </w:numPr>
        <w:rPr>
          <w:rFonts w:ascii="Verdana" w:hAnsi="Verdana"/>
          <w:sz w:val="22"/>
          <w:szCs w:val="22"/>
        </w:rPr>
      </w:pPr>
      <w:r w:rsidRPr="00EA5C82">
        <w:rPr>
          <w:rFonts w:ascii="Verdana" w:hAnsi="Verdana"/>
          <w:sz w:val="22"/>
          <w:szCs w:val="22"/>
        </w:rPr>
        <w:t xml:space="preserve">From the HOME screen, select the SETTINGS icon. </w:t>
      </w:r>
    </w:p>
    <w:p w:rsidR="00EA5C82" w:rsidRPr="00EA5C82" w:rsidRDefault="00EA5C82" w:rsidP="00EA5C82">
      <w:pPr>
        <w:numPr>
          <w:ilvl w:val="0"/>
          <w:numId w:val="3"/>
        </w:numPr>
        <w:rPr>
          <w:rFonts w:ascii="Verdana" w:hAnsi="Verdana"/>
          <w:sz w:val="22"/>
          <w:szCs w:val="22"/>
        </w:rPr>
      </w:pPr>
      <w:r w:rsidRPr="00EA5C82">
        <w:rPr>
          <w:rFonts w:ascii="Verdana" w:hAnsi="Verdana"/>
          <w:sz w:val="22"/>
          <w:szCs w:val="22"/>
        </w:rPr>
        <w:t>Navigate to page 2 in SETTINGS and select REFILL to load more tests on the MINI-CUBE.</w:t>
      </w:r>
    </w:p>
    <w:p w:rsidR="00EA5C82" w:rsidRPr="00EA5C82" w:rsidRDefault="00EA5C82" w:rsidP="00EA5C82">
      <w:pPr>
        <w:numPr>
          <w:ilvl w:val="0"/>
          <w:numId w:val="3"/>
        </w:numPr>
        <w:rPr>
          <w:rFonts w:ascii="Verdana" w:hAnsi="Verdana"/>
          <w:sz w:val="22"/>
          <w:szCs w:val="22"/>
        </w:rPr>
      </w:pPr>
      <w:r w:rsidRPr="00EA5C82">
        <w:rPr>
          <w:rFonts w:ascii="Verdana" w:hAnsi="Verdana"/>
          <w:sz w:val="22"/>
          <w:szCs w:val="22"/>
        </w:rPr>
        <w:t xml:space="preserve">A window reading “Insert CHECK DEVICE and press CHECK key” will open. </w:t>
      </w:r>
    </w:p>
    <w:p w:rsidR="00EA5C82" w:rsidRPr="00EA5C82" w:rsidRDefault="00EA5C82" w:rsidP="00EA5C82">
      <w:pPr>
        <w:numPr>
          <w:ilvl w:val="0"/>
          <w:numId w:val="3"/>
        </w:numPr>
        <w:rPr>
          <w:rFonts w:ascii="Verdana" w:hAnsi="Verdana"/>
          <w:sz w:val="22"/>
          <w:szCs w:val="22"/>
        </w:rPr>
      </w:pPr>
      <w:r w:rsidRPr="00EA5C82">
        <w:rPr>
          <w:rFonts w:ascii="Verdana" w:hAnsi="Verdana"/>
          <w:sz w:val="22"/>
          <w:szCs w:val="22"/>
        </w:rPr>
        <w:t>Gently lay the instrument down with the display screen facing up and insert the transponder tube with the cap to the left.</w:t>
      </w:r>
    </w:p>
    <w:p w:rsidR="00EA5C82" w:rsidRPr="00EA5C82" w:rsidRDefault="00EA5C82" w:rsidP="00EA5C82">
      <w:pPr>
        <w:numPr>
          <w:ilvl w:val="0"/>
          <w:numId w:val="3"/>
        </w:numPr>
        <w:rPr>
          <w:rFonts w:ascii="Verdana" w:hAnsi="Verdana"/>
          <w:sz w:val="22"/>
          <w:szCs w:val="22"/>
        </w:rPr>
      </w:pPr>
      <w:r w:rsidRPr="00EA5C82">
        <w:rPr>
          <w:rFonts w:ascii="Verdana" w:hAnsi="Verdana"/>
          <w:sz w:val="22"/>
          <w:szCs w:val="22"/>
        </w:rPr>
        <w:t>Place the instrument upright, press CHECK and follow the instructions on the screen.</w:t>
      </w:r>
    </w:p>
    <w:p w:rsidR="00EA5C82" w:rsidRPr="00EA5C82" w:rsidRDefault="00EA5C82" w:rsidP="00EA5C82">
      <w:pPr>
        <w:numPr>
          <w:ilvl w:val="0"/>
          <w:numId w:val="3"/>
        </w:numPr>
        <w:rPr>
          <w:rFonts w:ascii="Verdana" w:hAnsi="Verdana"/>
          <w:sz w:val="22"/>
          <w:szCs w:val="22"/>
        </w:rPr>
      </w:pPr>
      <w:r w:rsidRPr="00EA5C82">
        <w:rPr>
          <w:rFonts w:ascii="Verdana" w:hAnsi="Verdana"/>
          <w:sz w:val="22"/>
          <w:szCs w:val="22"/>
        </w:rPr>
        <w:t>The number of remaining tests will update in the upper left corner of the screen.</w:t>
      </w:r>
    </w:p>
    <w:p w:rsidR="00EA5C82" w:rsidRDefault="00EA5C82" w:rsidP="00EA5C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sz w:val="22"/>
          <w:szCs w:val="22"/>
        </w:rPr>
      </w:pPr>
    </w:p>
    <w:p w:rsidR="00EA5C82" w:rsidRPr="00EA5C82" w:rsidRDefault="00EA5C82" w:rsidP="00EA5C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sz w:val="22"/>
          <w:szCs w:val="22"/>
        </w:rPr>
      </w:pPr>
    </w:p>
    <w:p w:rsidR="00CC7025" w:rsidRPr="00EA5C82" w:rsidRDefault="00EA5C82" w:rsidP="00EA5C82">
      <w:pPr>
        <w:rPr>
          <w:rFonts w:ascii="Verdana" w:hAnsi="Verdana"/>
          <w:b/>
          <w:sz w:val="22"/>
          <w:szCs w:val="22"/>
        </w:rPr>
      </w:pPr>
      <w:r w:rsidRPr="00EA5C82">
        <w:rPr>
          <w:rFonts w:ascii="Verdana" w:hAnsi="Verdana"/>
          <w:b/>
          <w:sz w:val="22"/>
          <w:szCs w:val="22"/>
        </w:rPr>
        <w:t>Quality Control</w:t>
      </w:r>
    </w:p>
    <w:p w:rsidR="00B0595B" w:rsidRPr="00B0595B" w:rsidRDefault="00B0595B" w:rsidP="00B0595B">
      <w:pPr>
        <w:rPr>
          <w:rFonts w:ascii="Verdana" w:hAnsi="Verdana"/>
          <w:sz w:val="22"/>
          <w:szCs w:val="22"/>
        </w:rPr>
      </w:pPr>
    </w:p>
    <w:p w:rsidR="00B0595B" w:rsidRPr="00B0595B" w:rsidRDefault="00B0595B" w:rsidP="00B0595B">
      <w:pPr>
        <w:rPr>
          <w:rFonts w:ascii="Verdana" w:hAnsi="Verdana"/>
          <w:sz w:val="22"/>
          <w:szCs w:val="22"/>
        </w:rPr>
      </w:pPr>
      <w:r w:rsidRPr="00B0595B">
        <w:rPr>
          <w:rFonts w:ascii="Verdana" w:hAnsi="Verdana"/>
          <w:sz w:val="22"/>
          <w:szCs w:val="22"/>
        </w:rPr>
        <w:t xml:space="preserve">Two levels of control material will be performed once per day.  Results will be documented into the Laboratory LIS System via the HEMO QC worksheet.  </w:t>
      </w:r>
    </w:p>
    <w:p w:rsidR="00B0595B" w:rsidRPr="00B0595B" w:rsidRDefault="00B0595B" w:rsidP="00B0595B">
      <w:pPr>
        <w:rPr>
          <w:rFonts w:ascii="Verdana" w:hAnsi="Verdana"/>
          <w:sz w:val="22"/>
          <w:szCs w:val="22"/>
        </w:rPr>
      </w:pPr>
    </w:p>
    <w:p w:rsidR="00B0595B" w:rsidRPr="00B0595B" w:rsidRDefault="00B0595B" w:rsidP="00B0595B">
      <w:pPr>
        <w:rPr>
          <w:rFonts w:ascii="Verdana" w:hAnsi="Verdana"/>
          <w:sz w:val="22"/>
          <w:szCs w:val="22"/>
        </w:rPr>
      </w:pPr>
      <w:r w:rsidRPr="00B0595B">
        <w:rPr>
          <w:rFonts w:ascii="Verdana" w:hAnsi="Verdana"/>
          <w:b/>
          <w:sz w:val="22"/>
          <w:szCs w:val="22"/>
        </w:rPr>
        <w:t xml:space="preserve">Controls: </w:t>
      </w:r>
      <w:r w:rsidRPr="00B0595B">
        <w:rPr>
          <w:rFonts w:ascii="Verdana" w:hAnsi="Verdana"/>
          <w:sz w:val="22"/>
          <w:szCs w:val="22"/>
        </w:rPr>
        <w:t xml:space="preserve">ESR-Chex </w:t>
      </w:r>
      <w:r>
        <w:rPr>
          <w:rFonts w:ascii="Verdana" w:hAnsi="Verdana"/>
          <w:sz w:val="22"/>
          <w:szCs w:val="22"/>
        </w:rPr>
        <w:t xml:space="preserve">Plus </w:t>
      </w:r>
      <w:r w:rsidRPr="00B0595B">
        <w:rPr>
          <w:rFonts w:ascii="Verdana" w:hAnsi="Verdana"/>
          <w:sz w:val="22"/>
          <w:szCs w:val="22"/>
        </w:rPr>
        <w:t>is an assayed bi-level control for evaluating the accuracy and precision of automated and manual Erythrocyte Sedimentation Rate (ESR) methods.</w:t>
      </w:r>
    </w:p>
    <w:p w:rsidR="00B0595B" w:rsidRPr="00B0595B" w:rsidRDefault="00B0595B" w:rsidP="00B0595B">
      <w:pPr>
        <w:rPr>
          <w:szCs w:val="24"/>
        </w:rPr>
      </w:pPr>
    </w:p>
    <w:p w:rsidR="00CC7025" w:rsidRPr="00CC7025" w:rsidRDefault="00CC7025" w:rsidP="00CC7025">
      <w:pPr>
        <w:rPr>
          <w:rFonts w:ascii="Verdana" w:hAnsi="Verdana"/>
          <w:sz w:val="22"/>
          <w:szCs w:val="22"/>
        </w:rPr>
      </w:pPr>
      <w:r w:rsidRPr="00CC7025">
        <w:rPr>
          <w:rFonts w:ascii="Verdana" w:hAnsi="Verdana"/>
          <w:b/>
          <w:sz w:val="22"/>
          <w:szCs w:val="22"/>
        </w:rPr>
        <w:t>Registering a New QC Lot</w:t>
      </w:r>
    </w:p>
    <w:p w:rsidR="00CC7025" w:rsidRDefault="00CC7025" w:rsidP="00CC7025">
      <w:pPr>
        <w:rPr>
          <w:rFonts w:ascii="Verdana" w:hAnsi="Verdana"/>
          <w:sz w:val="22"/>
          <w:szCs w:val="22"/>
        </w:rPr>
      </w:pPr>
      <w:r w:rsidRPr="00CC7025">
        <w:rPr>
          <w:rFonts w:ascii="Verdana" w:hAnsi="Verdana"/>
          <w:sz w:val="22"/>
          <w:szCs w:val="22"/>
        </w:rPr>
        <w:t>Only one control lot may be registered in the QC file at a time. Registering a new control lot will delete the registration of the previous lot. Control data from the previous lot will be saved in the QC Archive.</w:t>
      </w:r>
    </w:p>
    <w:p w:rsidR="00CC7025" w:rsidRDefault="00CC7025" w:rsidP="00CC7025">
      <w:pPr>
        <w:rPr>
          <w:rFonts w:ascii="Verdana" w:hAnsi="Verdana"/>
          <w:sz w:val="22"/>
          <w:szCs w:val="22"/>
        </w:rPr>
      </w:pPr>
    </w:p>
    <w:p w:rsidR="00CC7025" w:rsidRPr="00CC7025" w:rsidRDefault="00CC7025" w:rsidP="00CC7025">
      <w:pPr>
        <w:rPr>
          <w:rFonts w:ascii="Verdana" w:hAnsi="Verdana"/>
          <w:sz w:val="22"/>
          <w:szCs w:val="22"/>
        </w:rPr>
      </w:pPr>
    </w:p>
    <w:p w:rsidR="00CC7025" w:rsidRPr="00CC7025" w:rsidRDefault="00CC7025" w:rsidP="00CC7025">
      <w:pPr>
        <w:rPr>
          <w:rFonts w:ascii="Verdana" w:hAnsi="Verdana"/>
          <w:sz w:val="22"/>
          <w:szCs w:val="22"/>
        </w:rPr>
      </w:pPr>
    </w:p>
    <w:p w:rsidR="00CC7025" w:rsidRPr="00CC7025" w:rsidRDefault="00CC7025" w:rsidP="00CC7025">
      <w:pPr>
        <w:numPr>
          <w:ilvl w:val="0"/>
          <w:numId w:val="9"/>
        </w:numPr>
        <w:rPr>
          <w:rFonts w:ascii="Verdana" w:hAnsi="Verdana"/>
          <w:sz w:val="22"/>
          <w:szCs w:val="22"/>
        </w:rPr>
      </w:pPr>
      <w:r w:rsidRPr="00CC7025">
        <w:rPr>
          <w:rFonts w:ascii="Verdana" w:hAnsi="Verdana"/>
          <w:sz w:val="22"/>
          <w:szCs w:val="22"/>
        </w:rPr>
        <w:t>From the HOME screen, select the SETTINGS icon.</w:t>
      </w:r>
    </w:p>
    <w:p w:rsidR="00CC7025" w:rsidRPr="00CC7025" w:rsidRDefault="00CC7025" w:rsidP="00CC7025">
      <w:pPr>
        <w:numPr>
          <w:ilvl w:val="0"/>
          <w:numId w:val="9"/>
        </w:numPr>
        <w:rPr>
          <w:rFonts w:ascii="Verdana" w:hAnsi="Verdana"/>
          <w:sz w:val="22"/>
          <w:szCs w:val="22"/>
        </w:rPr>
      </w:pPr>
      <w:r w:rsidRPr="00CC7025">
        <w:rPr>
          <w:rFonts w:ascii="Verdana" w:hAnsi="Verdana"/>
          <w:sz w:val="22"/>
          <w:szCs w:val="22"/>
        </w:rPr>
        <w:t>Navigate to page 2 in SETTINGS and Select QC to open the QC SETTINGS screen.</w:t>
      </w:r>
    </w:p>
    <w:p w:rsidR="00CC7025" w:rsidRPr="00CC7025" w:rsidRDefault="00CC7025" w:rsidP="00CC7025">
      <w:pPr>
        <w:numPr>
          <w:ilvl w:val="0"/>
          <w:numId w:val="9"/>
        </w:numPr>
        <w:rPr>
          <w:rFonts w:ascii="Verdana" w:hAnsi="Verdana"/>
          <w:sz w:val="22"/>
          <w:szCs w:val="22"/>
        </w:rPr>
      </w:pPr>
      <w:r w:rsidRPr="00CC7025">
        <w:rPr>
          <w:rFonts w:ascii="Verdana" w:hAnsi="Verdana"/>
          <w:sz w:val="22"/>
          <w:szCs w:val="22"/>
        </w:rPr>
        <w:t>Scan the barcode on each level of ESR-Chex Plus to auto-populate the barcode, lot number, expiration date and control range fields. Alternatively, manually enter the information listed on the control assay into these fields.</w:t>
      </w:r>
    </w:p>
    <w:p w:rsidR="00CC7025" w:rsidRPr="00CC7025" w:rsidRDefault="00CC7025" w:rsidP="00CC7025">
      <w:pPr>
        <w:numPr>
          <w:ilvl w:val="0"/>
          <w:numId w:val="9"/>
        </w:numPr>
        <w:rPr>
          <w:rFonts w:ascii="Verdana" w:hAnsi="Verdana"/>
          <w:sz w:val="22"/>
          <w:szCs w:val="22"/>
        </w:rPr>
      </w:pPr>
      <w:r w:rsidRPr="00CC7025">
        <w:rPr>
          <w:rFonts w:ascii="Verdana" w:hAnsi="Verdana"/>
          <w:sz w:val="22"/>
          <w:szCs w:val="22"/>
        </w:rPr>
        <w:t>Press the RETURN arrow on the lower left corner of the screen to exit QC SETTINGS.</w:t>
      </w:r>
    </w:p>
    <w:p w:rsidR="00CC7025" w:rsidRPr="00CC7025" w:rsidRDefault="00CC7025" w:rsidP="00CC7025">
      <w:pPr>
        <w:numPr>
          <w:ilvl w:val="0"/>
          <w:numId w:val="9"/>
        </w:numPr>
        <w:rPr>
          <w:rFonts w:ascii="Verdana" w:hAnsi="Verdana"/>
          <w:sz w:val="22"/>
          <w:szCs w:val="22"/>
        </w:rPr>
      </w:pPr>
      <w:r w:rsidRPr="00CC7025">
        <w:rPr>
          <w:rFonts w:ascii="Verdana" w:hAnsi="Verdana"/>
          <w:sz w:val="22"/>
          <w:szCs w:val="22"/>
        </w:rPr>
        <w:t>Press YES to save the new settings, or NO to discard the new settings.</w:t>
      </w:r>
    </w:p>
    <w:p w:rsidR="00B0595B" w:rsidRPr="00B0595B" w:rsidRDefault="00B0595B" w:rsidP="00B0595B">
      <w:pPr>
        <w:rPr>
          <w:szCs w:val="24"/>
        </w:rPr>
      </w:pPr>
    </w:p>
    <w:p w:rsidR="00B0595B" w:rsidRDefault="00B0595B" w:rsidP="00B0595B">
      <w:pPr>
        <w:rPr>
          <w:rFonts w:ascii="Verdana" w:hAnsi="Verdana"/>
          <w:sz w:val="22"/>
          <w:szCs w:val="22"/>
        </w:rPr>
      </w:pPr>
      <w:r w:rsidRPr="00B0595B">
        <w:rPr>
          <w:rFonts w:ascii="Verdana" w:hAnsi="Verdana"/>
          <w:b/>
          <w:sz w:val="22"/>
          <w:szCs w:val="22"/>
        </w:rPr>
        <w:t xml:space="preserve">Handling Conditions: </w:t>
      </w:r>
      <w:r w:rsidRPr="00B0595B">
        <w:rPr>
          <w:rFonts w:ascii="Verdana" w:hAnsi="Verdana"/>
          <w:sz w:val="22"/>
          <w:szCs w:val="22"/>
        </w:rPr>
        <w:t>ESR-Chex</w:t>
      </w:r>
      <w:r>
        <w:rPr>
          <w:rFonts w:ascii="Verdana" w:hAnsi="Verdana"/>
          <w:sz w:val="22"/>
          <w:szCs w:val="22"/>
        </w:rPr>
        <w:t xml:space="preserve"> Plus</w:t>
      </w:r>
      <w:r w:rsidRPr="00B0595B">
        <w:rPr>
          <w:rFonts w:ascii="Verdana" w:hAnsi="Verdana"/>
          <w:sz w:val="22"/>
          <w:szCs w:val="22"/>
        </w:rPr>
        <w:t xml:space="preserve"> is stable through the manufacture expiration date when stored at 2-10</w:t>
      </w:r>
      <w:r>
        <w:rPr>
          <w:rFonts w:ascii="Verdana" w:hAnsi="Verdana"/>
          <w:sz w:val="22"/>
          <w:szCs w:val="22"/>
        </w:rPr>
        <w:t xml:space="preserve">°C.  After bringing to room temperature, ESR-Chex Plus is stable throughout the open-vial dating, as indicated on the assay sheet, when stored at 18°C to 30°C.  Open-vial stability is defined as the maximum number of continuous days a vial can be brought to room temperature and mixed for analysis.  </w:t>
      </w:r>
      <w:r w:rsidR="0012239B">
        <w:rPr>
          <w:rFonts w:ascii="Verdana" w:hAnsi="Verdana"/>
          <w:sz w:val="22"/>
          <w:szCs w:val="22"/>
        </w:rPr>
        <w:t>Working vials are to be stored at room temperature, and may not be returned to refrigerated temperature.</w:t>
      </w:r>
    </w:p>
    <w:p w:rsidR="0012239B" w:rsidRDefault="0012239B" w:rsidP="00B0595B">
      <w:pPr>
        <w:rPr>
          <w:rFonts w:ascii="Verdana" w:hAnsi="Verdana"/>
          <w:sz w:val="22"/>
          <w:szCs w:val="22"/>
        </w:rPr>
      </w:pPr>
    </w:p>
    <w:p w:rsidR="0012239B" w:rsidRDefault="0012239B" w:rsidP="00B0595B">
      <w:pPr>
        <w:rPr>
          <w:rFonts w:ascii="Verdana" w:hAnsi="Verdana"/>
          <w:sz w:val="22"/>
          <w:szCs w:val="22"/>
        </w:rPr>
      </w:pPr>
      <w:r>
        <w:rPr>
          <w:rFonts w:ascii="Verdana" w:hAnsi="Verdana"/>
          <w:b/>
          <w:sz w:val="22"/>
          <w:szCs w:val="22"/>
        </w:rPr>
        <w:t xml:space="preserve">Indications of Product Deterioration: </w:t>
      </w:r>
      <w:r>
        <w:rPr>
          <w:rFonts w:ascii="Verdana" w:hAnsi="Verdana"/>
          <w:sz w:val="22"/>
          <w:szCs w:val="22"/>
        </w:rPr>
        <w:t>Discoloration of the product may be caused by overheating or freezing during shipping or storage.  Gross hemolysis (darkly colored superna</w:t>
      </w:r>
      <w:r w:rsidR="00031908">
        <w:rPr>
          <w:rFonts w:ascii="Verdana" w:hAnsi="Verdana"/>
          <w:sz w:val="22"/>
          <w:szCs w:val="22"/>
        </w:rPr>
        <w:t>ta</w:t>
      </w:r>
      <w:r>
        <w:rPr>
          <w:rFonts w:ascii="Verdana" w:hAnsi="Verdana"/>
          <w:sz w:val="22"/>
          <w:szCs w:val="22"/>
        </w:rPr>
        <w:t xml:space="preserve">nt) may be indicative of product deterioration.  However, moderately colored supernatant is normal and should not be confused with deterioration of the product.  </w:t>
      </w:r>
    </w:p>
    <w:p w:rsidR="0012239B" w:rsidRDefault="0012239B" w:rsidP="00B0595B">
      <w:pPr>
        <w:rPr>
          <w:rFonts w:ascii="Verdana" w:hAnsi="Verdana"/>
          <w:sz w:val="22"/>
          <w:szCs w:val="22"/>
        </w:rPr>
      </w:pPr>
    </w:p>
    <w:p w:rsidR="0012239B" w:rsidRDefault="0012239B" w:rsidP="00B0595B">
      <w:pPr>
        <w:rPr>
          <w:rFonts w:ascii="Verdana" w:hAnsi="Verdana"/>
          <w:b/>
          <w:sz w:val="22"/>
          <w:szCs w:val="22"/>
        </w:rPr>
      </w:pPr>
      <w:r>
        <w:rPr>
          <w:rFonts w:ascii="Verdana" w:hAnsi="Verdana"/>
          <w:b/>
          <w:sz w:val="22"/>
          <w:szCs w:val="22"/>
        </w:rPr>
        <w:t>Mixing and Handling Instructions:</w:t>
      </w:r>
    </w:p>
    <w:p w:rsidR="0012239B" w:rsidRDefault="0012239B" w:rsidP="0012239B">
      <w:pPr>
        <w:pStyle w:val="ListParagraph"/>
        <w:numPr>
          <w:ilvl w:val="0"/>
          <w:numId w:val="4"/>
        </w:numPr>
        <w:rPr>
          <w:rFonts w:ascii="Verdana" w:hAnsi="Verdana"/>
          <w:sz w:val="22"/>
          <w:szCs w:val="22"/>
        </w:rPr>
      </w:pPr>
      <w:r>
        <w:rPr>
          <w:rFonts w:ascii="Verdana" w:hAnsi="Verdana"/>
          <w:sz w:val="22"/>
          <w:szCs w:val="22"/>
        </w:rPr>
        <w:t>Remove from refrigerator and allow to equilibrate to room temperature (15-20 minutes)</w:t>
      </w:r>
    </w:p>
    <w:p w:rsidR="0012239B" w:rsidRDefault="0012239B" w:rsidP="0012239B">
      <w:pPr>
        <w:pStyle w:val="ListParagraph"/>
        <w:numPr>
          <w:ilvl w:val="0"/>
          <w:numId w:val="4"/>
        </w:numPr>
        <w:rPr>
          <w:rFonts w:ascii="Verdana" w:hAnsi="Verdana"/>
          <w:sz w:val="22"/>
          <w:szCs w:val="22"/>
        </w:rPr>
      </w:pPr>
      <w:r>
        <w:rPr>
          <w:rFonts w:ascii="Verdana" w:hAnsi="Verdana"/>
          <w:sz w:val="22"/>
          <w:szCs w:val="22"/>
        </w:rPr>
        <w:t>To mix:</w:t>
      </w:r>
    </w:p>
    <w:p w:rsidR="0012239B" w:rsidRDefault="0012239B" w:rsidP="0012239B">
      <w:pPr>
        <w:pStyle w:val="ListParagraph"/>
        <w:numPr>
          <w:ilvl w:val="0"/>
          <w:numId w:val="6"/>
        </w:numPr>
        <w:rPr>
          <w:rFonts w:ascii="Verdana" w:hAnsi="Verdana"/>
          <w:sz w:val="22"/>
          <w:szCs w:val="22"/>
        </w:rPr>
      </w:pPr>
      <w:r w:rsidRPr="0012239B">
        <w:rPr>
          <w:rFonts w:ascii="Verdana" w:hAnsi="Verdana"/>
          <w:sz w:val="22"/>
          <w:szCs w:val="22"/>
        </w:rPr>
        <w:t>Vortex unopened vials for up to 60 seconds to resuspend product prior to first time use</w:t>
      </w:r>
      <w:r>
        <w:rPr>
          <w:rFonts w:ascii="Verdana" w:hAnsi="Verdana"/>
          <w:sz w:val="22"/>
          <w:szCs w:val="22"/>
        </w:rPr>
        <w:t>.</w:t>
      </w:r>
    </w:p>
    <w:p w:rsidR="0012239B" w:rsidRDefault="0012239B" w:rsidP="0012239B">
      <w:pPr>
        <w:pStyle w:val="ListParagraph"/>
        <w:numPr>
          <w:ilvl w:val="0"/>
          <w:numId w:val="6"/>
        </w:numPr>
        <w:rPr>
          <w:rFonts w:ascii="Verdana" w:hAnsi="Verdana"/>
          <w:sz w:val="22"/>
          <w:szCs w:val="22"/>
        </w:rPr>
      </w:pPr>
      <w:r w:rsidRPr="0012239B">
        <w:rPr>
          <w:rFonts w:ascii="Verdana" w:hAnsi="Verdana"/>
          <w:sz w:val="22"/>
          <w:szCs w:val="22"/>
        </w:rPr>
        <w:t>Hold the vial vertically and roll between the palms of hands for 15-20 seconds.</w:t>
      </w:r>
    </w:p>
    <w:p w:rsidR="0012239B" w:rsidRDefault="0012239B" w:rsidP="0012239B">
      <w:pPr>
        <w:pStyle w:val="ListParagraph"/>
        <w:numPr>
          <w:ilvl w:val="0"/>
          <w:numId w:val="6"/>
        </w:numPr>
        <w:rPr>
          <w:rFonts w:ascii="Verdana" w:hAnsi="Verdana"/>
          <w:sz w:val="22"/>
          <w:szCs w:val="22"/>
        </w:rPr>
      </w:pPr>
      <w:r w:rsidRPr="0012239B">
        <w:rPr>
          <w:rFonts w:ascii="Verdana" w:hAnsi="Verdana"/>
          <w:sz w:val="22"/>
          <w:szCs w:val="22"/>
        </w:rPr>
        <w:t>Continue to mix by holding the ends between the thumb and finger, rapidly inverting the vial 20 times end-over-end</w:t>
      </w:r>
      <w:r>
        <w:rPr>
          <w:rFonts w:ascii="Verdana" w:hAnsi="Verdana"/>
          <w:sz w:val="22"/>
          <w:szCs w:val="22"/>
        </w:rPr>
        <w:t>.</w:t>
      </w:r>
    </w:p>
    <w:p w:rsidR="0012239B" w:rsidRDefault="0012239B" w:rsidP="0012239B">
      <w:pPr>
        <w:pStyle w:val="ListParagraph"/>
        <w:numPr>
          <w:ilvl w:val="0"/>
          <w:numId w:val="6"/>
        </w:numPr>
        <w:rPr>
          <w:rFonts w:ascii="Verdana" w:hAnsi="Verdana"/>
          <w:sz w:val="22"/>
          <w:szCs w:val="22"/>
        </w:rPr>
      </w:pPr>
      <w:r>
        <w:rPr>
          <w:rFonts w:ascii="Verdana" w:hAnsi="Verdana"/>
          <w:sz w:val="22"/>
          <w:szCs w:val="22"/>
        </w:rPr>
        <w:t xml:space="preserve">Examine the bottom of the vial to ensure that the product is </w:t>
      </w:r>
      <w:r w:rsidR="00CC7025">
        <w:rPr>
          <w:rFonts w:ascii="Verdana" w:hAnsi="Verdana"/>
          <w:sz w:val="22"/>
          <w:szCs w:val="22"/>
        </w:rPr>
        <w:t>completely resuspended and repeat steps 2b-2c if necessary.</w:t>
      </w:r>
    </w:p>
    <w:p w:rsidR="00CC7025" w:rsidRDefault="00CC7025" w:rsidP="00CC7025">
      <w:pPr>
        <w:pStyle w:val="ListParagraph"/>
        <w:numPr>
          <w:ilvl w:val="0"/>
          <w:numId w:val="6"/>
        </w:numPr>
        <w:rPr>
          <w:rFonts w:ascii="Verdana" w:hAnsi="Verdana"/>
          <w:sz w:val="22"/>
          <w:szCs w:val="22"/>
        </w:rPr>
      </w:pPr>
      <w:r>
        <w:rPr>
          <w:rFonts w:ascii="Verdana" w:hAnsi="Verdana"/>
          <w:sz w:val="22"/>
          <w:szCs w:val="22"/>
        </w:rPr>
        <w:t>Analyze the samples immediately after mixing. If mixed vials sit for more than 1 minute before analysis, remix the vials by inverting 8-10 times.</w:t>
      </w:r>
    </w:p>
    <w:p w:rsidR="00CC7025" w:rsidRDefault="00CC7025" w:rsidP="00CC7025">
      <w:pPr>
        <w:pStyle w:val="ListParagraph"/>
        <w:numPr>
          <w:ilvl w:val="0"/>
          <w:numId w:val="4"/>
        </w:numPr>
        <w:rPr>
          <w:rFonts w:ascii="Verdana" w:hAnsi="Verdana"/>
          <w:sz w:val="22"/>
          <w:szCs w:val="22"/>
        </w:rPr>
      </w:pPr>
      <w:r>
        <w:rPr>
          <w:rFonts w:ascii="Verdana" w:hAnsi="Verdana"/>
          <w:sz w:val="22"/>
          <w:szCs w:val="22"/>
        </w:rPr>
        <w:t>Working vials stored at room temperature (18°C to 30°C) should not require additional vortexing.  Mix working vials by following steps 2b-2e and repeat as necessary to ensure the cells are completely resuspended.</w:t>
      </w:r>
    </w:p>
    <w:p w:rsidR="00CC7025" w:rsidRDefault="00CC7025" w:rsidP="00CC7025">
      <w:pPr>
        <w:rPr>
          <w:rFonts w:ascii="Verdana" w:hAnsi="Verdana"/>
          <w:sz w:val="22"/>
          <w:szCs w:val="22"/>
        </w:rPr>
      </w:pPr>
    </w:p>
    <w:p w:rsidR="00CC7025" w:rsidRDefault="00CC7025" w:rsidP="00CC7025">
      <w:pPr>
        <w:rPr>
          <w:rFonts w:ascii="Verdana" w:hAnsi="Verdana"/>
          <w:sz w:val="22"/>
          <w:szCs w:val="22"/>
        </w:rPr>
      </w:pPr>
    </w:p>
    <w:p w:rsidR="00CC7025" w:rsidRDefault="00CC7025" w:rsidP="00CC7025">
      <w:pPr>
        <w:rPr>
          <w:rFonts w:ascii="Verdana" w:hAnsi="Verdana"/>
          <w:sz w:val="22"/>
          <w:szCs w:val="22"/>
        </w:rPr>
      </w:pPr>
    </w:p>
    <w:p w:rsidR="00CC7025" w:rsidRDefault="00CC7025" w:rsidP="00CC7025">
      <w:pPr>
        <w:rPr>
          <w:rFonts w:ascii="Verdana" w:hAnsi="Verdana"/>
          <w:sz w:val="22"/>
          <w:szCs w:val="22"/>
        </w:rPr>
      </w:pPr>
    </w:p>
    <w:p w:rsidR="00CC7025" w:rsidRPr="00CC7025" w:rsidRDefault="00CC7025" w:rsidP="00CC7025">
      <w:pPr>
        <w:rPr>
          <w:rFonts w:ascii="Verdana" w:hAnsi="Verdana"/>
          <w:b/>
          <w:sz w:val="22"/>
          <w:szCs w:val="22"/>
        </w:rPr>
      </w:pPr>
      <w:r w:rsidRPr="00CC7025">
        <w:rPr>
          <w:rFonts w:ascii="Verdana" w:hAnsi="Verdana"/>
          <w:b/>
          <w:sz w:val="22"/>
          <w:szCs w:val="22"/>
        </w:rPr>
        <w:t>Running QC Samples</w:t>
      </w:r>
    </w:p>
    <w:p w:rsidR="00CC7025" w:rsidRPr="00CC7025" w:rsidRDefault="00CC7025" w:rsidP="00CC7025">
      <w:pPr>
        <w:numPr>
          <w:ilvl w:val="0"/>
          <w:numId w:val="10"/>
        </w:numPr>
        <w:rPr>
          <w:rFonts w:ascii="Verdana" w:hAnsi="Verdana"/>
          <w:sz w:val="22"/>
          <w:szCs w:val="22"/>
        </w:rPr>
      </w:pPr>
      <w:r w:rsidRPr="00CC7025">
        <w:rPr>
          <w:rFonts w:ascii="Verdana" w:hAnsi="Verdana"/>
          <w:sz w:val="22"/>
          <w:szCs w:val="22"/>
        </w:rPr>
        <w:t xml:space="preserve">From the HOME screen, select the START icon. </w:t>
      </w:r>
    </w:p>
    <w:p w:rsidR="00CC7025" w:rsidRPr="00CC7025" w:rsidRDefault="00CC7025" w:rsidP="00CC7025">
      <w:pPr>
        <w:numPr>
          <w:ilvl w:val="0"/>
          <w:numId w:val="10"/>
        </w:numPr>
        <w:rPr>
          <w:rFonts w:ascii="Verdana" w:hAnsi="Verdana"/>
          <w:sz w:val="22"/>
          <w:szCs w:val="22"/>
        </w:rPr>
      </w:pPr>
      <w:r w:rsidRPr="00CC7025">
        <w:rPr>
          <w:rFonts w:ascii="Verdana" w:hAnsi="Verdana"/>
          <w:sz w:val="22"/>
          <w:szCs w:val="22"/>
        </w:rPr>
        <w:t>Scan the barcode on the vial from the registered lot of ESR-Chex Plus.</w:t>
      </w:r>
    </w:p>
    <w:p w:rsidR="00CC7025" w:rsidRPr="00CC7025" w:rsidRDefault="00CC7025" w:rsidP="00CC7025">
      <w:pPr>
        <w:numPr>
          <w:ilvl w:val="0"/>
          <w:numId w:val="10"/>
        </w:numPr>
        <w:rPr>
          <w:rFonts w:ascii="Verdana" w:hAnsi="Verdana"/>
          <w:sz w:val="22"/>
          <w:szCs w:val="22"/>
        </w:rPr>
      </w:pPr>
      <w:r w:rsidRPr="00CC7025">
        <w:rPr>
          <w:rFonts w:ascii="Verdana" w:hAnsi="Verdana"/>
          <w:sz w:val="22"/>
          <w:szCs w:val="22"/>
        </w:rPr>
        <w:t>A window titled “Inserted QC Code” that contains the registered QC lot data will open.</w:t>
      </w:r>
    </w:p>
    <w:p w:rsidR="00CC7025" w:rsidRPr="00CC7025" w:rsidRDefault="00CC7025" w:rsidP="00CC7025">
      <w:pPr>
        <w:numPr>
          <w:ilvl w:val="0"/>
          <w:numId w:val="10"/>
        </w:numPr>
        <w:rPr>
          <w:rFonts w:ascii="Verdana" w:hAnsi="Verdana"/>
          <w:sz w:val="22"/>
          <w:szCs w:val="22"/>
        </w:rPr>
      </w:pPr>
      <w:r w:rsidRPr="00CC7025">
        <w:rPr>
          <w:rFonts w:ascii="Verdana" w:hAnsi="Verdana"/>
          <w:sz w:val="22"/>
          <w:szCs w:val="22"/>
        </w:rPr>
        <w:t>Press YES to run the tube as a QC sample, or NO to run the tube as a patient sample.</w:t>
      </w:r>
    </w:p>
    <w:p w:rsidR="00CC7025" w:rsidRPr="00CC7025" w:rsidRDefault="00CC7025" w:rsidP="00CC7025">
      <w:pPr>
        <w:numPr>
          <w:ilvl w:val="0"/>
          <w:numId w:val="10"/>
        </w:numPr>
        <w:rPr>
          <w:rFonts w:ascii="Verdana" w:hAnsi="Verdana"/>
          <w:sz w:val="22"/>
          <w:szCs w:val="22"/>
        </w:rPr>
      </w:pPr>
      <w:r w:rsidRPr="00CC7025">
        <w:rPr>
          <w:rFonts w:ascii="Verdana" w:hAnsi="Verdana"/>
          <w:sz w:val="22"/>
          <w:szCs w:val="22"/>
        </w:rPr>
        <w:t>Insert the QC vial into any available well with the label gap facing the dot on the right side of the well.</w:t>
      </w:r>
    </w:p>
    <w:p w:rsidR="00CC7025" w:rsidRPr="00CC7025" w:rsidRDefault="00CC7025" w:rsidP="00CC7025">
      <w:pPr>
        <w:numPr>
          <w:ilvl w:val="0"/>
          <w:numId w:val="10"/>
        </w:numPr>
        <w:rPr>
          <w:rFonts w:ascii="Verdana" w:hAnsi="Verdana"/>
          <w:sz w:val="22"/>
          <w:szCs w:val="22"/>
        </w:rPr>
      </w:pPr>
      <w:r w:rsidRPr="00CC7025">
        <w:rPr>
          <w:rFonts w:ascii="Verdana" w:hAnsi="Verdana"/>
          <w:sz w:val="22"/>
          <w:szCs w:val="22"/>
        </w:rPr>
        <w:t>The control result and the expected range will automatically print when the test is complete. If the result is outside the expected range, the result on the MINI-CUBE screen will be highlighted in red. If the result is within the expected range, the result on the MINI-CUBE screen will be highlighted in green.</w:t>
      </w:r>
    </w:p>
    <w:p w:rsidR="00CC7025" w:rsidRPr="00CC7025" w:rsidRDefault="00CC7025" w:rsidP="00CC7025">
      <w:pPr>
        <w:rPr>
          <w:rFonts w:ascii="Verdana" w:hAnsi="Verdana"/>
          <w:b/>
          <w:sz w:val="22"/>
          <w:szCs w:val="22"/>
        </w:rPr>
      </w:pPr>
    </w:p>
    <w:p w:rsidR="00CC7025" w:rsidRPr="00CC7025" w:rsidRDefault="00CC7025" w:rsidP="00CC7025">
      <w:pPr>
        <w:ind w:left="288" w:hanging="288"/>
        <w:rPr>
          <w:rFonts w:ascii="Verdana" w:hAnsi="Verdana"/>
          <w:b/>
          <w:sz w:val="22"/>
          <w:szCs w:val="22"/>
        </w:rPr>
      </w:pPr>
      <w:r w:rsidRPr="00CC7025">
        <w:rPr>
          <w:rFonts w:ascii="Verdana" w:hAnsi="Verdana"/>
          <w:b/>
          <w:sz w:val="22"/>
          <w:szCs w:val="22"/>
        </w:rPr>
        <w:t>Viewing QC Results</w:t>
      </w:r>
    </w:p>
    <w:p w:rsidR="00CC7025" w:rsidRPr="00CC7025" w:rsidRDefault="00CC7025" w:rsidP="00CC7025">
      <w:pPr>
        <w:rPr>
          <w:rFonts w:ascii="Verdana" w:hAnsi="Verdana"/>
          <w:sz w:val="22"/>
          <w:szCs w:val="22"/>
        </w:rPr>
      </w:pPr>
      <w:r w:rsidRPr="00CC7025">
        <w:rPr>
          <w:rFonts w:ascii="Verdana" w:hAnsi="Verdana"/>
          <w:sz w:val="22"/>
          <w:szCs w:val="22"/>
        </w:rPr>
        <w:t>The QC Archive stores up to 5,000 QC results per level. Lot-specific statistical reports can be generated from these archive files. When the QC Archive reaches capacity, the oldest value will be deleted and the newest value will be added.</w:t>
      </w:r>
    </w:p>
    <w:p w:rsidR="00CC7025" w:rsidRPr="00CC7025" w:rsidRDefault="00CC7025" w:rsidP="00CC7025">
      <w:pPr>
        <w:ind w:left="288" w:hanging="288"/>
        <w:rPr>
          <w:rFonts w:ascii="Verdana" w:hAnsi="Verdana"/>
          <w:b/>
          <w:sz w:val="22"/>
          <w:szCs w:val="22"/>
        </w:rPr>
      </w:pPr>
    </w:p>
    <w:p w:rsidR="00CC7025" w:rsidRPr="00CC7025" w:rsidRDefault="00CC7025" w:rsidP="00CC7025">
      <w:pPr>
        <w:numPr>
          <w:ilvl w:val="0"/>
          <w:numId w:val="11"/>
        </w:numPr>
        <w:rPr>
          <w:rFonts w:ascii="Verdana" w:hAnsi="Verdana"/>
          <w:sz w:val="22"/>
          <w:szCs w:val="22"/>
        </w:rPr>
      </w:pPr>
      <w:r w:rsidRPr="00CC7025">
        <w:rPr>
          <w:rFonts w:ascii="Verdana" w:hAnsi="Verdana"/>
          <w:sz w:val="22"/>
          <w:szCs w:val="22"/>
        </w:rPr>
        <w:t>From the HOME screen, select the ARCHIVE icon.</w:t>
      </w:r>
    </w:p>
    <w:p w:rsidR="00CC7025" w:rsidRPr="00CC7025" w:rsidRDefault="00CC7025" w:rsidP="00CC7025">
      <w:pPr>
        <w:numPr>
          <w:ilvl w:val="0"/>
          <w:numId w:val="11"/>
        </w:numPr>
        <w:rPr>
          <w:rFonts w:ascii="Verdana" w:hAnsi="Verdana"/>
          <w:sz w:val="22"/>
          <w:szCs w:val="22"/>
        </w:rPr>
      </w:pPr>
      <w:r w:rsidRPr="00CC7025">
        <w:rPr>
          <w:rFonts w:ascii="Verdana" w:hAnsi="Verdana"/>
          <w:sz w:val="22"/>
          <w:szCs w:val="22"/>
        </w:rPr>
        <w:t>From the ARCHIVE menu, select the QC icon to view all available QC data in the archive list.</w:t>
      </w:r>
    </w:p>
    <w:p w:rsidR="00CC7025" w:rsidRPr="00CC7025" w:rsidRDefault="00CC7025" w:rsidP="00CC7025">
      <w:pPr>
        <w:numPr>
          <w:ilvl w:val="0"/>
          <w:numId w:val="11"/>
        </w:numPr>
        <w:rPr>
          <w:rFonts w:ascii="Verdana" w:hAnsi="Verdana"/>
          <w:sz w:val="22"/>
          <w:szCs w:val="22"/>
        </w:rPr>
      </w:pPr>
      <w:r w:rsidRPr="00CC7025">
        <w:rPr>
          <w:rFonts w:ascii="Verdana" w:hAnsi="Verdana"/>
          <w:sz w:val="22"/>
          <w:szCs w:val="22"/>
        </w:rPr>
        <w:t xml:space="preserve">To reprint QC results: </w:t>
      </w:r>
    </w:p>
    <w:p w:rsidR="00CC7025" w:rsidRPr="00CC7025" w:rsidRDefault="00CC7025" w:rsidP="00CC7025">
      <w:pPr>
        <w:numPr>
          <w:ilvl w:val="1"/>
          <w:numId w:val="11"/>
        </w:numPr>
        <w:rPr>
          <w:rFonts w:ascii="Verdana" w:hAnsi="Verdana"/>
          <w:sz w:val="22"/>
          <w:szCs w:val="22"/>
        </w:rPr>
      </w:pPr>
      <w:r w:rsidRPr="00CC7025">
        <w:rPr>
          <w:rFonts w:ascii="Verdana" w:hAnsi="Verdana"/>
          <w:sz w:val="22"/>
          <w:szCs w:val="22"/>
        </w:rPr>
        <w:t>Select an individual result in the QC Archive list.</w:t>
      </w:r>
    </w:p>
    <w:p w:rsidR="00CC7025" w:rsidRPr="00CC7025" w:rsidRDefault="00CC7025" w:rsidP="00CC7025">
      <w:pPr>
        <w:numPr>
          <w:ilvl w:val="1"/>
          <w:numId w:val="11"/>
        </w:numPr>
        <w:rPr>
          <w:rFonts w:ascii="Verdana" w:hAnsi="Verdana"/>
          <w:sz w:val="22"/>
          <w:szCs w:val="22"/>
        </w:rPr>
      </w:pPr>
      <w:r w:rsidRPr="00CC7025">
        <w:rPr>
          <w:rFonts w:ascii="Verdana" w:hAnsi="Verdana"/>
          <w:sz w:val="22"/>
          <w:szCs w:val="22"/>
        </w:rPr>
        <w:t>Press the DOWNLOAD icon and select PRINT to reprint the individual result, or PRINT LIST to print the entire QC archive.</w:t>
      </w:r>
    </w:p>
    <w:p w:rsidR="00CC7025" w:rsidRPr="00CC7025" w:rsidRDefault="00CC7025" w:rsidP="00CC7025">
      <w:pPr>
        <w:numPr>
          <w:ilvl w:val="0"/>
          <w:numId w:val="11"/>
        </w:numPr>
        <w:rPr>
          <w:rFonts w:ascii="Verdana" w:hAnsi="Verdana"/>
          <w:sz w:val="22"/>
          <w:szCs w:val="22"/>
        </w:rPr>
      </w:pPr>
      <w:r w:rsidRPr="00CC7025">
        <w:rPr>
          <w:rFonts w:ascii="Verdana" w:hAnsi="Verdana"/>
          <w:sz w:val="22"/>
          <w:szCs w:val="22"/>
        </w:rPr>
        <w:t>To view details for an individual QC result:</w:t>
      </w:r>
    </w:p>
    <w:p w:rsidR="00CC7025" w:rsidRPr="00CC7025" w:rsidRDefault="00CC7025" w:rsidP="00CC7025">
      <w:pPr>
        <w:numPr>
          <w:ilvl w:val="1"/>
          <w:numId w:val="11"/>
        </w:numPr>
        <w:rPr>
          <w:rFonts w:ascii="Verdana" w:hAnsi="Verdana"/>
          <w:sz w:val="22"/>
          <w:szCs w:val="22"/>
        </w:rPr>
      </w:pPr>
      <w:r w:rsidRPr="00CC7025">
        <w:rPr>
          <w:rFonts w:ascii="Verdana" w:hAnsi="Verdana"/>
          <w:sz w:val="22"/>
          <w:szCs w:val="22"/>
        </w:rPr>
        <w:t>Press and hold an individual result in the QC Archive list.</w:t>
      </w:r>
    </w:p>
    <w:p w:rsidR="00CC7025" w:rsidRPr="00CC7025" w:rsidRDefault="00CC7025" w:rsidP="00CC7025">
      <w:pPr>
        <w:numPr>
          <w:ilvl w:val="1"/>
          <w:numId w:val="11"/>
        </w:numPr>
        <w:rPr>
          <w:rFonts w:ascii="Verdana" w:hAnsi="Verdana"/>
          <w:sz w:val="22"/>
          <w:szCs w:val="22"/>
        </w:rPr>
      </w:pPr>
      <w:r w:rsidRPr="00CC7025">
        <w:rPr>
          <w:rFonts w:ascii="Verdana" w:hAnsi="Verdana"/>
          <w:sz w:val="22"/>
          <w:szCs w:val="22"/>
        </w:rPr>
        <w:t>Press the CHART icon to view the Levey-Jennings chart and statistical data about the entire lot.</w:t>
      </w:r>
    </w:p>
    <w:p w:rsidR="00CC7025" w:rsidRPr="00CC7025" w:rsidRDefault="00CC7025" w:rsidP="00CC7025">
      <w:pPr>
        <w:numPr>
          <w:ilvl w:val="1"/>
          <w:numId w:val="11"/>
        </w:numPr>
        <w:rPr>
          <w:rFonts w:ascii="Verdana" w:hAnsi="Verdana"/>
          <w:sz w:val="22"/>
          <w:szCs w:val="22"/>
        </w:rPr>
      </w:pPr>
      <w:r w:rsidRPr="00CC7025">
        <w:rPr>
          <w:rFonts w:ascii="Verdana" w:hAnsi="Verdana"/>
          <w:sz w:val="22"/>
          <w:szCs w:val="22"/>
        </w:rPr>
        <w:t>Press the DOWNLOAD icon to reprint the result.</w:t>
      </w:r>
    </w:p>
    <w:p w:rsidR="00CC7025" w:rsidRPr="00CC7025" w:rsidRDefault="00CC7025" w:rsidP="00CC7025">
      <w:pPr>
        <w:numPr>
          <w:ilvl w:val="0"/>
          <w:numId w:val="11"/>
        </w:numPr>
        <w:rPr>
          <w:rFonts w:ascii="Verdana" w:hAnsi="Verdana"/>
          <w:sz w:val="22"/>
          <w:szCs w:val="22"/>
        </w:rPr>
      </w:pPr>
      <w:r w:rsidRPr="00CC7025">
        <w:rPr>
          <w:rFonts w:ascii="Verdana" w:hAnsi="Verdana"/>
          <w:sz w:val="22"/>
          <w:szCs w:val="22"/>
        </w:rPr>
        <w:t>To view details for a specific QC lot:</w:t>
      </w:r>
    </w:p>
    <w:p w:rsidR="00CC7025" w:rsidRPr="00CC7025" w:rsidRDefault="00CC7025" w:rsidP="00CC7025">
      <w:pPr>
        <w:numPr>
          <w:ilvl w:val="1"/>
          <w:numId w:val="11"/>
        </w:numPr>
        <w:rPr>
          <w:rFonts w:ascii="Verdana" w:hAnsi="Verdana"/>
          <w:sz w:val="22"/>
          <w:szCs w:val="22"/>
        </w:rPr>
      </w:pPr>
      <w:r w:rsidRPr="00CC7025">
        <w:rPr>
          <w:rFonts w:ascii="Verdana" w:hAnsi="Verdana"/>
          <w:sz w:val="22"/>
          <w:szCs w:val="22"/>
        </w:rPr>
        <w:t>Select an individual QC result from the desired lot in the QC Archive list.</w:t>
      </w:r>
    </w:p>
    <w:p w:rsidR="00CC7025" w:rsidRPr="00CC7025" w:rsidRDefault="00CC7025" w:rsidP="00CC7025">
      <w:pPr>
        <w:numPr>
          <w:ilvl w:val="1"/>
          <w:numId w:val="11"/>
        </w:numPr>
        <w:rPr>
          <w:rFonts w:ascii="Verdana" w:hAnsi="Verdana"/>
          <w:sz w:val="22"/>
          <w:szCs w:val="22"/>
        </w:rPr>
      </w:pPr>
      <w:r w:rsidRPr="00CC7025">
        <w:rPr>
          <w:rFonts w:ascii="Verdana" w:hAnsi="Verdana"/>
          <w:sz w:val="22"/>
          <w:szCs w:val="22"/>
        </w:rPr>
        <w:t>Press the CHART icon to view the Levey-Jennings chart and statistical data about the entire lot.</w:t>
      </w:r>
    </w:p>
    <w:p w:rsidR="00CC7025" w:rsidRPr="00CC7025" w:rsidRDefault="00CC7025" w:rsidP="00CC7025">
      <w:pPr>
        <w:numPr>
          <w:ilvl w:val="1"/>
          <w:numId w:val="11"/>
        </w:numPr>
        <w:rPr>
          <w:rFonts w:ascii="Verdana" w:hAnsi="Verdana"/>
          <w:sz w:val="22"/>
          <w:szCs w:val="22"/>
        </w:rPr>
      </w:pPr>
      <w:r w:rsidRPr="00CC7025">
        <w:rPr>
          <w:rFonts w:ascii="Verdana" w:hAnsi="Verdana"/>
          <w:sz w:val="22"/>
          <w:szCs w:val="22"/>
        </w:rPr>
        <w:t>From the Levey-Jennings Chart, press the DOWNLOAD icon to print the collection of data in the chart.</w:t>
      </w:r>
    </w:p>
    <w:p w:rsidR="00CC7025" w:rsidRPr="00CC7025" w:rsidRDefault="00CC7025" w:rsidP="00CC7025">
      <w:pPr>
        <w:numPr>
          <w:ilvl w:val="0"/>
          <w:numId w:val="11"/>
        </w:numPr>
        <w:rPr>
          <w:rFonts w:ascii="Verdana" w:hAnsi="Verdana"/>
          <w:sz w:val="22"/>
          <w:szCs w:val="22"/>
        </w:rPr>
      </w:pPr>
      <w:r w:rsidRPr="00CC7025">
        <w:rPr>
          <w:rFonts w:ascii="Verdana" w:hAnsi="Verdana"/>
          <w:sz w:val="22"/>
          <w:szCs w:val="22"/>
        </w:rPr>
        <w:t>To delete a QC result:</w:t>
      </w:r>
    </w:p>
    <w:p w:rsidR="00CC7025" w:rsidRPr="00CC7025" w:rsidRDefault="00CC7025" w:rsidP="00CC7025">
      <w:pPr>
        <w:numPr>
          <w:ilvl w:val="1"/>
          <w:numId w:val="11"/>
        </w:numPr>
        <w:rPr>
          <w:rFonts w:ascii="Verdana" w:hAnsi="Verdana"/>
          <w:sz w:val="22"/>
          <w:szCs w:val="22"/>
        </w:rPr>
      </w:pPr>
      <w:r w:rsidRPr="00CC7025">
        <w:rPr>
          <w:rFonts w:ascii="Verdana" w:hAnsi="Verdana"/>
          <w:sz w:val="22"/>
          <w:szCs w:val="22"/>
        </w:rPr>
        <w:t>Select an individual result in the QC Archive list.</w:t>
      </w:r>
    </w:p>
    <w:p w:rsidR="00CC7025" w:rsidRPr="00CC7025" w:rsidRDefault="00CC7025" w:rsidP="00CC7025">
      <w:pPr>
        <w:numPr>
          <w:ilvl w:val="1"/>
          <w:numId w:val="11"/>
        </w:numPr>
        <w:rPr>
          <w:rFonts w:ascii="Verdana" w:hAnsi="Verdana"/>
          <w:b/>
          <w:sz w:val="22"/>
          <w:szCs w:val="22"/>
        </w:rPr>
      </w:pPr>
      <w:r w:rsidRPr="00CC7025">
        <w:rPr>
          <w:rFonts w:ascii="Verdana" w:hAnsi="Verdana"/>
          <w:sz w:val="22"/>
          <w:szCs w:val="22"/>
        </w:rPr>
        <w:t xml:space="preserve">Press the DOWNLOAD icon and select DELETE to permanently remove an individual QC result. </w:t>
      </w:r>
      <w:r w:rsidRPr="00CC7025">
        <w:rPr>
          <w:rFonts w:ascii="Verdana" w:hAnsi="Verdana"/>
          <w:b/>
          <w:sz w:val="22"/>
          <w:szCs w:val="22"/>
        </w:rPr>
        <w:t xml:space="preserve">NOTE: </w:t>
      </w:r>
      <w:r w:rsidRPr="00CC7025">
        <w:rPr>
          <w:rFonts w:ascii="Verdana" w:hAnsi="Verdana"/>
          <w:sz w:val="22"/>
          <w:szCs w:val="22"/>
        </w:rPr>
        <w:t>QC results must be deleted individually.</w:t>
      </w:r>
    </w:p>
    <w:p w:rsidR="00CC7025" w:rsidRDefault="00CC7025" w:rsidP="00CC7025">
      <w:pPr>
        <w:rPr>
          <w:rFonts w:ascii="Verdana" w:hAnsi="Verdana"/>
          <w:sz w:val="22"/>
          <w:szCs w:val="22"/>
        </w:rPr>
      </w:pPr>
    </w:p>
    <w:p w:rsidR="00CC7025" w:rsidRDefault="00CC7025" w:rsidP="00CC7025">
      <w:pPr>
        <w:rPr>
          <w:rFonts w:ascii="Verdana" w:hAnsi="Verdana"/>
          <w:sz w:val="22"/>
          <w:szCs w:val="22"/>
        </w:rPr>
      </w:pPr>
    </w:p>
    <w:p w:rsidR="00CC7025" w:rsidRPr="00CC7025" w:rsidRDefault="00CC7025" w:rsidP="00CC7025">
      <w:pPr>
        <w:rPr>
          <w:rFonts w:ascii="Verdana" w:hAnsi="Verdana"/>
          <w:b/>
          <w:sz w:val="22"/>
          <w:szCs w:val="22"/>
        </w:rPr>
      </w:pPr>
      <w:r w:rsidRPr="00CC7025">
        <w:rPr>
          <w:rFonts w:ascii="Verdana" w:hAnsi="Verdana"/>
          <w:b/>
          <w:sz w:val="22"/>
          <w:szCs w:val="22"/>
        </w:rPr>
        <w:t>Running Patient Samples</w:t>
      </w:r>
    </w:p>
    <w:p w:rsidR="00CC7025" w:rsidRPr="00CC7025" w:rsidRDefault="00CC7025" w:rsidP="00CC7025">
      <w:pPr>
        <w:rPr>
          <w:rFonts w:ascii="Verdana" w:hAnsi="Verdana"/>
          <w:sz w:val="22"/>
          <w:szCs w:val="22"/>
        </w:rPr>
      </w:pPr>
      <w:r w:rsidRPr="00CC7025">
        <w:rPr>
          <w:rFonts w:ascii="Verdana" w:hAnsi="Verdana"/>
          <w:sz w:val="22"/>
          <w:szCs w:val="22"/>
        </w:rPr>
        <w:t xml:space="preserve">The mixing procedure is critical for accurate results. Before starting a test, EDTA patient samples must be prepared as follows: </w:t>
      </w:r>
    </w:p>
    <w:p w:rsidR="00CC7025" w:rsidRPr="00CC7025" w:rsidRDefault="00CC7025" w:rsidP="00CC7025">
      <w:pPr>
        <w:numPr>
          <w:ilvl w:val="0"/>
          <w:numId w:val="12"/>
        </w:numPr>
        <w:rPr>
          <w:rFonts w:ascii="Verdana" w:hAnsi="Verdana"/>
          <w:sz w:val="22"/>
          <w:szCs w:val="22"/>
        </w:rPr>
      </w:pPr>
      <w:r w:rsidRPr="00CC7025">
        <w:rPr>
          <w:rFonts w:ascii="Verdana" w:hAnsi="Verdana"/>
          <w:sz w:val="22"/>
          <w:szCs w:val="22"/>
        </w:rPr>
        <w:t xml:space="preserve">Ensure that the sample is at room temperature for 15 minutes prior to analysis. </w:t>
      </w:r>
    </w:p>
    <w:p w:rsidR="00CC7025" w:rsidRPr="00CC7025" w:rsidRDefault="00CC7025" w:rsidP="00CC7025">
      <w:pPr>
        <w:numPr>
          <w:ilvl w:val="0"/>
          <w:numId w:val="12"/>
        </w:numPr>
        <w:rPr>
          <w:rFonts w:ascii="Verdana" w:hAnsi="Verdana"/>
          <w:sz w:val="22"/>
          <w:szCs w:val="22"/>
        </w:rPr>
      </w:pPr>
      <w:r w:rsidRPr="00CC7025">
        <w:rPr>
          <w:rFonts w:ascii="Verdana" w:hAnsi="Verdana"/>
          <w:sz w:val="22"/>
          <w:szCs w:val="22"/>
        </w:rPr>
        <w:t>Immediately before starting the analysis,</w:t>
      </w:r>
      <w:r w:rsidRPr="00CC7025">
        <w:rPr>
          <w:rFonts w:ascii="Verdana" w:hAnsi="Verdana"/>
          <w:b/>
          <w:sz w:val="22"/>
          <w:szCs w:val="22"/>
        </w:rPr>
        <w:t xml:space="preserve"> </w:t>
      </w:r>
      <w:r w:rsidRPr="00CC7025">
        <w:rPr>
          <w:rFonts w:ascii="Verdana" w:hAnsi="Verdana"/>
          <w:b/>
          <w:sz w:val="22"/>
          <w:szCs w:val="22"/>
          <w:u w:val="single"/>
        </w:rPr>
        <w:t>gently</w:t>
      </w:r>
      <w:r w:rsidRPr="00CC7025">
        <w:rPr>
          <w:rFonts w:ascii="Verdana" w:hAnsi="Verdana"/>
          <w:sz w:val="22"/>
          <w:szCs w:val="22"/>
        </w:rPr>
        <w:t xml:space="preserve"> and completely invert the EDTA tube end-over-end 10 to 12 times to resuspend the sample.  Do not shake or agitate the sample vigorously, as this could cause bubbling or hemolysis. </w:t>
      </w:r>
    </w:p>
    <w:p w:rsidR="00CC7025" w:rsidRPr="00CC7025" w:rsidRDefault="00CC7025" w:rsidP="00CC7025">
      <w:pPr>
        <w:numPr>
          <w:ilvl w:val="0"/>
          <w:numId w:val="12"/>
        </w:numPr>
        <w:rPr>
          <w:rFonts w:ascii="Verdana" w:hAnsi="Verdana"/>
          <w:sz w:val="22"/>
          <w:szCs w:val="22"/>
        </w:rPr>
      </w:pPr>
      <w:r w:rsidRPr="00CC7025">
        <w:rPr>
          <w:rFonts w:ascii="Verdana" w:hAnsi="Verdana"/>
          <w:sz w:val="22"/>
          <w:szCs w:val="22"/>
        </w:rPr>
        <w:t>Examine the sample to ensure bubbling is not present at the meniscus as this could interfere with the sample reading.</w:t>
      </w:r>
    </w:p>
    <w:p w:rsidR="00CC7025" w:rsidRPr="00CC7025" w:rsidRDefault="00CC7025" w:rsidP="00CC7025">
      <w:pPr>
        <w:rPr>
          <w:rFonts w:ascii="Verdana" w:hAnsi="Verdana"/>
          <w:sz w:val="22"/>
          <w:szCs w:val="22"/>
        </w:rPr>
      </w:pPr>
    </w:p>
    <w:p w:rsidR="00CC7025" w:rsidRPr="00CC7025" w:rsidRDefault="00CC7025" w:rsidP="00CC7025">
      <w:pPr>
        <w:rPr>
          <w:rFonts w:ascii="Verdana" w:hAnsi="Verdana"/>
          <w:b/>
          <w:sz w:val="22"/>
          <w:szCs w:val="22"/>
        </w:rPr>
      </w:pPr>
      <w:r w:rsidRPr="00CC7025">
        <w:rPr>
          <w:rFonts w:ascii="Verdana" w:hAnsi="Verdana"/>
          <w:b/>
          <w:sz w:val="22"/>
          <w:szCs w:val="22"/>
        </w:rPr>
        <w:t>Entering a Sample ID Code</w:t>
      </w:r>
    </w:p>
    <w:p w:rsidR="00CC7025" w:rsidRPr="00CC7025" w:rsidRDefault="00CC7025" w:rsidP="00CC7025">
      <w:pPr>
        <w:rPr>
          <w:rFonts w:ascii="Verdana" w:hAnsi="Verdana"/>
          <w:sz w:val="22"/>
          <w:szCs w:val="22"/>
        </w:rPr>
      </w:pPr>
      <w:r w:rsidRPr="00CC7025">
        <w:rPr>
          <w:rFonts w:ascii="Verdana" w:hAnsi="Verdana"/>
          <w:sz w:val="22"/>
          <w:szCs w:val="22"/>
        </w:rPr>
        <w:t>Scanning a Sample ID:</w:t>
      </w:r>
    </w:p>
    <w:p w:rsidR="00CC7025" w:rsidRPr="00CC7025" w:rsidRDefault="00CC7025" w:rsidP="00CC7025">
      <w:pPr>
        <w:numPr>
          <w:ilvl w:val="0"/>
          <w:numId w:val="13"/>
        </w:numPr>
        <w:rPr>
          <w:rFonts w:ascii="Verdana" w:hAnsi="Verdana"/>
          <w:sz w:val="22"/>
          <w:szCs w:val="22"/>
        </w:rPr>
      </w:pPr>
      <w:r w:rsidRPr="00CC7025">
        <w:rPr>
          <w:rFonts w:ascii="Verdana" w:hAnsi="Verdana"/>
          <w:sz w:val="22"/>
          <w:szCs w:val="22"/>
        </w:rPr>
        <w:t>From the START screen, scan the patient barcode with the barcode scanner.</w:t>
      </w:r>
    </w:p>
    <w:p w:rsidR="00CC7025" w:rsidRPr="00CC7025" w:rsidRDefault="00CC7025" w:rsidP="00CC7025">
      <w:pPr>
        <w:numPr>
          <w:ilvl w:val="0"/>
          <w:numId w:val="13"/>
        </w:numPr>
        <w:rPr>
          <w:rFonts w:ascii="Verdana" w:hAnsi="Verdana"/>
          <w:sz w:val="22"/>
          <w:szCs w:val="22"/>
        </w:rPr>
      </w:pPr>
      <w:r w:rsidRPr="00CC7025">
        <w:rPr>
          <w:rFonts w:ascii="Verdana" w:hAnsi="Verdana"/>
          <w:sz w:val="22"/>
          <w:szCs w:val="22"/>
        </w:rPr>
        <w:t>A window titled “New Sample” will open with the barcode information displayed in the Sample ID field.</w:t>
      </w:r>
    </w:p>
    <w:p w:rsidR="00CC7025" w:rsidRPr="00CC7025" w:rsidRDefault="00CC7025" w:rsidP="00CC7025">
      <w:pPr>
        <w:numPr>
          <w:ilvl w:val="0"/>
          <w:numId w:val="13"/>
        </w:numPr>
        <w:rPr>
          <w:rFonts w:ascii="Verdana" w:hAnsi="Verdana"/>
          <w:sz w:val="22"/>
          <w:szCs w:val="22"/>
        </w:rPr>
      </w:pPr>
      <w:r w:rsidRPr="00CC7025">
        <w:rPr>
          <w:rFonts w:ascii="Verdana" w:hAnsi="Verdana"/>
          <w:sz w:val="22"/>
          <w:szCs w:val="22"/>
        </w:rPr>
        <w:t>Insert the well-mixed patient sample into any available well with the label gap facing the dot on the right side of the well.</w:t>
      </w:r>
    </w:p>
    <w:p w:rsidR="00CC7025" w:rsidRPr="00CC7025" w:rsidRDefault="00CC7025" w:rsidP="00CC7025">
      <w:pPr>
        <w:numPr>
          <w:ilvl w:val="0"/>
          <w:numId w:val="13"/>
        </w:numPr>
        <w:rPr>
          <w:rFonts w:ascii="Verdana" w:hAnsi="Verdana"/>
          <w:sz w:val="22"/>
          <w:szCs w:val="22"/>
        </w:rPr>
      </w:pPr>
      <w:r w:rsidRPr="00CC7025">
        <w:rPr>
          <w:rFonts w:ascii="Verdana" w:hAnsi="Verdana"/>
          <w:sz w:val="22"/>
          <w:szCs w:val="22"/>
        </w:rPr>
        <w:t>A full-color image of the tube containing a barcode image will appear on the screen and testing will automatically initiate.</w:t>
      </w:r>
    </w:p>
    <w:p w:rsidR="00CC7025" w:rsidRPr="00CC7025" w:rsidRDefault="00CC7025" w:rsidP="00CC7025">
      <w:pPr>
        <w:rPr>
          <w:rFonts w:ascii="Verdana" w:hAnsi="Verdana"/>
          <w:sz w:val="22"/>
          <w:szCs w:val="22"/>
        </w:rPr>
      </w:pPr>
    </w:p>
    <w:p w:rsidR="00CC7025" w:rsidRPr="00CC7025" w:rsidRDefault="00CC7025" w:rsidP="00CC7025">
      <w:pPr>
        <w:rPr>
          <w:rFonts w:ascii="Verdana" w:hAnsi="Verdana"/>
          <w:sz w:val="22"/>
          <w:szCs w:val="22"/>
        </w:rPr>
      </w:pPr>
      <w:r w:rsidRPr="00CC7025">
        <w:rPr>
          <w:rFonts w:ascii="Verdana" w:hAnsi="Verdana"/>
          <w:sz w:val="22"/>
          <w:szCs w:val="22"/>
        </w:rPr>
        <w:t>Manually Entering a Sample ID:</w:t>
      </w:r>
    </w:p>
    <w:p w:rsidR="00CC7025" w:rsidRPr="00CC7025" w:rsidRDefault="00CC7025" w:rsidP="00CC7025">
      <w:pPr>
        <w:numPr>
          <w:ilvl w:val="0"/>
          <w:numId w:val="14"/>
        </w:numPr>
        <w:rPr>
          <w:rFonts w:ascii="Verdana" w:hAnsi="Verdana"/>
          <w:sz w:val="22"/>
          <w:szCs w:val="22"/>
        </w:rPr>
      </w:pPr>
      <w:r w:rsidRPr="00CC7025">
        <w:rPr>
          <w:rFonts w:ascii="Verdana" w:hAnsi="Verdana"/>
          <w:sz w:val="22"/>
          <w:szCs w:val="22"/>
        </w:rPr>
        <w:t>From the START screen, insert the well-mixed patient sample into any available well with the label gap facing the dot on the right side of the well.</w:t>
      </w:r>
    </w:p>
    <w:p w:rsidR="00CC7025" w:rsidRPr="00CC7025" w:rsidRDefault="00CC7025" w:rsidP="00CC7025">
      <w:pPr>
        <w:numPr>
          <w:ilvl w:val="0"/>
          <w:numId w:val="14"/>
        </w:numPr>
        <w:rPr>
          <w:rFonts w:ascii="Verdana" w:hAnsi="Verdana"/>
          <w:sz w:val="22"/>
          <w:szCs w:val="22"/>
        </w:rPr>
      </w:pPr>
      <w:r w:rsidRPr="00CC7025">
        <w:rPr>
          <w:rFonts w:ascii="Verdana" w:hAnsi="Verdana"/>
          <w:sz w:val="22"/>
          <w:szCs w:val="22"/>
        </w:rPr>
        <w:t xml:space="preserve">A full-color image of the tube </w:t>
      </w:r>
      <w:r w:rsidRPr="00CC7025">
        <w:rPr>
          <w:rFonts w:ascii="Verdana" w:hAnsi="Verdana"/>
          <w:sz w:val="22"/>
          <w:szCs w:val="22"/>
          <w:u w:val="single"/>
        </w:rPr>
        <w:t>without a barcode image</w:t>
      </w:r>
      <w:r w:rsidRPr="00CC7025">
        <w:rPr>
          <w:rFonts w:ascii="Verdana" w:hAnsi="Verdana"/>
          <w:sz w:val="22"/>
          <w:szCs w:val="22"/>
        </w:rPr>
        <w:t xml:space="preserve"> will appear on the screen and testing will automatically initiate.</w:t>
      </w:r>
    </w:p>
    <w:p w:rsidR="00CC7025" w:rsidRPr="00CC7025" w:rsidRDefault="00CC7025" w:rsidP="00CC7025">
      <w:pPr>
        <w:numPr>
          <w:ilvl w:val="0"/>
          <w:numId w:val="14"/>
        </w:numPr>
        <w:rPr>
          <w:rFonts w:ascii="Verdana" w:hAnsi="Verdana"/>
          <w:sz w:val="22"/>
          <w:szCs w:val="22"/>
        </w:rPr>
      </w:pPr>
      <w:r w:rsidRPr="00CC7025">
        <w:rPr>
          <w:rFonts w:ascii="Verdana" w:hAnsi="Verdana"/>
          <w:sz w:val="22"/>
          <w:szCs w:val="22"/>
        </w:rPr>
        <w:t xml:space="preserve">Press the tube image on the screen. A window titled “Position” will open. </w:t>
      </w:r>
    </w:p>
    <w:p w:rsidR="00CC7025" w:rsidRPr="00CC7025" w:rsidRDefault="00CC7025" w:rsidP="00CC7025">
      <w:pPr>
        <w:numPr>
          <w:ilvl w:val="0"/>
          <w:numId w:val="14"/>
        </w:numPr>
        <w:rPr>
          <w:rFonts w:ascii="Verdana" w:hAnsi="Verdana"/>
          <w:sz w:val="22"/>
          <w:szCs w:val="22"/>
        </w:rPr>
      </w:pPr>
      <w:r w:rsidRPr="00CC7025">
        <w:rPr>
          <w:rFonts w:ascii="Verdana" w:hAnsi="Verdana"/>
          <w:sz w:val="22"/>
          <w:szCs w:val="22"/>
        </w:rPr>
        <w:t>Press the “Sample ID” field to open a keyboard and manually enter the patient ID.</w:t>
      </w:r>
    </w:p>
    <w:p w:rsidR="00CC7025" w:rsidRPr="00CC7025" w:rsidRDefault="00CC7025" w:rsidP="00CC7025">
      <w:pPr>
        <w:numPr>
          <w:ilvl w:val="0"/>
          <w:numId w:val="14"/>
        </w:numPr>
        <w:rPr>
          <w:rFonts w:ascii="Verdana" w:hAnsi="Verdana"/>
          <w:sz w:val="22"/>
          <w:szCs w:val="22"/>
        </w:rPr>
      </w:pPr>
      <w:r w:rsidRPr="00CC7025">
        <w:rPr>
          <w:rFonts w:ascii="Verdana" w:hAnsi="Verdana"/>
          <w:sz w:val="22"/>
          <w:szCs w:val="22"/>
        </w:rPr>
        <w:t>Press the ENTER arrow to close the keyboard.</w:t>
      </w:r>
    </w:p>
    <w:p w:rsidR="00CC7025" w:rsidRPr="00CC7025" w:rsidRDefault="00CC7025" w:rsidP="00CC7025">
      <w:pPr>
        <w:numPr>
          <w:ilvl w:val="0"/>
          <w:numId w:val="14"/>
        </w:numPr>
        <w:rPr>
          <w:rFonts w:ascii="Verdana" w:hAnsi="Verdana"/>
          <w:sz w:val="22"/>
          <w:szCs w:val="22"/>
        </w:rPr>
      </w:pPr>
      <w:r w:rsidRPr="00CC7025">
        <w:rPr>
          <w:rFonts w:ascii="Verdana" w:hAnsi="Verdana"/>
          <w:sz w:val="22"/>
          <w:szCs w:val="22"/>
        </w:rPr>
        <w:t>Press OK to close the “Position” window.</w:t>
      </w:r>
    </w:p>
    <w:p w:rsidR="00CC7025" w:rsidRDefault="00CC7025" w:rsidP="00CC7025">
      <w:pPr>
        <w:numPr>
          <w:ilvl w:val="0"/>
          <w:numId w:val="14"/>
        </w:numPr>
        <w:rPr>
          <w:rFonts w:ascii="Verdana" w:hAnsi="Verdana"/>
          <w:sz w:val="22"/>
          <w:szCs w:val="22"/>
        </w:rPr>
      </w:pPr>
      <w:r w:rsidRPr="00CC7025">
        <w:rPr>
          <w:rFonts w:ascii="Verdana" w:hAnsi="Verdana"/>
          <w:sz w:val="22"/>
          <w:szCs w:val="22"/>
        </w:rPr>
        <w:t>A barcode image will appear on the tube indicating that it contains a Sample ID.</w:t>
      </w:r>
    </w:p>
    <w:p w:rsidR="00526828" w:rsidRDefault="00526828" w:rsidP="00526828">
      <w:pPr>
        <w:rPr>
          <w:rFonts w:ascii="Verdana" w:hAnsi="Verdana"/>
          <w:sz w:val="22"/>
          <w:szCs w:val="22"/>
        </w:rPr>
      </w:pPr>
    </w:p>
    <w:p w:rsidR="00526828" w:rsidRPr="00526828" w:rsidRDefault="00526828" w:rsidP="00526828">
      <w:pPr>
        <w:keepNext/>
        <w:outlineLvl w:val="4"/>
        <w:rPr>
          <w:rFonts w:ascii="Verdana" w:hAnsi="Verdana"/>
          <w:b/>
          <w:sz w:val="22"/>
          <w:szCs w:val="22"/>
        </w:rPr>
      </w:pPr>
      <w:r w:rsidRPr="00526828">
        <w:rPr>
          <w:rFonts w:ascii="Verdana" w:hAnsi="Verdana"/>
          <w:b/>
          <w:sz w:val="22"/>
          <w:szCs w:val="22"/>
        </w:rPr>
        <w:t>Result Reporting</w:t>
      </w:r>
    </w:p>
    <w:p w:rsidR="00526828" w:rsidRDefault="00526828" w:rsidP="00526828">
      <w:pPr>
        <w:rPr>
          <w:rFonts w:ascii="Verdana" w:hAnsi="Verdana"/>
          <w:sz w:val="22"/>
          <w:szCs w:val="22"/>
        </w:rPr>
      </w:pPr>
      <w:r w:rsidRPr="00526828">
        <w:rPr>
          <w:rFonts w:ascii="Verdana" w:hAnsi="Verdana"/>
          <w:sz w:val="22"/>
          <w:szCs w:val="22"/>
        </w:rPr>
        <w:t xml:space="preserve">It is good laboratory practice to visually correlate the level of sedimentation in the sample tube to the printed result. The MINI-CUBE automatically prints the result on the printer and data output port and displays an image of the sample tested on the screen.  </w:t>
      </w:r>
    </w:p>
    <w:p w:rsidR="00526828" w:rsidRDefault="00526828" w:rsidP="00526828">
      <w:pPr>
        <w:rPr>
          <w:rFonts w:ascii="Verdana" w:hAnsi="Verdana"/>
          <w:sz w:val="22"/>
          <w:szCs w:val="22"/>
        </w:rPr>
      </w:pPr>
    </w:p>
    <w:p w:rsidR="00526828" w:rsidRDefault="00526828" w:rsidP="00526828">
      <w:pPr>
        <w:rPr>
          <w:rFonts w:ascii="Verdana" w:hAnsi="Verdana"/>
          <w:sz w:val="22"/>
          <w:szCs w:val="22"/>
        </w:rPr>
      </w:pPr>
    </w:p>
    <w:p w:rsidR="00526828" w:rsidRDefault="00526828" w:rsidP="00526828">
      <w:pPr>
        <w:rPr>
          <w:rFonts w:ascii="Verdana" w:hAnsi="Verdana"/>
          <w:sz w:val="22"/>
          <w:szCs w:val="22"/>
        </w:rPr>
      </w:pPr>
      <w:r w:rsidRPr="00526828">
        <w:rPr>
          <w:rFonts w:ascii="Verdana" w:hAnsi="Verdana"/>
          <w:sz w:val="22"/>
          <w:szCs w:val="22"/>
        </w:rPr>
        <w:t>Results will be entered manually into the Laboratory LIS System</w:t>
      </w:r>
      <w:r>
        <w:rPr>
          <w:rFonts w:ascii="Verdana" w:hAnsi="Verdana"/>
          <w:sz w:val="22"/>
          <w:szCs w:val="22"/>
        </w:rPr>
        <w:t>.  Results will also be recorded on the Miscellaneous Hematology Log sheet.</w:t>
      </w:r>
    </w:p>
    <w:p w:rsidR="00526828" w:rsidRDefault="00526828" w:rsidP="00526828">
      <w:pPr>
        <w:rPr>
          <w:rFonts w:ascii="Verdana" w:hAnsi="Verdana"/>
          <w:sz w:val="22"/>
          <w:szCs w:val="22"/>
        </w:rPr>
      </w:pPr>
    </w:p>
    <w:p w:rsidR="00526828" w:rsidRPr="00526828" w:rsidRDefault="00526828" w:rsidP="00526828">
      <w:pPr>
        <w:rPr>
          <w:rFonts w:ascii="Verdana" w:hAnsi="Verdana"/>
          <w:sz w:val="22"/>
          <w:szCs w:val="22"/>
        </w:rPr>
      </w:pPr>
    </w:p>
    <w:p w:rsidR="00526828" w:rsidRPr="00526828" w:rsidRDefault="00526828" w:rsidP="00526828">
      <w:pPr>
        <w:rPr>
          <w:rFonts w:ascii="Verdana" w:hAnsi="Verdana"/>
          <w:sz w:val="22"/>
          <w:szCs w:val="22"/>
        </w:rPr>
      </w:pPr>
    </w:p>
    <w:p w:rsidR="00526828" w:rsidRPr="00526828" w:rsidRDefault="00526828" w:rsidP="00526828">
      <w:pPr>
        <w:keepNext/>
        <w:outlineLvl w:val="4"/>
        <w:rPr>
          <w:rFonts w:ascii="Verdana" w:hAnsi="Verdana"/>
          <w:b/>
          <w:sz w:val="22"/>
          <w:szCs w:val="22"/>
        </w:rPr>
      </w:pPr>
      <w:r w:rsidRPr="00526828">
        <w:rPr>
          <w:rFonts w:ascii="Verdana" w:hAnsi="Verdana"/>
          <w:b/>
          <w:sz w:val="22"/>
          <w:szCs w:val="22"/>
        </w:rPr>
        <w:t>Reportable Range:</w:t>
      </w:r>
    </w:p>
    <w:p w:rsidR="00526828" w:rsidRPr="00526828" w:rsidRDefault="00526828" w:rsidP="00526828">
      <w:pPr>
        <w:rPr>
          <w:rFonts w:ascii="Verdana" w:hAnsi="Verdana"/>
          <w:sz w:val="22"/>
          <w:szCs w:val="22"/>
        </w:rPr>
      </w:pPr>
      <w:r w:rsidRPr="00526828">
        <w:rPr>
          <w:rFonts w:ascii="Verdana" w:hAnsi="Verdana"/>
          <w:sz w:val="22"/>
          <w:szCs w:val="22"/>
        </w:rPr>
        <w:t>13 x 75 mm EDTA tubes (2.0 mL – 4.0 mL ): 0 – 140 mm/hr</w:t>
      </w:r>
    </w:p>
    <w:p w:rsidR="00526828" w:rsidRPr="00526828" w:rsidRDefault="00526828" w:rsidP="00526828">
      <w:pPr>
        <w:rPr>
          <w:rFonts w:ascii="Verdana" w:hAnsi="Verdana"/>
          <w:sz w:val="22"/>
          <w:szCs w:val="22"/>
        </w:rPr>
      </w:pPr>
      <w:r w:rsidRPr="00526828">
        <w:rPr>
          <w:rFonts w:ascii="Verdana" w:hAnsi="Verdana"/>
          <w:sz w:val="22"/>
          <w:szCs w:val="22"/>
        </w:rPr>
        <w:t xml:space="preserve">Samples with a result greater than 140 mm/hr should be reported as “&gt;140 mm/hr.”     </w:t>
      </w:r>
    </w:p>
    <w:p w:rsidR="00526828" w:rsidRPr="00526828" w:rsidRDefault="00526828" w:rsidP="00526828">
      <w:pPr>
        <w:rPr>
          <w:rFonts w:ascii="Verdana" w:hAnsi="Verdana"/>
          <w:sz w:val="22"/>
          <w:szCs w:val="22"/>
        </w:rPr>
      </w:pPr>
    </w:p>
    <w:p w:rsidR="00526828" w:rsidRPr="00526828" w:rsidRDefault="00526828" w:rsidP="00526828">
      <w:pPr>
        <w:rPr>
          <w:rFonts w:ascii="Verdana" w:hAnsi="Verdana"/>
          <w:sz w:val="22"/>
          <w:szCs w:val="22"/>
          <w:lang w:val="fr-FR"/>
        </w:rPr>
      </w:pPr>
      <w:r w:rsidRPr="00526828">
        <w:rPr>
          <w:rFonts w:ascii="Verdana" w:hAnsi="Verdana"/>
          <w:sz w:val="22"/>
          <w:szCs w:val="22"/>
          <w:lang w:val="fr-FR"/>
        </w:rPr>
        <w:t xml:space="preserve">BD Microtainer EDTA tubes (500 </w:t>
      </w:r>
      <w:r w:rsidRPr="00526828">
        <w:rPr>
          <w:rFonts w:ascii="Verdana" w:hAnsi="Verdana"/>
          <w:sz w:val="22"/>
          <w:szCs w:val="22"/>
        </w:rPr>
        <w:t>µL</w:t>
      </w:r>
      <w:r w:rsidRPr="00526828">
        <w:rPr>
          <w:rFonts w:ascii="Verdana" w:hAnsi="Verdana"/>
          <w:sz w:val="22"/>
          <w:szCs w:val="22"/>
          <w:lang w:val="fr-FR"/>
        </w:rPr>
        <w:t>): 0 – 60 mm/hr</w:t>
      </w:r>
    </w:p>
    <w:p w:rsidR="00526828" w:rsidRPr="00526828" w:rsidRDefault="00526828" w:rsidP="00526828">
      <w:pPr>
        <w:rPr>
          <w:rFonts w:ascii="Verdana" w:hAnsi="Verdana"/>
          <w:sz w:val="22"/>
          <w:szCs w:val="22"/>
        </w:rPr>
      </w:pPr>
      <w:r w:rsidRPr="00526828">
        <w:rPr>
          <w:rFonts w:ascii="Verdana" w:hAnsi="Verdana"/>
          <w:sz w:val="22"/>
          <w:szCs w:val="22"/>
        </w:rPr>
        <w:t>Samples with a result greater than 60 mm/hr should be reported as “&gt;60 mm/hr.”</w:t>
      </w:r>
    </w:p>
    <w:p w:rsidR="00526828" w:rsidRPr="00526828" w:rsidRDefault="00526828" w:rsidP="00526828">
      <w:pPr>
        <w:rPr>
          <w:rFonts w:ascii="Verdana" w:hAnsi="Verdana"/>
          <w:sz w:val="22"/>
          <w:szCs w:val="22"/>
        </w:rPr>
      </w:pPr>
    </w:p>
    <w:p w:rsidR="00526828" w:rsidRPr="00526828" w:rsidRDefault="00526828" w:rsidP="00526828">
      <w:pPr>
        <w:numPr>
          <w:ilvl w:val="0"/>
          <w:numId w:val="15"/>
        </w:numPr>
        <w:rPr>
          <w:rFonts w:ascii="Verdana" w:hAnsi="Verdana"/>
          <w:sz w:val="22"/>
          <w:szCs w:val="22"/>
        </w:rPr>
      </w:pPr>
      <w:r w:rsidRPr="00526828">
        <w:rPr>
          <w:rFonts w:ascii="Verdana" w:hAnsi="Verdana"/>
          <w:sz w:val="22"/>
          <w:szCs w:val="22"/>
        </w:rPr>
        <w:t>If the result is below the normal threshold programmed in the SETTINGS menu, the result on the MINI-CUBE screen will be highlighted in green. If the result is equal to or higher than the normal threshold, the result on the MINI-CUBE screen will be highlighted in red.</w:t>
      </w:r>
    </w:p>
    <w:p w:rsidR="00526828" w:rsidRPr="00526828" w:rsidRDefault="00526828" w:rsidP="00526828">
      <w:pPr>
        <w:numPr>
          <w:ilvl w:val="0"/>
          <w:numId w:val="15"/>
        </w:numPr>
        <w:rPr>
          <w:rFonts w:ascii="Verdana" w:hAnsi="Verdana"/>
          <w:sz w:val="22"/>
          <w:szCs w:val="22"/>
        </w:rPr>
      </w:pPr>
      <w:r w:rsidRPr="00526828">
        <w:rPr>
          <w:rFonts w:ascii="Verdana" w:hAnsi="Verdana"/>
          <w:sz w:val="22"/>
          <w:szCs w:val="22"/>
        </w:rPr>
        <w:t>Samples run in BD Microtainer tubes will display an image of a small tube on the screen and “PEDIATRIC” will be indicated on the sample printout. In the RESULTS Archive, a subscript “P” will be displayed immediately to the right of the ESR result.</w:t>
      </w:r>
    </w:p>
    <w:p w:rsidR="00526828" w:rsidRPr="00526828" w:rsidRDefault="00526828" w:rsidP="00526828">
      <w:pPr>
        <w:ind w:left="720"/>
        <w:rPr>
          <w:rFonts w:ascii="Verdana" w:hAnsi="Verdana"/>
          <w:sz w:val="22"/>
          <w:szCs w:val="22"/>
        </w:rPr>
      </w:pPr>
    </w:p>
    <w:p w:rsidR="00526828" w:rsidRDefault="00526828" w:rsidP="00526828">
      <w:pPr>
        <w:rPr>
          <w:rFonts w:ascii="Verdana" w:hAnsi="Verdana"/>
          <w:sz w:val="22"/>
          <w:szCs w:val="22"/>
        </w:rPr>
      </w:pPr>
      <w:r w:rsidRPr="00526828">
        <w:rPr>
          <w:rFonts w:ascii="Verdana" w:hAnsi="Verdana"/>
          <w:sz w:val="22"/>
          <w:szCs w:val="22"/>
        </w:rPr>
        <w:t>The RESULTS Archive stores up to 5,000 patient results. When the RESULTS Archive reaches capacity, the oldest value will be deleted and the newest value will be added.</w:t>
      </w:r>
    </w:p>
    <w:p w:rsidR="00526828" w:rsidRDefault="00526828" w:rsidP="00526828">
      <w:pPr>
        <w:rPr>
          <w:rFonts w:ascii="Verdana" w:hAnsi="Verdana"/>
          <w:sz w:val="22"/>
          <w:szCs w:val="22"/>
        </w:rPr>
      </w:pPr>
    </w:p>
    <w:p w:rsidR="000B5533" w:rsidRPr="000B5533" w:rsidRDefault="000B5533" w:rsidP="000B5533">
      <w:pPr>
        <w:keepNext/>
        <w:outlineLvl w:val="4"/>
        <w:rPr>
          <w:rFonts w:ascii="Verdana" w:hAnsi="Verdana"/>
          <w:b/>
          <w:sz w:val="22"/>
          <w:szCs w:val="22"/>
        </w:rPr>
      </w:pPr>
      <w:r w:rsidRPr="000B5533">
        <w:rPr>
          <w:rFonts w:ascii="Verdana" w:hAnsi="Verdana"/>
          <w:b/>
          <w:sz w:val="22"/>
          <w:szCs w:val="22"/>
        </w:rPr>
        <w:t>Limitations of the Procedure</w:t>
      </w:r>
    </w:p>
    <w:p w:rsidR="000B5533" w:rsidRDefault="000B5533" w:rsidP="000B5533">
      <w:pPr>
        <w:rPr>
          <w:rFonts w:ascii="Verdana" w:hAnsi="Verdana"/>
          <w:sz w:val="22"/>
          <w:szCs w:val="22"/>
        </w:rPr>
      </w:pPr>
      <w:r w:rsidRPr="000B5533">
        <w:rPr>
          <w:rFonts w:ascii="Verdana" w:hAnsi="Verdana"/>
          <w:sz w:val="22"/>
          <w:szCs w:val="22"/>
        </w:rPr>
        <w:t>See the MINI-CUBE User Manual for guidance on abnormal samples (icteric, lipemic, etc.).</w:t>
      </w:r>
    </w:p>
    <w:p w:rsidR="000B5533" w:rsidRDefault="000B5533" w:rsidP="000B5533">
      <w:pPr>
        <w:rPr>
          <w:rFonts w:ascii="Verdana" w:hAnsi="Verdana"/>
          <w:sz w:val="22"/>
          <w:szCs w:val="22"/>
        </w:rPr>
      </w:pPr>
    </w:p>
    <w:p w:rsidR="000B5533" w:rsidRDefault="000B5533" w:rsidP="000B5533">
      <w:pPr>
        <w:rPr>
          <w:rFonts w:ascii="Verdana" w:hAnsi="Verdana"/>
          <w:sz w:val="22"/>
          <w:szCs w:val="22"/>
        </w:rPr>
      </w:pPr>
      <w:r>
        <w:rPr>
          <w:rFonts w:ascii="Verdana" w:hAnsi="Verdana"/>
          <w:sz w:val="22"/>
          <w:szCs w:val="22"/>
        </w:rPr>
        <w:t xml:space="preserve">The clinical significance of an ESR result obtained from an abnormal sample, including but not limited to icteric, lipemic, cold agglutins, anemic conditions, low hemoglobin concentrations, hemolysis, or any other pathological condition that interferes or prevents a clear red blood cell to plasma interface, </w:t>
      </w:r>
      <w:r w:rsidR="00031908">
        <w:rPr>
          <w:rFonts w:ascii="Verdana" w:hAnsi="Verdana"/>
          <w:sz w:val="22"/>
          <w:szCs w:val="22"/>
        </w:rPr>
        <w:t>should</w:t>
      </w:r>
      <w:r>
        <w:rPr>
          <w:rFonts w:ascii="Verdana" w:hAnsi="Verdana"/>
          <w:sz w:val="22"/>
          <w:szCs w:val="22"/>
        </w:rPr>
        <w:t xml:space="preserve"> be determined by the clinician ordering the test.  Manual and automated ESR measurements in samples without a clear interface are subject to a high degree of variability.  In the MINI-CUBE, the sample may go undetected or yield variable results.  Visually inspect the sample at the conclusion of the test to confirm the presence of a clear interface.  </w:t>
      </w:r>
    </w:p>
    <w:p w:rsidR="000B5533" w:rsidRDefault="000B5533" w:rsidP="000B5533">
      <w:pPr>
        <w:rPr>
          <w:rFonts w:ascii="Verdana" w:hAnsi="Verdana"/>
          <w:sz w:val="22"/>
          <w:szCs w:val="22"/>
        </w:rPr>
      </w:pPr>
    </w:p>
    <w:p w:rsidR="000B5533" w:rsidRDefault="000B5533" w:rsidP="000B5533">
      <w:pPr>
        <w:rPr>
          <w:rFonts w:ascii="Verdana" w:hAnsi="Verdana"/>
          <w:sz w:val="22"/>
          <w:szCs w:val="22"/>
        </w:rPr>
      </w:pPr>
    </w:p>
    <w:p w:rsidR="000B5533" w:rsidRPr="000B5533" w:rsidRDefault="000B5533" w:rsidP="000B5533">
      <w:pPr>
        <w:keepNext/>
        <w:outlineLvl w:val="4"/>
        <w:rPr>
          <w:rFonts w:ascii="Verdana" w:hAnsi="Verdana"/>
          <w:b/>
          <w:sz w:val="22"/>
          <w:szCs w:val="22"/>
        </w:rPr>
      </w:pPr>
      <w:r w:rsidRPr="000B5533">
        <w:rPr>
          <w:rFonts w:ascii="Verdana" w:hAnsi="Verdana"/>
          <w:b/>
          <w:sz w:val="22"/>
          <w:szCs w:val="22"/>
        </w:rPr>
        <w:t>Preventive Maintenance</w:t>
      </w:r>
    </w:p>
    <w:p w:rsidR="000B5533" w:rsidRDefault="000B5533" w:rsidP="000B5533">
      <w:pPr>
        <w:rPr>
          <w:rFonts w:ascii="Verdana" w:hAnsi="Verdana"/>
          <w:sz w:val="22"/>
          <w:szCs w:val="22"/>
        </w:rPr>
      </w:pPr>
      <w:r w:rsidRPr="000B5533">
        <w:rPr>
          <w:rFonts w:ascii="Verdana" w:hAnsi="Verdana"/>
          <w:b/>
          <w:sz w:val="22"/>
          <w:szCs w:val="22"/>
        </w:rPr>
        <w:t xml:space="preserve">NOTE: </w:t>
      </w:r>
      <w:r w:rsidRPr="000B5533">
        <w:rPr>
          <w:rFonts w:ascii="Verdana" w:hAnsi="Verdana"/>
          <w:sz w:val="22"/>
          <w:szCs w:val="22"/>
        </w:rPr>
        <w:t>Always turn off the MINI-CUBE and disconnect it from the power source before performing any type of maintenance. Do not open or remove the MINI-CUBE cover.</w:t>
      </w:r>
    </w:p>
    <w:p w:rsidR="000B5533" w:rsidRDefault="000B5533" w:rsidP="000B5533">
      <w:pPr>
        <w:rPr>
          <w:rFonts w:ascii="Verdana" w:hAnsi="Verdana"/>
          <w:sz w:val="22"/>
          <w:szCs w:val="22"/>
        </w:rPr>
      </w:pPr>
    </w:p>
    <w:p w:rsidR="000B5533" w:rsidRDefault="000B5533" w:rsidP="000B5533">
      <w:pPr>
        <w:rPr>
          <w:rFonts w:ascii="Verdana" w:hAnsi="Verdana"/>
          <w:sz w:val="22"/>
          <w:szCs w:val="22"/>
        </w:rPr>
      </w:pPr>
    </w:p>
    <w:p w:rsidR="000B5533" w:rsidRDefault="000B5533" w:rsidP="000B5533">
      <w:pPr>
        <w:rPr>
          <w:rFonts w:ascii="Verdana" w:hAnsi="Verdana"/>
          <w:sz w:val="22"/>
          <w:szCs w:val="22"/>
        </w:rPr>
      </w:pPr>
    </w:p>
    <w:p w:rsidR="000B5533" w:rsidRDefault="000B5533" w:rsidP="000B5533">
      <w:pPr>
        <w:rPr>
          <w:rFonts w:ascii="Verdana" w:hAnsi="Verdana"/>
          <w:sz w:val="22"/>
          <w:szCs w:val="22"/>
        </w:rPr>
      </w:pPr>
    </w:p>
    <w:p w:rsidR="000B5533" w:rsidRPr="000B5533" w:rsidRDefault="000B5533" w:rsidP="000B5533">
      <w:pPr>
        <w:rPr>
          <w:rFonts w:ascii="Verdana" w:hAnsi="Verdana"/>
          <w:sz w:val="22"/>
          <w:szCs w:val="22"/>
        </w:rPr>
      </w:pPr>
    </w:p>
    <w:p w:rsidR="000B5533" w:rsidRPr="000B5533" w:rsidRDefault="000B5533" w:rsidP="000B5533">
      <w:pPr>
        <w:rPr>
          <w:rFonts w:ascii="Verdana" w:hAnsi="Verdana"/>
          <w:sz w:val="22"/>
          <w:szCs w:val="22"/>
        </w:rPr>
      </w:pPr>
    </w:p>
    <w:p w:rsidR="000B5533" w:rsidRPr="000B5533" w:rsidRDefault="000B5533" w:rsidP="000B5533">
      <w:pPr>
        <w:numPr>
          <w:ilvl w:val="0"/>
          <w:numId w:val="16"/>
        </w:numPr>
        <w:rPr>
          <w:rFonts w:ascii="Verdana" w:hAnsi="Verdana"/>
          <w:sz w:val="22"/>
          <w:szCs w:val="22"/>
        </w:rPr>
      </w:pPr>
      <w:r w:rsidRPr="000B5533">
        <w:rPr>
          <w:rFonts w:ascii="Verdana" w:hAnsi="Verdana"/>
          <w:sz w:val="22"/>
          <w:szCs w:val="22"/>
        </w:rPr>
        <w:t>Regularly verify that the print head on the MINI-CUBE printer is free from dust.</w:t>
      </w:r>
    </w:p>
    <w:p w:rsidR="000B5533" w:rsidRPr="000B5533" w:rsidRDefault="000B5533" w:rsidP="000B5533">
      <w:pPr>
        <w:numPr>
          <w:ilvl w:val="0"/>
          <w:numId w:val="16"/>
        </w:numPr>
        <w:rPr>
          <w:rFonts w:ascii="Verdana" w:hAnsi="Verdana"/>
          <w:color w:val="0000FF"/>
          <w:sz w:val="22"/>
          <w:szCs w:val="22"/>
        </w:rPr>
      </w:pPr>
      <w:r w:rsidRPr="000B5533">
        <w:rPr>
          <w:rFonts w:ascii="Verdana" w:hAnsi="Verdana"/>
          <w:sz w:val="22"/>
          <w:szCs w:val="22"/>
        </w:rPr>
        <w:t xml:space="preserve">Regularly clean the instrument using a soft, damp cloth or paper. </w:t>
      </w:r>
    </w:p>
    <w:p w:rsidR="000B5533" w:rsidRPr="000B5533" w:rsidRDefault="000B5533" w:rsidP="000B5533">
      <w:pPr>
        <w:numPr>
          <w:ilvl w:val="0"/>
          <w:numId w:val="16"/>
        </w:numPr>
        <w:rPr>
          <w:rFonts w:ascii="Verdana" w:hAnsi="Verdana"/>
          <w:color w:val="0000FF"/>
          <w:sz w:val="22"/>
          <w:szCs w:val="22"/>
        </w:rPr>
      </w:pPr>
      <w:r w:rsidRPr="000B5533">
        <w:rPr>
          <w:rFonts w:ascii="Verdana" w:hAnsi="Verdana"/>
          <w:sz w:val="22"/>
          <w:szCs w:val="22"/>
        </w:rPr>
        <w:t>In the event of biological material leakage, wipe the outer surface of the instrument with 70% isopropyl alcohol and immediately contact Streck Technical Services at 800-843-0912 or technicalservices@streck.com for further instruction.</w:t>
      </w:r>
    </w:p>
    <w:p w:rsidR="000B5533" w:rsidRDefault="000B5533" w:rsidP="000B5533">
      <w:pPr>
        <w:rPr>
          <w:rFonts w:ascii="Verdana" w:hAnsi="Verdana"/>
          <w:sz w:val="22"/>
          <w:szCs w:val="22"/>
        </w:rPr>
      </w:pPr>
    </w:p>
    <w:p w:rsidR="000B5533" w:rsidRDefault="000B5533" w:rsidP="000B5533">
      <w:pPr>
        <w:rPr>
          <w:rFonts w:ascii="Verdana" w:hAnsi="Verdana"/>
          <w:sz w:val="22"/>
          <w:szCs w:val="22"/>
        </w:rPr>
      </w:pPr>
    </w:p>
    <w:p w:rsidR="000B5533" w:rsidRDefault="000B5533" w:rsidP="000B5533">
      <w:pPr>
        <w:rPr>
          <w:rFonts w:ascii="Verdana" w:hAnsi="Verdana"/>
          <w:sz w:val="22"/>
          <w:szCs w:val="22"/>
        </w:rPr>
      </w:pPr>
    </w:p>
    <w:p w:rsidR="000B5533" w:rsidRPr="000B5533" w:rsidRDefault="000B5533" w:rsidP="000B5533">
      <w:pPr>
        <w:rPr>
          <w:rFonts w:ascii="Helvetica" w:hAnsi="Helvetica"/>
          <w:color w:val="0000FF"/>
          <w:sz w:val="20"/>
        </w:rPr>
      </w:pPr>
    </w:p>
    <w:p w:rsidR="000B5533" w:rsidRPr="000B5533" w:rsidRDefault="000B5533" w:rsidP="000B5533">
      <w:pPr>
        <w:keepNext/>
        <w:outlineLvl w:val="4"/>
        <w:rPr>
          <w:rFonts w:ascii="Verdana" w:hAnsi="Verdana"/>
          <w:b/>
          <w:sz w:val="22"/>
          <w:szCs w:val="22"/>
        </w:rPr>
      </w:pPr>
      <w:r w:rsidRPr="000B5533">
        <w:rPr>
          <w:rFonts w:ascii="Verdana" w:hAnsi="Verdana"/>
          <w:b/>
          <w:sz w:val="22"/>
          <w:szCs w:val="22"/>
        </w:rPr>
        <w:t>References</w:t>
      </w:r>
    </w:p>
    <w:p w:rsidR="000B5533" w:rsidRDefault="000B5533" w:rsidP="000B5533">
      <w:pPr>
        <w:numPr>
          <w:ilvl w:val="0"/>
          <w:numId w:val="17"/>
        </w:numPr>
        <w:rPr>
          <w:rFonts w:ascii="Verdana" w:hAnsi="Verdana"/>
          <w:sz w:val="22"/>
          <w:szCs w:val="22"/>
        </w:rPr>
      </w:pPr>
      <w:r w:rsidRPr="000B5533">
        <w:rPr>
          <w:rFonts w:ascii="Verdana" w:hAnsi="Verdana"/>
          <w:sz w:val="22"/>
          <w:szCs w:val="22"/>
        </w:rPr>
        <w:t xml:space="preserve">MINI-CUBE User Manual, </w:t>
      </w:r>
      <w:hyperlink r:id="rId8" w:history="1">
        <w:r w:rsidRPr="00A77943">
          <w:rPr>
            <w:rStyle w:val="Hyperlink"/>
            <w:rFonts w:ascii="Verdana" w:hAnsi="Verdana"/>
            <w:sz w:val="22"/>
            <w:szCs w:val="22"/>
          </w:rPr>
          <w:t>www.Streck.com</w:t>
        </w:r>
      </w:hyperlink>
    </w:p>
    <w:p w:rsidR="000B5533" w:rsidRPr="000B5533" w:rsidRDefault="000B5533" w:rsidP="000B5533">
      <w:pPr>
        <w:numPr>
          <w:ilvl w:val="0"/>
          <w:numId w:val="17"/>
        </w:numPr>
        <w:rPr>
          <w:rFonts w:ascii="Verdana" w:hAnsi="Verdana"/>
          <w:sz w:val="22"/>
          <w:szCs w:val="22"/>
        </w:rPr>
      </w:pPr>
      <w:r>
        <w:rPr>
          <w:rFonts w:ascii="Verdana" w:hAnsi="Verdana"/>
          <w:sz w:val="22"/>
          <w:szCs w:val="22"/>
        </w:rPr>
        <w:t xml:space="preserve">ESR-Chex </w:t>
      </w:r>
      <w:r w:rsidR="00031908">
        <w:rPr>
          <w:rFonts w:ascii="Verdana" w:hAnsi="Verdana"/>
          <w:sz w:val="22"/>
          <w:szCs w:val="22"/>
        </w:rPr>
        <w:t>Plus Package Insert, Streck 06-2018</w:t>
      </w:r>
    </w:p>
    <w:p w:rsidR="000B5533" w:rsidRPr="000B5533" w:rsidRDefault="000B5533" w:rsidP="000B5533">
      <w:pPr>
        <w:numPr>
          <w:ilvl w:val="0"/>
          <w:numId w:val="17"/>
        </w:numPr>
        <w:rPr>
          <w:rFonts w:ascii="Verdana" w:hAnsi="Verdana"/>
          <w:spacing w:val="-4"/>
          <w:sz w:val="22"/>
          <w:szCs w:val="22"/>
        </w:rPr>
      </w:pPr>
      <w:r w:rsidRPr="000B5533">
        <w:rPr>
          <w:rFonts w:ascii="Verdana" w:hAnsi="Verdana"/>
          <w:spacing w:val="-4"/>
          <w:sz w:val="22"/>
          <w:szCs w:val="22"/>
        </w:rPr>
        <w:t>Clinical and Laboratory Standards Institute, H02, Procedures for the erythrocyte sedimentation rate test. Approved Standard – Fifth Edition.</w:t>
      </w:r>
    </w:p>
    <w:p w:rsidR="000B5533" w:rsidRPr="000B5533" w:rsidRDefault="000B5533" w:rsidP="000B5533">
      <w:pPr>
        <w:rPr>
          <w:rFonts w:ascii="Verdana" w:hAnsi="Verdana"/>
          <w:sz w:val="22"/>
          <w:szCs w:val="22"/>
        </w:rPr>
      </w:pPr>
    </w:p>
    <w:p w:rsidR="00526828" w:rsidRDefault="00526828" w:rsidP="00526828">
      <w:pPr>
        <w:rPr>
          <w:rFonts w:ascii="Verdana" w:hAnsi="Verdana"/>
          <w:sz w:val="22"/>
          <w:szCs w:val="22"/>
        </w:rPr>
      </w:pPr>
    </w:p>
    <w:p w:rsidR="00526828" w:rsidRPr="00526828" w:rsidRDefault="00526828" w:rsidP="00526828">
      <w:pPr>
        <w:rPr>
          <w:rFonts w:ascii="Verdana" w:hAnsi="Verdana"/>
          <w:sz w:val="22"/>
          <w:szCs w:val="22"/>
        </w:rPr>
      </w:pPr>
    </w:p>
    <w:p w:rsidR="00526828" w:rsidRPr="00CC7025" w:rsidRDefault="00526828" w:rsidP="00526828">
      <w:pPr>
        <w:rPr>
          <w:rFonts w:ascii="Verdana" w:hAnsi="Verdana"/>
          <w:sz w:val="22"/>
          <w:szCs w:val="22"/>
        </w:rPr>
      </w:pPr>
    </w:p>
    <w:p w:rsidR="00CC7025" w:rsidRPr="00CC7025" w:rsidRDefault="00CC7025" w:rsidP="00CC7025">
      <w:pPr>
        <w:rPr>
          <w:rFonts w:ascii="Verdana" w:hAnsi="Verdana"/>
          <w:sz w:val="22"/>
          <w:szCs w:val="22"/>
        </w:rPr>
      </w:pPr>
    </w:p>
    <w:p w:rsidR="00EA5C82" w:rsidRDefault="00EA5C82"/>
    <w:sectPr w:rsidR="00EA5C8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C82" w:rsidRDefault="00EA5C82" w:rsidP="00EA5C82">
      <w:r>
        <w:separator/>
      </w:r>
    </w:p>
  </w:endnote>
  <w:endnote w:type="continuationSeparator" w:id="0">
    <w:p w:rsidR="00EA5C82" w:rsidRDefault="00EA5C82" w:rsidP="00EA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97718"/>
      <w:docPartObj>
        <w:docPartGallery w:val="Page Numbers (Bottom of Page)"/>
        <w:docPartUnique/>
      </w:docPartObj>
    </w:sdtPr>
    <w:sdtContent>
      <w:sdt>
        <w:sdtPr>
          <w:id w:val="1728636285"/>
          <w:docPartObj>
            <w:docPartGallery w:val="Page Numbers (Top of Page)"/>
            <w:docPartUnique/>
          </w:docPartObj>
        </w:sdtPr>
        <w:sdtContent>
          <w:p w:rsidR="00EA5C82" w:rsidRDefault="00EA5C82" w:rsidP="00EA5C82">
            <w:pPr>
              <w:pStyle w:val="Footer"/>
              <w:jc w:val="center"/>
              <w:rPr>
                <w:b/>
                <w:bCs/>
                <w:szCs w:val="24"/>
              </w:rPr>
            </w:pPr>
            <w:r>
              <w:t xml:space="preserve">Page </w:t>
            </w:r>
            <w:r>
              <w:rPr>
                <w:b/>
                <w:bCs/>
                <w:szCs w:val="24"/>
              </w:rPr>
              <w:fldChar w:fldCharType="begin"/>
            </w:r>
            <w:r>
              <w:rPr>
                <w:b/>
                <w:bCs/>
              </w:rPr>
              <w:instrText xml:space="preserve"> PAGE </w:instrText>
            </w:r>
            <w:r>
              <w:rPr>
                <w:b/>
                <w:bCs/>
                <w:szCs w:val="24"/>
              </w:rPr>
              <w:fldChar w:fldCharType="separate"/>
            </w:r>
            <w:r w:rsidR="00031908">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31908">
              <w:rPr>
                <w:b/>
                <w:bCs/>
                <w:noProof/>
              </w:rPr>
              <w:t>7</w:t>
            </w:r>
            <w:r>
              <w:rPr>
                <w:b/>
                <w:bCs/>
                <w:szCs w:val="24"/>
              </w:rPr>
              <w:fldChar w:fldCharType="end"/>
            </w:r>
            <w:r>
              <w:rPr>
                <w:b/>
                <w:bCs/>
                <w:szCs w:val="24"/>
              </w:rPr>
              <w:t xml:space="preserve">                       </w:t>
            </w:r>
          </w:p>
          <w:p w:rsidR="00EA5C82" w:rsidRDefault="00EA5C82" w:rsidP="00EA5C82">
            <w:pPr>
              <w:pStyle w:val="Footer"/>
              <w:jc w:val="right"/>
            </w:pPr>
            <w:r>
              <w:rPr>
                <w:b/>
                <w:bCs/>
                <w:szCs w:val="24"/>
              </w:rPr>
              <w:t>H-S-145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C82" w:rsidRDefault="00EA5C82" w:rsidP="00EA5C82">
      <w:r>
        <w:separator/>
      </w:r>
    </w:p>
  </w:footnote>
  <w:footnote w:type="continuationSeparator" w:id="0">
    <w:p w:rsidR="00EA5C82" w:rsidRDefault="00EA5C82" w:rsidP="00EA5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82" w:rsidRPr="00CD1A02" w:rsidRDefault="00EA5C82" w:rsidP="00EA5C82">
    <w:pPr>
      <w:jc w:val="center"/>
      <w:rPr>
        <w:rFonts w:ascii="Verdana" w:hAnsi="Verdana"/>
        <w:b/>
        <w:color w:val="0000FF"/>
        <w:sz w:val="22"/>
        <w:szCs w:val="22"/>
      </w:rPr>
    </w:pPr>
    <w:r w:rsidRPr="00CD1A02">
      <w:rPr>
        <w:rFonts w:ascii="Verdana" w:hAnsi="Verdana"/>
        <w:b/>
        <w:color w:val="0000FF"/>
        <w:sz w:val="22"/>
        <w:szCs w:val="22"/>
      </w:rPr>
      <w:t>TECHNICAL PROCEDURE MANUAL</w:t>
    </w:r>
  </w:p>
  <w:p w:rsidR="00EA5C82" w:rsidRDefault="00EA5C82" w:rsidP="00EA5C82">
    <w:pPr>
      <w:jc w:val="center"/>
      <w:rPr>
        <w:rFonts w:ascii="Verdana" w:hAnsi="Verdana"/>
        <w:b/>
      </w:rPr>
    </w:pPr>
    <w:r w:rsidRPr="00CD1A02">
      <w:rPr>
        <w:rFonts w:ascii="Verdana" w:hAnsi="Verdana"/>
        <w:b/>
        <w:sz w:val="22"/>
        <w:szCs w:val="22"/>
      </w:rPr>
      <w:t>CHRISTUS Spohn Hospital Corpus Christi South</w:t>
    </w:r>
    <w:r>
      <w:rPr>
        <w:rFonts w:ascii="Verdana" w:hAnsi="Verdana"/>
        <w:b/>
        <w:sz w:val="22"/>
        <w:szCs w:val="22"/>
      </w:rPr>
      <w:t xml:space="preserve"> </w:t>
    </w:r>
  </w:p>
  <w:p w:rsidR="00EA5C82" w:rsidRDefault="00EA5C82" w:rsidP="00EA5C82">
    <w:pPr>
      <w:jc w:val="center"/>
      <w:rPr>
        <w:rFonts w:ascii="Verdana" w:hAnsi="Verdana"/>
        <w:b/>
      </w:rPr>
    </w:pPr>
    <w:r>
      <w:rPr>
        <w:rFonts w:ascii="Verdana" w:hAnsi="Verdana"/>
        <w:b/>
      </w:rPr>
      <w:t>Erythocyte Sedimentation Rate (ESR)</w:t>
    </w:r>
  </w:p>
  <w:p w:rsidR="00EA5C82" w:rsidRPr="00EA5C82" w:rsidRDefault="00EA5C82" w:rsidP="00EA5C82">
    <w:pPr>
      <w:jc w:val="center"/>
      <w:rPr>
        <w:rFonts w:ascii="Verdana" w:hAnsi="Verdana"/>
        <w:b/>
      </w:rPr>
    </w:pPr>
    <w:r>
      <w:rPr>
        <w:rFonts w:ascii="Verdana" w:hAnsi="Verdana"/>
        <w:b/>
      </w:rPr>
      <w:t>Using the Streck Diesse Mini Cube    H-S-145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E29A4"/>
    <w:multiLevelType w:val="hybridMultilevel"/>
    <w:tmpl w:val="966E8F92"/>
    <w:lvl w:ilvl="0" w:tplc="07F21086">
      <w:start w:val="1"/>
      <w:numFmt w:val="decimal"/>
      <w:lvlText w:val="%1."/>
      <w:lvlJc w:val="left"/>
      <w:pPr>
        <w:ind w:left="630" w:hanging="360"/>
      </w:pPr>
      <w:rPr>
        <w:rFonts w:hint="default"/>
      </w:rPr>
    </w:lvl>
    <w:lvl w:ilvl="1" w:tplc="4DF6662E">
      <w:start w:val="1"/>
      <w:numFmt w:val="lowerLetter"/>
      <w:lvlText w:val="%2."/>
      <w:lvlJc w:val="left"/>
      <w:pPr>
        <w:ind w:left="1350" w:hanging="360"/>
      </w:pPr>
      <w:rPr>
        <w:rFonts w:hint="default"/>
        <w:b w:val="0"/>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71D6D64"/>
    <w:multiLevelType w:val="hybridMultilevel"/>
    <w:tmpl w:val="F2D0B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71198"/>
    <w:multiLevelType w:val="hybridMultilevel"/>
    <w:tmpl w:val="65A24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96B51"/>
    <w:multiLevelType w:val="hybridMultilevel"/>
    <w:tmpl w:val="7C30AF4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356236FC"/>
    <w:multiLevelType w:val="hybridMultilevel"/>
    <w:tmpl w:val="3CF83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339EB"/>
    <w:multiLevelType w:val="hybridMultilevel"/>
    <w:tmpl w:val="BF9E9E62"/>
    <w:lvl w:ilvl="0" w:tplc="7C566F2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3E1605AC"/>
    <w:multiLevelType w:val="hybridMultilevel"/>
    <w:tmpl w:val="C7A475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3174FC"/>
    <w:multiLevelType w:val="hybridMultilevel"/>
    <w:tmpl w:val="C7A475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DE2C59"/>
    <w:multiLevelType w:val="hybridMultilevel"/>
    <w:tmpl w:val="32BE2C98"/>
    <w:lvl w:ilvl="0" w:tplc="7AAA5712">
      <w:start w:val="1"/>
      <w:numFmt w:val="decimal"/>
      <w:lvlText w:val="%1."/>
      <w:lvlJc w:val="left"/>
      <w:pPr>
        <w:tabs>
          <w:tab w:val="num" w:pos="288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6A011AE"/>
    <w:multiLevelType w:val="hybridMultilevel"/>
    <w:tmpl w:val="D10C4E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790A45"/>
    <w:multiLevelType w:val="hybridMultilevel"/>
    <w:tmpl w:val="189A26A4"/>
    <w:lvl w:ilvl="0" w:tplc="A4829C90">
      <w:start w:val="1"/>
      <w:numFmt w:val="decimal"/>
      <w:lvlText w:val="%1."/>
      <w:lvlJc w:val="left"/>
      <w:pPr>
        <w:ind w:left="648" w:hanging="360"/>
      </w:pPr>
      <w:rPr>
        <w:rFonts w:hint="default"/>
        <w:color w:val="00000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5B3C68EF"/>
    <w:multiLevelType w:val="hybridMultilevel"/>
    <w:tmpl w:val="B7E8C410"/>
    <w:lvl w:ilvl="0" w:tplc="5D7CB07E">
      <w:start w:val="1"/>
      <w:numFmt w:val="decimal"/>
      <w:lvlText w:val="%1."/>
      <w:lvlJc w:val="left"/>
      <w:pPr>
        <w:ind w:left="720"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5C7B2C8D"/>
    <w:multiLevelType w:val="hybridMultilevel"/>
    <w:tmpl w:val="993AF37E"/>
    <w:lvl w:ilvl="0" w:tplc="07F2108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A13106"/>
    <w:multiLevelType w:val="hybridMultilevel"/>
    <w:tmpl w:val="F6D2866A"/>
    <w:lvl w:ilvl="0" w:tplc="7AAA5712">
      <w:start w:val="1"/>
      <w:numFmt w:val="decimal"/>
      <w:lvlText w:val="%1."/>
      <w:lvlJc w:val="left"/>
      <w:pPr>
        <w:tabs>
          <w:tab w:val="num" w:pos="288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0C44D9"/>
    <w:multiLevelType w:val="hybridMultilevel"/>
    <w:tmpl w:val="4D0C535A"/>
    <w:lvl w:ilvl="0" w:tplc="5D7CB07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77D205FE"/>
    <w:multiLevelType w:val="hybridMultilevel"/>
    <w:tmpl w:val="87D468F6"/>
    <w:lvl w:ilvl="0" w:tplc="7C566F2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7F077D46"/>
    <w:multiLevelType w:val="hybridMultilevel"/>
    <w:tmpl w:val="9D3A2748"/>
    <w:lvl w:ilvl="0" w:tplc="5D7CB07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8"/>
  </w:num>
  <w:num w:numId="2">
    <w:abstractNumId w:val="13"/>
  </w:num>
  <w:num w:numId="3">
    <w:abstractNumId w:val="2"/>
  </w:num>
  <w:num w:numId="4">
    <w:abstractNumId w:val="1"/>
  </w:num>
  <w:num w:numId="5">
    <w:abstractNumId w:val="3"/>
  </w:num>
  <w:num w:numId="6">
    <w:abstractNumId w:val="7"/>
  </w:num>
  <w:num w:numId="7">
    <w:abstractNumId w:val="6"/>
  </w:num>
  <w:num w:numId="8">
    <w:abstractNumId w:val="4"/>
  </w:num>
  <w:num w:numId="9">
    <w:abstractNumId w:val="15"/>
  </w:num>
  <w:num w:numId="10">
    <w:abstractNumId w:val="5"/>
  </w:num>
  <w:num w:numId="11">
    <w:abstractNumId w:val="0"/>
  </w:num>
  <w:num w:numId="12">
    <w:abstractNumId w:val="12"/>
  </w:num>
  <w:num w:numId="13">
    <w:abstractNumId w:val="14"/>
  </w:num>
  <w:num w:numId="14">
    <w:abstractNumId w:val="16"/>
  </w:num>
  <w:num w:numId="15">
    <w:abstractNumId w:val="9"/>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C82"/>
    <w:rsid w:val="00031908"/>
    <w:rsid w:val="000B5533"/>
    <w:rsid w:val="0012239B"/>
    <w:rsid w:val="0044067F"/>
    <w:rsid w:val="00526828"/>
    <w:rsid w:val="00B0595B"/>
    <w:rsid w:val="00CC7025"/>
    <w:rsid w:val="00EA5C82"/>
    <w:rsid w:val="00F64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36DE5"/>
  <w15:chartTrackingRefBased/>
  <w15:docId w15:val="{407AD066-65AB-4E41-9A3F-FF6441ED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C82"/>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EA5C82"/>
    <w:pPr>
      <w:keepNext/>
      <w:outlineLvl w:val="4"/>
    </w:pPr>
    <w:rPr>
      <w:rFonts w:ascii="Helvetica" w:hAnsi="Helvetic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C82"/>
    <w:pPr>
      <w:tabs>
        <w:tab w:val="center" w:pos="4680"/>
        <w:tab w:val="right" w:pos="9360"/>
      </w:tabs>
    </w:pPr>
  </w:style>
  <w:style w:type="character" w:customStyle="1" w:styleId="HeaderChar">
    <w:name w:val="Header Char"/>
    <w:basedOn w:val="DefaultParagraphFont"/>
    <w:link w:val="Header"/>
    <w:uiPriority w:val="99"/>
    <w:rsid w:val="00EA5C82"/>
  </w:style>
  <w:style w:type="paragraph" w:styleId="Footer">
    <w:name w:val="footer"/>
    <w:basedOn w:val="Normal"/>
    <w:link w:val="FooterChar"/>
    <w:uiPriority w:val="99"/>
    <w:unhideWhenUsed/>
    <w:rsid w:val="00EA5C82"/>
    <w:pPr>
      <w:tabs>
        <w:tab w:val="center" w:pos="4680"/>
        <w:tab w:val="right" w:pos="9360"/>
      </w:tabs>
    </w:pPr>
  </w:style>
  <w:style w:type="character" w:customStyle="1" w:styleId="FooterChar">
    <w:name w:val="Footer Char"/>
    <w:basedOn w:val="DefaultParagraphFont"/>
    <w:link w:val="Footer"/>
    <w:uiPriority w:val="99"/>
    <w:rsid w:val="00EA5C82"/>
  </w:style>
  <w:style w:type="character" w:customStyle="1" w:styleId="Heading5Char">
    <w:name w:val="Heading 5 Char"/>
    <w:basedOn w:val="DefaultParagraphFont"/>
    <w:link w:val="Heading5"/>
    <w:rsid w:val="00EA5C82"/>
    <w:rPr>
      <w:rFonts w:ascii="Helvetica" w:eastAsia="Times New Roman" w:hAnsi="Helvetica" w:cs="Times New Roman"/>
      <w:b/>
      <w:sz w:val="20"/>
      <w:szCs w:val="20"/>
    </w:rPr>
  </w:style>
  <w:style w:type="paragraph" w:styleId="FootnoteText">
    <w:name w:val="footnote text"/>
    <w:basedOn w:val="Normal"/>
    <w:link w:val="FootnoteTextChar"/>
    <w:semiHidden/>
    <w:rsid w:val="00B0595B"/>
    <w:rPr>
      <w:sz w:val="20"/>
    </w:rPr>
  </w:style>
  <w:style w:type="character" w:customStyle="1" w:styleId="FootnoteTextChar">
    <w:name w:val="Footnote Text Char"/>
    <w:basedOn w:val="DefaultParagraphFont"/>
    <w:link w:val="FootnoteText"/>
    <w:semiHidden/>
    <w:rsid w:val="00B0595B"/>
    <w:rPr>
      <w:rFonts w:ascii="Times New Roman" w:eastAsia="Times New Roman" w:hAnsi="Times New Roman" w:cs="Times New Roman"/>
      <w:sz w:val="20"/>
      <w:szCs w:val="20"/>
    </w:rPr>
  </w:style>
  <w:style w:type="character" w:styleId="FootnoteReference">
    <w:name w:val="footnote reference"/>
    <w:basedOn w:val="DefaultParagraphFont"/>
    <w:semiHidden/>
    <w:rsid w:val="00B0595B"/>
    <w:rPr>
      <w:vertAlign w:val="superscript"/>
    </w:rPr>
  </w:style>
  <w:style w:type="paragraph" w:styleId="ListParagraph">
    <w:name w:val="List Paragraph"/>
    <w:basedOn w:val="Normal"/>
    <w:uiPriority w:val="34"/>
    <w:qFormat/>
    <w:rsid w:val="0012239B"/>
    <w:pPr>
      <w:ind w:left="720"/>
      <w:contextualSpacing/>
    </w:pPr>
  </w:style>
  <w:style w:type="character" w:styleId="Hyperlink">
    <w:name w:val="Hyperlink"/>
    <w:basedOn w:val="DefaultParagraphFont"/>
    <w:uiPriority w:val="99"/>
    <w:unhideWhenUsed/>
    <w:rsid w:val="000B5533"/>
    <w:rPr>
      <w:color w:val="0563C1" w:themeColor="hyperlink"/>
      <w:u w:val="single"/>
    </w:rPr>
  </w:style>
  <w:style w:type="paragraph" w:styleId="BalloonText">
    <w:name w:val="Balloon Text"/>
    <w:basedOn w:val="Normal"/>
    <w:link w:val="BalloonTextChar"/>
    <w:uiPriority w:val="99"/>
    <w:semiHidden/>
    <w:unhideWhenUsed/>
    <w:rsid w:val="000319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90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ec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79B17-1222-4C13-BE4E-C4B81894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CHRISTUS Health</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Kim</dc:creator>
  <cp:keywords/>
  <dc:description/>
  <cp:lastModifiedBy>Clark, Kim</cp:lastModifiedBy>
  <cp:revision>1</cp:revision>
  <cp:lastPrinted>2019-01-29T19:05:00Z</cp:lastPrinted>
  <dcterms:created xsi:type="dcterms:W3CDTF">2019-01-29T17:46:00Z</dcterms:created>
  <dcterms:modified xsi:type="dcterms:W3CDTF">2019-01-29T19:06:00Z</dcterms:modified>
</cp:coreProperties>
</file>