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CBS Stock Orders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Erin discovered last week that the Edmonton Depot for CBS does not recognize the ASAP priority designation.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 form is a national form, and other depots do recognize this.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When ordering blood please select only ‘Routine’ or ‘STAT’ </w:t>
      </w:r>
    </w:p>
    <w:p w:rsidR="005A5C6A" w:rsidRDefault="005A5C6A" w:rsidP="005A5C6A">
      <w:pPr>
        <w:pStyle w:val="NoSpacing"/>
        <w:ind w:left="144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Performance Appraisals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An email was sent to all laboratory staff this week with the document to complete performance appraisals. 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This will be the last year that staff will complete the paper form; next year the performance appraisals will be conducted using </w:t>
      </w:r>
      <w:proofErr w:type="spellStart"/>
      <w:r>
        <w:rPr>
          <w:sz w:val="16"/>
          <w:szCs w:val="16"/>
        </w:rPr>
        <w:t>ePerformance</w:t>
      </w:r>
      <w:proofErr w:type="spellEnd"/>
      <w:r>
        <w:rPr>
          <w:sz w:val="16"/>
          <w:szCs w:val="16"/>
        </w:rPr>
        <w:t>.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After </w:t>
      </w:r>
      <w:proofErr w:type="gramStart"/>
      <w:r>
        <w:rPr>
          <w:sz w:val="16"/>
          <w:szCs w:val="16"/>
        </w:rPr>
        <w:t>this years</w:t>
      </w:r>
      <w:proofErr w:type="gramEnd"/>
      <w:r w:rsidR="00CE2522">
        <w:rPr>
          <w:sz w:val="16"/>
          <w:szCs w:val="16"/>
        </w:rPr>
        <w:t>’</w:t>
      </w:r>
      <w:r>
        <w:rPr>
          <w:sz w:val="16"/>
          <w:szCs w:val="16"/>
        </w:rPr>
        <w:t xml:space="preserve"> performance appraisals are complete staff will have to complete the </w:t>
      </w:r>
      <w:proofErr w:type="spellStart"/>
      <w:r>
        <w:rPr>
          <w:sz w:val="16"/>
          <w:szCs w:val="16"/>
        </w:rPr>
        <w:t>ePerformance</w:t>
      </w:r>
      <w:proofErr w:type="spellEnd"/>
      <w:r>
        <w:rPr>
          <w:sz w:val="16"/>
          <w:szCs w:val="16"/>
        </w:rPr>
        <w:t xml:space="preserve"> training and input the results of this years’ goals.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Jen hopes to have all the performance appraisals completed by the end of May to ensure that everyone has sufficient time to complete the training for the use of </w:t>
      </w:r>
      <w:proofErr w:type="spellStart"/>
      <w:r>
        <w:rPr>
          <w:sz w:val="16"/>
          <w:szCs w:val="16"/>
        </w:rPr>
        <w:t>ePerformance</w:t>
      </w:r>
      <w:proofErr w:type="spellEnd"/>
      <w:r>
        <w:rPr>
          <w:sz w:val="16"/>
          <w:szCs w:val="16"/>
        </w:rPr>
        <w:t xml:space="preserve"> next year.</w:t>
      </w:r>
    </w:p>
    <w:p w:rsidR="005A5C6A" w:rsidRDefault="005A5C6A" w:rsidP="005A5C6A">
      <w:pPr>
        <w:pStyle w:val="NoSpacing"/>
        <w:ind w:left="144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Samples in “Troubleshooting” Box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A sample was discovered in the troubleshooting box 5 days after it was placed there.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It is the responsibility of the individual that discovers a problem to make every endeavor to resolve the problem as quickly as possible: including using the emergency after </w:t>
      </w:r>
      <w:proofErr w:type="gramStart"/>
      <w:r>
        <w:rPr>
          <w:sz w:val="16"/>
          <w:szCs w:val="16"/>
        </w:rPr>
        <w:t>hours</w:t>
      </w:r>
      <w:proofErr w:type="gramEnd"/>
      <w:r>
        <w:rPr>
          <w:sz w:val="16"/>
          <w:szCs w:val="16"/>
        </w:rPr>
        <w:t xml:space="preserve"> lines for health centres.</w:t>
      </w:r>
    </w:p>
    <w:p w:rsidR="00BE2484" w:rsidRDefault="00BE2484" w:rsidP="00BE2484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If a problem sample cannot be resolved the sample should be placed in the troubleshooting box; It will be the responsibility of the 9-5 person to ensure that the troubleshooting box is checked on a daily basis and to resolve the issue before the end of the day</w:t>
      </w:r>
    </w:p>
    <w:p w:rsidR="00BE2484" w:rsidRDefault="00BE2484" w:rsidP="00BE2484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If there is no 9-5 person the responsibility will be </w:t>
      </w:r>
      <w:r w:rsidR="005A5C6A">
        <w:rPr>
          <w:sz w:val="16"/>
          <w:szCs w:val="16"/>
        </w:rPr>
        <w:t xml:space="preserve">transferred to the 8E </w:t>
      </w:r>
    </w:p>
    <w:p w:rsidR="005A5C6A" w:rsidRDefault="005A5C6A" w:rsidP="00BE2484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If there is no 8E person the responsibility will be transferred to the 12-8</w:t>
      </w:r>
    </w:p>
    <w:p w:rsidR="005A5C6A" w:rsidRDefault="005A5C6A" w:rsidP="005A5C6A">
      <w:pPr>
        <w:pStyle w:val="NoSpacing"/>
        <w:ind w:left="216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Sherri’s Retirement Dinner/Party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The original plan had been to book the </w:t>
      </w:r>
      <w:proofErr w:type="spellStart"/>
      <w:r>
        <w:rPr>
          <w:sz w:val="16"/>
          <w:szCs w:val="16"/>
        </w:rPr>
        <w:t>Woodyard</w:t>
      </w:r>
      <w:proofErr w:type="spellEnd"/>
      <w:r>
        <w:rPr>
          <w:sz w:val="16"/>
          <w:szCs w:val="16"/>
        </w:rPr>
        <w:t xml:space="preserve"> for the party; however, Jen was contacted yesterday by them and was told that they could not accommodate the group request.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Theresa has looked into some alternatives and wanted to know if people would be okay with paying $45 per person to attend an event booked at the Top Knight.</w:t>
      </w:r>
    </w:p>
    <w:p w:rsidR="005A5C6A" w:rsidRDefault="005A5C6A" w:rsidP="005A5C6A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Theresa took a tally and the consensus was that this was fin</w:t>
      </w:r>
    </w:p>
    <w:p w:rsidR="005A5C6A" w:rsidRDefault="005A5C6A" w:rsidP="005A5C6A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Theresa will finalize the dates with the venue and confirm with Sherri that this change of plan is okay</w:t>
      </w:r>
    </w:p>
    <w:p w:rsidR="005A5C6A" w:rsidRDefault="005A5C6A" w:rsidP="005A5C6A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$45 per person is due to Theresa by 22 April, 2016 at the latest.</w:t>
      </w:r>
    </w:p>
    <w:p w:rsidR="005A5C6A" w:rsidRDefault="005A5C6A" w:rsidP="005A5C6A">
      <w:pPr>
        <w:pStyle w:val="NoSpacing"/>
        <w:ind w:left="216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Job Postings are Up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 postings for the two Core jobs are now viewable on the GNWT jobs website.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Please share the links with your lab technologist friends that may be looking for work.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The postings will be posted to the CSMLS and </w:t>
      </w:r>
      <w:proofErr w:type="spellStart"/>
      <w:r>
        <w:rPr>
          <w:sz w:val="16"/>
          <w:szCs w:val="16"/>
        </w:rPr>
        <w:t>Careerbeacon</w:t>
      </w:r>
      <w:proofErr w:type="spellEnd"/>
      <w:r>
        <w:rPr>
          <w:sz w:val="16"/>
          <w:szCs w:val="16"/>
        </w:rPr>
        <w:t xml:space="preserve"> websites.</w:t>
      </w:r>
    </w:p>
    <w:p w:rsidR="005A5C6A" w:rsidRDefault="005A5C6A" w:rsidP="005A5C6A">
      <w:pPr>
        <w:pStyle w:val="NoSpacing"/>
        <w:ind w:left="144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Territorial Requisition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The Final Draft of the Territorial Requisition is currently being circulated for review.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This will be the last opportunity to provide feedback before the document is uploaded to Wolfe and disseminated to all care areas and health centres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Please ensure that you provide your feedback to Jen no later than 18 April, 2016.</w:t>
      </w:r>
    </w:p>
    <w:p w:rsidR="005A5C6A" w:rsidRDefault="005A5C6A" w:rsidP="005A5C6A">
      <w:pPr>
        <w:pStyle w:val="NoSpacing"/>
        <w:ind w:left="144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proofErr w:type="spellStart"/>
      <w:r>
        <w:rPr>
          <w:sz w:val="16"/>
          <w:szCs w:val="16"/>
        </w:rPr>
        <w:t>DynaLIFE</w:t>
      </w:r>
      <w:proofErr w:type="spellEnd"/>
      <w:r>
        <w:rPr>
          <w:sz w:val="16"/>
          <w:szCs w:val="16"/>
        </w:rPr>
        <w:t xml:space="preserve"> Shipment Notification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The Shipment Notifications are being routinely sent; but, we frequently do not receive the confirmation fax back from </w:t>
      </w:r>
      <w:proofErr w:type="spellStart"/>
      <w:r>
        <w:rPr>
          <w:sz w:val="16"/>
          <w:szCs w:val="16"/>
        </w:rPr>
        <w:t>DynaLIFE</w:t>
      </w:r>
      <w:proofErr w:type="spellEnd"/>
      <w:r>
        <w:rPr>
          <w:sz w:val="16"/>
          <w:szCs w:val="16"/>
        </w:rPr>
        <w:t>.</w:t>
      </w:r>
    </w:p>
    <w:p w:rsidR="005A5C6A" w:rsidRDefault="005A5C6A" w:rsidP="005A5C6A">
      <w:pPr>
        <w:pStyle w:val="NoSpacing"/>
        <w:numPr>
          <w:ilvl w:val="1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It will be the responsibility of the 9-5 person at 11:00 to look for the confirmation fax from </w:t>
      </w:r>
      <w:proofErr w:type="spellStart"/>
      <w:r>
        <w:rPr>
          <w:sz w:val="16"/>
          <w:szCs w:val="16"/>
        </w:rPr>
        <w:t>DynaLIFE</w:t>
      </w:r>
      <w:proofErr w:type="spellEnd"/>
      <w:r>
        <w:rPr>
          <w:sz w:val="16"/>
          <w:szCs w:val="16"/>
        </w:rPr>
        <w:t xml:space="preserve">. If the fax is not received then </w:t>
      </w:r>
      <w:proofErr w:type="spellStart"/>
      <w:r>
        <w:rPr>
          <w:sz w:val="16"/>
          <w:szCs w:val="16"/>
        </w:rPr>
        <w:t>DynaLIFE</w:t>
      </w:r>
      <w:proofErr w:type="spellEnd"/>
      <w:r>
        <w:rPr>
          <w:sz w:val="16"/>
          <w:szCs w:val="16"/>
        </w:rPr>
        <w:t xml:space="preserve"> will need to be phoned to confirm receipt of the shipment.</w:t>
      </w:r>
    </w:p>
    <w:p w:rsidR="005A5C6A" w:rsidRDefault="005A5C6A" w:rsidP="005A5C6A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>If there is no 9-5 person the responsibility will be transferred to the 8E.</w:t>
      </w:r>
    </w:p>
    <w:p w:rsidR="005A5C6A" w:rsidRDefault="005A5C6A" w:rsidP="005A5C6A">
      <w:pPr>
        <w:pStyle w:val="NoSpacing"/>
        <w:numPr>
          <w:ilvl w:val="2"/>
          <w:numId w:val="8"/>
        </w:numPr>
        <w:rPr>
          <w:sz w:val="16"/>
          <w:szCs w:val="16"/>
        </w:rPr>
      </w:pPr>
      <w:r>
        <w:rPr>
          <w:sz w:val="16"/>
          <w:szCs w:val="16"/>
        </w:rPr>
        <w:t xml:space="preserve">If there is no 8E person the responsibility will be transferred to the </w:t>
      </w:r>
      <w:r>
        <w:rPr>
          <w:sz w:val="16"/>
          <w:szCs w:val="16"/>
        </w:rPr>
        <w:t>7-3</w:t>
      </w:r>
    </w:p>
    <w:p w:rsidR="005A5C6A" w:rsidRDefault="005A5C6A" w:rsidP="005A5C6A">
      <w:pPr>
        <w:pStyle w:val="NoSpacing"/>
        <w:ind w:left="2160"/>
        <w:rPr>
          <w:sz w:val="16"/>
          <w:szCs w:val="16"/>
        </w:rPr>
      </w:pPr>
    </w:p>
    <w:p w:rsidR="00BE2484" w:rsidRDefault="00BE2484" w:rsidP="008845F9">
      <w:pPr>
        <w:pStyle w:val="NoSpacing"/>
        <w:numPr>
          <w:ilvl w:val="0"/>
          <w:numId w:val="8"/>
        </w:numPr>
        <w:ind w:left="180" w:hanging="180"/>
        <w:rPr>
          <w:sz w:val="16"/>
          <w:szCs w:val="16"/>
        </w:rPr>
      </w:pPr>
      <w:r>
        <w:rPr>
          <w:sz w:val="16"/>
          <w:szCs w:val="16"/>
        </w:rPr>
        <w:t>Roundtable</w:t>
      </w:r>
    </w:p>
    <w:p w:rsidR="007604A5" w:rsidRDefault="007604A5" w:rsidP="007604A5">
      <w:pPr>
        <w:pStyle w:val="NoSpacing"/>
        <w:numPr>
          <w:ilvl w:val="1"/>
          <w:numId w:val="8"/>
        </w:numPr>
        <w:rPr>
          <w:sz w:val="16"/>
          <w:szCs w:val="16"/>
        </w:rPr>
      </w:pPr>
      <w:r w:rsidRPr="007604A5">
        <w:rPr>
          <w:sz w:val="16"/>
          <w:szCs w:val="16"/>
          <w:u w:val="single"/>
        </w:rPr>
        <w:t>Amy</w:t>
      </w:r>
      <w:r>
        <w:rPr>
          <w:sz w:val="16"/>
          <w:szCs w:val="16"/>
        </w:rPr>
        <w:t>: Pizza Party on Friday for Mo’s last day. There is an envelope in Jen’s drawer; it is $8 if you would like to have a pizza lunch that day.</w:t>
      </w:r>
    </w:p>
    <w:p w:rsidR="007604A5" w:rsidRDefault="007604A5" w:rsidP="007604A5">
      <w:pPr>
        <w:pStyle w:val="NoSpacing"/>
        <w:numPr>
          <w:ilvl w:val="1"/>
          <w:numId w:val="8"/>
        </w:numPr>
        <w:rPr>
          <w:sz w:val="16"/>
          <w:szCs w:val="16"/>
        </w:rPr>
      </w:pPr>
      <w:r w:rsidRPr="007604A5">
        <w:rPr>
          <w:sz w:val="16"/>
          <w:szCs w:val="16"/>
          <w:u w:val="single"/>
        </w:rPr>
        <w:t>Sarah</w:t>
      </w:r>
      <w:r>
        <w:rPr>
          <w:sz w:val="16"/>
          <w:szCs w:val="16"/>
        </w:rPr>
        <w:t>: The Redevelopment Team will be coming around during the week of April 18</w:t>
      </w:r>
      <w:r w:rsidRPr="007604A5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to start to review workflow processes and mapping the patient journey in preparation for the “First Patient Day”.</w:t>
      </w:r>
    </w:p>
    <w:p w:rsidR="007604A5" w:rsidRPr="007604A5" w:rsidRDefault="007604A5" w:rsidP="007604A5">
      <w:pPr>
        <w:pStyle w:val="NoSpacing"/>
        <w:numPr>
          <w:ilvl w:val="2"/>
          <w:numId w:val="8"/>
        </w:numPr>
        <w:rPr>
          <w:sz w:val="16"/>
          <w:szCs w:val="16"/>
        </w:rPr>
      </w:pPr>
      <w:hyperlink r:id="rId8" w:history="1">
        <w:r w:rsidRPr="007604A5">
          <w:rPr>
            <w:rStyle w:val="Hyperlink"/>
            <w:sz w:val="16"/>
            <w:szCs w:val="16"/>
          </w:rPr>
          <w:t>Email from Sarah to Su</w:t>
        </w:r>
        <w:r w:rsidRPr="007604A5">
          <w:rPr>
            <w:rStyle w:val="Hyperlink"/>
            <w:sz w:val="16"/>
            <w:szCs w:val="16"/>
          </w:rPr>
          <w:t>p</w:t>
        </w:r>
        <w:r w:rsidRPr="007604A5">
          <w:rPr>
            <w:rStyle w:val="Hyperlink"/>
            <w:sz w:val="16"/>
            <w:szCs w:val="16"/>
          </w:rPr>
          <w:t>ervisors</w:t>
        </w:r>
      </w:hyperlink>
    </w:p>
    <w:p w:rsidR="007604A5" w:rsidRDefault="007604A5" w:rsidP="007604A5">
      <w:pPr>
        <w:pStyle w:val="NoSpacing"/>
        <w:numPr>
          <w:ilvl w:val="2"/>
          <w:numId w:val="8"/>
        </w:numPr>
        <w:rPr>
          <w:sz w:val="16"/>
          <w:szCs w:val="16"/>
        </w:rPr>
      </w:pPr>
      <w:hyperlink r:id="rId9" w:history="1">
        <w:r w:rsidRPr="007604A5">
          <w:rPr>
            <w:rStyle w:val="Hyperlink"/>
            <w:sz w:val="16"/>
            <w:szCs w:val="16"/>
          </w:rPr>
          <w:t>Doc</w:t>
        </w:r>
        <w:r w:rsidRPr="007604A5">
          <w:rPr>
            <w:rStyle w:val="Hyperlink"/>
            <w:sz w:val="16"/>
            <w:szCs w:val="16"/>
          </w:rPr>
          <w:t>u</w:t>
        </w:r>
        <w:r w:rsidRPr="007604A5">
          <w:rPr>
            <w:rStyle w:val="Hyperlink"/>
            <w:sz w:val="16"/>
            <w:szCs w:val="16"/>
          </w:rPr>
          <w:t>ments attached</w:t>
        </w:r>
      </w:hyperlink>
    </w:p>
    <w:p w:rsidR="007604A5" w:rsidRPr="008E1BE8" w:rsidRDefault="007604A5" w:rsidP="007604A5">
      <w:pPr>
        <w:pStyle w:val="NoSpacing"/>
        <w:ind w:left="1980"/>
        <w:rPr>
          <w:sz w:val="16"/>
          <w:szCs w:val="16"/>
        </w:rPr>
      </w:pPr>
    </w:p>
    <w:sectPr w:rsidR="007604A5" w:rsidRPr="008E1BE8" w:rsidSect="00BD69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84" w:rsidRDefault="00BE2484" w:rsidP="008C5A22">
      <w:pPr>
        <w:spacing w:after="0" w:line="240" w:lineRule="auto"/>
      </w:pPr>
      <w:r>
        <w:separator/>
      </w:r>
    </w:p>
  </w:endnote>
  <w:endnote w:type="continuationSeparator" w:id="0">
    <w:p w:rsidR="00BE2484" w:rsidRDefault="00BE2484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505544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84" w:rsidRDefault="00BE2484" w:rsidP="008C5A22">
      <w:pPr>
        <w:spacing w:after="0" w:line="240" w:lineRule="auto"/>
      </w:pPr>
      <w:r>
        <w:separator/>
      </w:r>
    </w:p>
  </w:footnote>
  <w:footnote w:type="continuationSeparator" w:id="0">
    <w:p w:rsidR="00BE2484" w:rsidRDefault="00BE2484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025E32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58661DA" wp14:editId="3F64CBED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E2522">
            <w:t>06 April, 2016</w:t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8E1BE8">
            <w:t>45</w:t>
          </w:r>
        </w:p>
      </w:tc>
    </w:tr>
  </w:tbl>
  <w:p w:rsidR="00954951" w:rsidRPr="00A934A0" w:rsidRDefault="00954951" w:rsidP="008C5A22">
    <w:pPr>
      <w:spacing w:after="0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20" w:rsidRDefault="00261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84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77B4"/>
    <w:rsid w:val="00411768"/>
    <w:rsid w:val="004A7BF5"/>
    <w:rsid w:val="004C23FF"/>
    <w:rsid w:val="00505544"/>
    <w:rsid w:val="00573D44"/>
    <w:rsid w:val="005A5C6A"/>
    <w:rsid w:val="005A5F02"/>
    <w:rsid w:val="005F4912"/>
    <w:rsid w:val="00605E48"/>
    <w:rsid w:val="006734F7"/>
    <w:rsid w:val="006E724D"/>
    <w:rsid w:val="00742CA5"/>
    <w:rsid w:val="00751BA6"/>
    <w:rsid w:val="007604A5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60B30"/>
    <w:rsid w:val="00BD2354"/>
    <w:rsid w:val="00BD690E"/>
    <w:rsid w:val="00BE2484"/>
    <w:rsid w:val="00BF2592"/>
    <w:rsid w:val="00C54CA0"/>
    <w:rsid w:val="00CB2CEC"/>
    <w:rsid w:val="00CE2522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04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04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LAB\Meetings\2016\Attachments\redevelopment%20next%20steps.ms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S:\LAB\Meetings\2016\Attachments\STH%20Renewal%20Occupancy%20Plan%20KickOff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39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G. Daley Bernier</dc:creator>
  <cp:lastModifiedBy>Jennifer G. Daley Bernier</cp:lastModifiedBy>
  <cp:revision>2</cp:revision>
  <cp:lastPrinted>2015-05-13T21:18:00Z</cp:lastPrinted>
  <dcterms:created xsi:type="dcterms:W3CDTF">2016-04-06T18:15:00Z</dcterms:created>
  <dcterms:modified xsi:type="dcterms:W3CDTF">2016-04-06T18:54:00Z</dcterms:modified>
</cp:coreProperties>
</file>