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A55CB" w14:textId="06F896D2" w:rsidR="008D58A9" w:rsidRDefault="008D58A9" w:rsidP="00A70AD2">
      <w:pPr>
        <w:spacing w:after="0" w:line="240" w:lineRule="atLeast"/>
        <w:rPr>
          <w:rFonts w:ascii="Verdana" w:hAnsi="Verdana"/>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F20230" w14:paraId="749E44E6" w14:textId="77777777" w:rsidTr="00F20230">
        <w:tc>
          <w:tcPr>
            <w:tcW w:w="1596" w:type="dxa"/>
            <w:shd w:val="clear" w:color="auto" w:fill="D9D9D9" w:themeFill="background1" w:themeFillShade="D9"/>
          </w:tcPr>
          <w:p w14:paraId="2DC3CB87" w14:textId="1CE05998" w:rsidR="00F20230" w:rsidRPr="00F20230" w:rsidRDefault="00F20230" w:rsidP="00F20230">
            <w:pPr>
              <w:spacing w:line="240" w:lineRule="atLeast"/>
              <w:jc w:val="center"/>
              <w:rPr>
                <w:rFonts w:ascii="Verdana" w:hAnsi="Verdana"/>
                <w:b/>
                <w:bCs/>
              </w:rPr>
            </w:pPr>
            <w:r>
              <w:rPr>
                <w:rFonts w:ascii="Verdana" w:hAnsi="Verdana"/>
                <w:b/>
                <w:bCs/>
              </w:rPr>
              <w:t>Attendee</w:t>
            </w:r>
          </w:p>
        </w:tc>
        <w:tc>
          <w:tcPr>
            <w:tcW w:w="1596" w:type="dxa"/>
            <w:shd w:val="clear" w:color="auto" w:fill="D9D9D9" w:themeFill="background1" w:themeFillShade="D9"/>
          </w:tcPr>
          <w:p w14:paraId="4B63B41D" w14:textId="55D54AD6" w:rsidR="00F20230" w:rsidRPr="00F20230" w:rsidRDefault="00F20230" w:rsidP="00F20230">
            <w:pPr>
              <w:spacing w:line="240" w:lineRule="atLeast"/>
              <w:jc w:val="center"/>
              <w:rPr>
                <w:rFonts w:ascii="Verdana" w:hAnsi="Verdana"/>
                <w:b/>
                <w:bCs/>
              </w:rPr>
            </w:pPr>
            <w:r w:rsidRPr="00F20230">
              <w:rPr>
                <w:rFonts w:ascii="Verdana" w:hAnsi="Verdana"/>
                <w:b/>
                <w:bCs/>
              </w:rPr>
              <w:t>Present?</w:t>
            </w:r>
          </w:p>
        </w:tc>
        <w:tc>
          <w:tcPr>
            <w:tcW w:w="1596" w:type="dxa"/>
            <w:shd w:val="clear" w:color="auto" w:fill="D9D9D9" w:themeFill="background1" w:themeFillShade="D9"/>
          </w:tcPr>
          <w:p w14:paraId="4B018D9B" w14:textId="3F1D2128" w:rsidR="00F20230" w:rsidRDefault="00F20230" w:rsidP="00F20230">
            <w:pPr>
              <w:spacing w:line="240" w:lineRule="atLeast"/>
              <w:jc w:val="center"/>
              <w:rPr>
                <w:rFonts w:ascii="Verdana" w:hAnsi="Verdana"/>
              </w:rPr>
            </w:pPr>
            <w:r>
              <w:rPr>
                <w:rFonts w:ascii="Verdana" w:hAnsi="Verdana"/>
                <w:b/>
                <w:bCs/>
              </w:rPr>
              <w:t>Attendee</w:t>
            </w:r>
          </w:p>
        </w:tc>
        <w:tc>
          <w:tcPr>
            <w:tcW w:w="1596" w:type="dxa"/>
            <w:shd w:val="clear" w:color="auto" w:fill="D9D9D9" w:themeFill="background1" w:themeFillShade="D9"/>
          </w:tcPr>
          <w:p w14:paraId="15A261AE" w14:textId="40DB9537" w:rsidR="00F20230" w:rsidRDefault="00F20230" w:rsidP="00F20230">
            <w:pPr>
              <w:spacing w:line="240" w:lineRule="atLeast"/>
              <w:jc w:val="center"/>
              <w:rPr>
                <w:rFonts w:ascii="Verdana" w:hAnsi="Verdana"/>
              </w:rPr>
            </w:pPr>
            <w:r w:rsidRPr="00F20230">
              <w:rPr>
                <w:rFonts w:ascii="Verdana" w:hAnsi="Verdana"/>
                <w:b/>
                <w:bCs/>
              </w:rPr>
              <w:t>Present?</w:t>
            </w:r>
          </w:p>
        </w:tc>
        <w:tc>
          <w:tcPr>
            <w:tcW w:w="1596" w:type="dxa"/>
            <w:shd w:val="clear" w:color="auto" w:fill="D9D9D9" w:themeFill="background1" w:themeFillShade="D9"/>
          </w:tcPr>
          <w:p w14:paraId="118A190B" w14:textId="4EC77D5C" w:rsidR="00F20230" w:rsidRDefault="00F20230" w:rsidP="00F20230">
            <w:pPr>
              <w:spacing w:line="240" w:lineRule="atLeast"/>
              <w:jc w:val="center"/>
              <w:rPr>
                <w:rFonts w:ascii="Verdana" w:hAnsi="Verdana"/>
              </w:rPr>
            </w:pPr>
            <w:r>
              <w:rPr>
                <w:rFonts w:ascii="Verdana" w:hAnsi="Verdana"/>
                <w:b/>
                <w:bCs/>
              </w:rPr>
              <w:t>Attendee</w:t>
            </w:r>
          </w:p>
        </w:tc>
        <w:tc>
          <w:tcPr>
            <w:tcW w:w="1596" w:type="dxa"/>
            <w:shd w:val="clear" w:color="auto" w:fill="D9D9D9" w:themeFill="background1" w:themeFillShade="D9"/>
          </w:tcPr>
          <w:p w14:paraId="79EF83C0" w14:textId="6CD0B925" w:rsidR="00F20230" w:rsidRDefault="00F20230" w:rsidP="00F20230">
            <w:pPr>
              <w:spacing w:line="240" w:lineRule="atLeast"/>
              <w:jc w:val="center"/>
              <w:rPr>
                <w:rFonts w:ascii="Verdana" w:hAnsi="Verdana"/>
              </w:rPr>
            </w:pPr>
            <w:r w:rsidRPr="00F20230">
              <w:rPr>
                <w:rFonts w:ascii="Verdana" w:hAnsi="Verdana"/>
                <w:b/>
                <w:bCs/>
              </w:rPr>
              <w:t>Present?</w:t>
            </w:r>
          </w:p>
        </w:tc>
      </w:tr>
      <w:tr w:rsidR="00F20230" w14:paraId="7E25DFB0" w14:textId="77777777" w:rsidTr="00F20230">
        <w:tc>
          <w:tcPr>
            <w:tcW w:w="1596" w:type="dxa"/>
          </w:tcPr>
          <w:p w14:paraId="76C617F9" w14:textId="701C936F" w:rsidR="00F20230" w:rsidRDefault="00CF3CF5" w:rsidP="00F20230">
            <w:pPr>
              <w:spacing w:line="240" w:lineRule="atLeast"/>
              <w:rPr>
                <w:rFonts w:ascii="Verdana" w:hAnsi="Verdana"/>
              </w:rPr>
            </w:pPr>
            <w:r>
              <w:rPr>
                <w:rFonts w:ascii="Verdana" w:hAnsi="Verdana"/>
              </w:rPr>
              <w:t xml:space="preserve">Carolyn </w:t>
            </w:r>
            <w:r w:rsidR="00F20230">
              <w:rPr>
                <w:rFonts w:ascii="Verdana" w:hAnsi="Verdana"/>
              </w:rPr>
              <w:t>(Recorder)</w:t>
            </w:r>
          </w:p>
        </w:tc>
        <w:tc>
          <w:tcPr>
            <w:tcW w:w="1596" w:type="dxa"/>
          </w:tcPr>
          <w:p w14:paraId="2892A55E" w14:textId="4EAB8D71" w:rsidR="00F20230" w:rsidRPr="00F20230" w:rsidRDefault="00DA1698" w:rsidP="00DA1698">
            <w:pPr>
              <w:spacing w:line="240" w:lineRule="atLeast"/>
              <w:jc w:val="center"/>
              <w:rPr>
                <w:rFonts w:ascii="Verdana" w:hAnsi="Verdana"/>
                <w:b/>
                <w:bCs/>
              </w:rPr>
            </w:pPr>
            <w:r>
              <w:rPr>
                <w:rFonts w:ascii="Verdana" w:hAnsi="Verdana"/>
                <w:b/>
                <w:bCs/>
                <w:noProof/>
              </w:rPr>
              <w:drawing>
                <wp:inline distT="0" distB="0" distL="0" distR="0" wp14:anchorId="265DFA06" wp14:editId="170043F9">
                  <wp:extent cx="304800" cy="304800"/>
                  <wp:effectExtent l="0" t="0" r="0" b="0"/>
                  <wp:docPr id="2035890414"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890414" name="Graphic 2035890414" descr="Checkmark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304800" cy="304800"/>
                          </a:xfrm>
                          <a:prstGeom prst="rect">
                            <a:avLst/>
                          </a:prstGeom>
                        </pic:spPr>
                      </pic:pic>
                    </a:graphicData>
                  </a:graphic>
                </wp:inline>
              </w:drawing>
            </w:r>
          </w:p>
        </w:tc>
        <w:tc>
          <w:tcPr>
            <w:tcW w:w="1596" w:type="dxa"/>
          </w:tcPr>
          <w:p w14:paraId="1CDECF02" w14:textId="5F4E5FF9" w:rsidR="00F20230" w:rsidRDefault="00CF3CF5" w:rsidP="00F20230">
            <w:pPr>
              <w:spacing w:line="240" w:lineRule="atLeast"/>
              <w:rPr>
                <w:rFonts w:ascii="Verdana" w:hAnsi="Verdana"/>
              </w:rPr>
            </w:pPr>
            <w:r>
              <w:rPr>
                <w:rFonts w:ascii="Verdana" w:hAnsi="Verdana"/>
              </w:rPr>
              <w:t>Pearl</w:t>
            </w:r>
          </w:p>
        </w:tc>
        <w:tc>
          <w:tcPr>
            <w:tcW w:w="1596" w:type="dxa"/>
          </w:tcPr>
          <w:p w14:paraId="2AB83A9F" w14:textId="77777777" w:rsidR="00F20230" w:rsidRDefault="00F20230" w:rsidP="00DA1698">
            <w:pPr>
              <w:spacing w:line="240" w:lineRule="atLeast"/>
              <w:jc w:val="center"/>
              <w:rPr>
                <w:rFonts w:ascii="Verdana" w:hAnsi="Verdana"/>
              </w:rPr>
            </w:pPr>
          </w:p>
        </w:tc>
        <w:tc>
          <w:tcPr>
            <w:tcW w:w="1596" w:type="dxa"/>
          </w:tcPr>
          <w:p w14:paraId="78ADB6C2" w14:textId="3838A29B" w:rsidR="00F20230" w:rsidRDefault="00CF3CF5" w:rsidP="00F20230">
            <w:pPr>
              <w:spacing w:line="240" w:lineRule="atLeast"/>
              <w:rPr>
                <w:rFonts w:ascii="Verdana" w:hAnsi="Verdana"/>
              </w:rPr>
            </w:pPr>
            <w:r>
              <w:rPr>
                <w:rFonts w:ascii="Verdana" w:hAnsi="Verdana"/>
              </w:rPr>
              <w:t>Myles</w:t>
            </w:r>
          </w:p>
        </w:tc>
        <w:tc>
          <w:tcPr>
            <w:tcW w:w="1596" w:type="dxa"/>
          </w:tcPr>
          <w:p w14:paraId="3B4917E1" w14:textId="77777777" w:rsidR="00F20230" w:rsidRDefault="00F20230" w:rsidP="00DA1698">
            <w:pPr>
              <w:spacing w:line="240" w:lineRule="atLeast"/>
              <w:jc w:val="center"/>
              <w:rPr>
                <w:rFonts w:ascii="Verdana" w:hAnsi="Verdana"/>
              </w:rPr>
            </w:pPr>
          </w:p>
        </w:tc>
      </w:tr>
      <w:tr w:rsidR="00F20230" w14:paraId="7744A047" w14:textId="77777777" w:rsidTr="00F20230">
        <w:tc>
          <w:tcPr>
            <w:tcW w:w="1596" w:type="dxa"/>
          </w:tcPr>
          <w:p w14:paraId="39D8F151" w14:textId="77777777" w:rsidR="00F20230" w:rsidRDefault="00CF3CF5" w:rsidP="00F20230">
            <w:pPr>
              <w:spacing w:line="240" w:lineRule="atLeast"/>
              <w:rPr>
                <w:rFonts w:ascii="Verdana" w:hAnsi="Verdana"/>
              </w:rPr>
            </w:pPr>
            <w:r>
              <w:rPr>
                <w:rFonts w:ascii="Verdana" w:hAnsi="Verdana"/>
              </w:rPr>
              <w:t>Jaime</w:t>
            </w:r>
          </w:p>
          <w:p w14:paraId="6D028FE0" w14:textId="4BDC532B" w:rsidR="00CF3CF5" w:rsidRDefault="00CF3CF5" w:rsidP="00F20230">
            <w:pPr>
              <w:spacing w:line="240" w:lineRule="atLeast"/>
              <w:rPr>
                <w:rFonts w:ascii="Verdana" w:hAnsi="Verdana"/>
              </w:rPr>
            </w:pPr>
          </w:p>
        </w:tc>
        <w:tc>
          <w:tcPr>
            <w:tcW w:w="1596" w:type="dxa"/>
          </w:tcPr>
          <w:p w14:paraId="165668EF" w14:textId="77777777" w:rsidR="00F20230" w:rsidRDefault="00F20230" w:rsidP="00DA1698">
            <w:pPr>
              <w:spacing w:line="240" w:lineRule="atLeast"/>
              <w:jc w:val="center"/>
              <w:rPr>
                <w:rFonts w:ascii="Verdana" w:hAnsi="Verdana"/>
              </w:rPr>
            </w:pPr>
          </w:p>
        </w:tc>
        <w:tc>
          <w:tcPr>
            <w:tcW w:w="1596" w:type="dxa"/>
          </w:tcPr>
          <w:p w14:paraId="0C044350" w14:textId="414FEFE1" w:rsidR="00F20230" w:rsidRDefault="00CF3CF5" w:rsidP="00F20230">
            <w:pPr>
              <w:spacing w:line="240" w:lineRule="atLeast"/>
              <w:rPr>
                <w:rFonts w:ascii="Verdana" w:hAnsi="Verdana"/>
              </w:rPr>
            </w:pPr>
            <w:r>
              <w:rPr>
                <w:rFonts w:ascii="Verdana" w:hAnsi="Verdana"/>
              </w:rPr>
              <w:t>Aldie</w:t>
            </w:r>
          </w:p>
        </w:tc>
        <w:tc>
          <w:tcPr>
            <w:tcW w:w="1596" w:type="dxa"/>
          </w:tcPr>
          <w:p w14:paraId="1A97072B" w14:textId="4D013C99" w:rsidR="00F20230" w:rsidRDefault="00DA1698" w:rsidP="00DA1698">
            <w:pPr>
              <w:spacing w:line="240" w:lineRule="atLeast"/>
              <w:jc w:val="center"/>
              <w:rPr>
                <w:rFonts w:ascii="Verdana" w:hAnsi="Verdana"/>
              </w:rPr>
            </w:pPr>
            <w:r>
              <w:rPr>
                <w:rFonts w:ascii="Verdana" w:hAnsi="Verdana"/>
                <w:noProof/>
              </w:rPr>
              <w:drawing>
                <wp:inline distT="0" distB="0" distL="0" distR="0" wp14:anchorId="0976F4B5" wp14:editId="7E9FA170">
                  <wp:extent cx="304800" cy="304800"/>
                  <wp:effectExtent l="0" t="0" r="0" b="0"/>
                  <wp:docPr id="6081502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c>
          <w:tcPr>
            <w:tcW w:w="1596" w:type="dxa"/>
          </w:tcPr>
          <w:p w14:paraId="2EFAAB74" w14:textId="49D2A253" w:rsidR="00F20230" w:rsidRDefault="00CF3CF5" w:rsidP="00F20230">
            <w:pPr>
              <w:spacing w:line="240" w:lineRule="atLeast"/>
              <w:rPr>
                <w:rFonts w:ascii="Verdana" w:hAnsi="Verdana"/>
              </w:rPr>
            </w:pPr>
            <w:r>
              <w:rPr>
                <w:rFonts w:ascii="Verdana" w:hAnsi="Verdana"/>
              </w:rPr>
              <w:t>Miranda</w:t>
            </w:r>
          </w:p>
        </w:tc>
        <w:tc>
          <w:tcPr>
            <w:tcW w:w="1596" w:type="dxa"/>
          </w:tcPr>
          <w:p w14:paraId="619048C5" w14:textId="7B16AE66" w:rsidR="00F20230" w:rsidRDefault="00DA1698" w:rsidP="00DA1698">
            <w:pPr>
              <w:spacing w:line="240" w:lineRule="atLeast"/>
              <w:jc w:val="center"/>
              <w:rPr>
                <w:rFonts w:ascii="Verdana" w:hAnsi="Verdana"/>
              </w:rPr>
            </w:pPr>
            <w:r>
              <w:rPr>
                <w:rFonts w:ascii="Verdana" w:hAnsi="Verdana"/>
                <w:noProof/>
              </w:rPr>
              <w:drawing>
                <wp:inline distT="0" distB="0" distL="0" distR="0" wp14:anchorId="6325E9FA" wp14:editId="3A5F74F5">
                  <wp:extent cx="304800" cy="304800"/>
                  <wp:effectExtent l="0" t="0" r="0" b="0"/>
                  <wp:docPr id="1401027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r>
      <w:tr w:rsidR="00F20230" w14:paraId="07529897" w14:textId="77777777" w:rsidTr="00F20230">
        <w:tc>
          <w:tcPr>
            <w:tcW w:w="1596" w:type="dxa"/>
          </w:tcPr>
          <w:p w14:paraId="0B7715D6" w14:textId="77777777" w:rsidR="00F20230" w:rsidRDefault="00CF3CF5" w:rsidP="00F20230">
            <w:pPr>
              <w:spacing w:line="240" w:lineRule="atLeast"/>
              <w:rPr>
                <w:rFonts w:ascii="Verdana" w:hAnsi="Verdana"/>
              </w:rPr>
            </w:pPr>
            <w:r>
              <w:rPr>
                <w:rFonts w:ascii="Verdana" w:hAnsi="Verdana"/>
              </w:rPr>
              <w:t>Vanessa</w:t>
            </w:r>
          </w:p>
          <w:p w14:paraId="0E0351AF" w14:textId="3DEDE8E6" w:rsidR="00CF3CF5" w:rsidRDefault="00CF3CF5" w:rsidP="00F20230">
            <w:pPr>
              <w:spacing w:line="240" w:lineRule="atLeast"/>
              <w:rPr>
                <w:rFonts w:ascii="Verdana" w:hAnsi="Verdana"/>
              </w:rPr>
            </w:pPr>
          </w:p>
        </w:tc>
        <w:tc>
          <w:tcPr>
            <w:tcW w:w="1596" w:type="dxa"/>
          </w:tcPr>
          <w:p w14:paraId="30616C09" w14:textId="09C575DD" w:rsidR="00F20230" w:rsidRDefault="00DA1698" w:rsidP="00DA1698">
            <w:pPr>
              <w:spacing w:line="240" w:lineRule="atLeast"/>
              <w:jc w:val="center"/>
              <w:rPr>
                <w:rFonts w:ascii="Verdana" w:hAnsi="Verdana"/>
              </w:rPr>
            </w:pPr>
            <w:r>
              <w:rPr>
                <w:rFonts w:ascii="Verdana" w:hAnsi="Verdana"/>
                <w:noProof/>
              </w:rPr>
              <w:drawing>
                <wp:inline distT="0" distB="0" distL="0" distR="0" wp14:anchorId="5B1EE83E" wp14:editId="3D589128">
                  <wp:extent cx="304800" cy="304800"/>
                  <wp:effectExtent l="0" t="0" r="0" b="0"/>
                  <wp:docPr id="1976325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c>
          <w:tcPr>
            <w:tcW w:w="1596" w:type="dxa"/>
          </w:tcPr>
          <w:p w14:paraId="247A575C" w14:textId="4984383D" w:rsidR="00F20230" w:rsidRDefault="00CF3CF5" w:rsidP="00F20230">
            <w:pPr>
              <w:spacing w:line="240" w:lineRule="atLeast"/>
              <w:rPr>
                <w:rFonts w:ascii="Verdana" w:hAnsi="Verdana"/>
              </w:rPr>
            </w:pPr>
            <w:r>
              <w:rPr>
                <w:rFonts w:ascii="Verdana" w:hAnsi="Verdana"/>
              </w:rPr>
              <w:t>Kaitlyn</w:t>
            </w:r>
          </w:p>
        </w:tc>
        <w:tc>
          <w:tcPr>
            <w:tcW w:w="1596" w:type="dxa"/>
          </w:tcPr>
          <w:p w14:paraId="04761FD8" w14:textId="264F22E7" w:rsidR="00F20230" w:rsidRDefault="00DA1698" w:rsidP="00DA1698">
            <w:pPr>
              <w:spacing w:line="240" w:lineRule="atLeast"/>
              <w:jc w:val="center"/>
              <w:rPr>
                <w:rFonts w:ascii="Verdana" w:hAnsi="Verdana"/>
              </w:rPr>
            </w:pPr>
            <w:r>
              <w:rPr>
                <w:rFonts w:ascii="Verdana" w:hAnsi="Verdana"/>
                <w:noProof/>
              </w:rPr>
              <w:drawing>
                <wp:inline distT="0" distB="0" distL="0" distR="0" wp14:anchorId="6B715651" wp14:editId="7FF99ED4">
                  <wp:extent cx="304800" cy="304800"/>
                  <wp:effectExtent l="0" t="0" r="0" b="0"/>
                  <wp:docPr id="4242260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c>
          <w:tcPr>
            <w:tcW w:w="1596" w:type="dxa"/>
          </w:tcPr>
          <w:p w14:paraId="42B05685" w14:textId="19A0C410" w:rsidR="00F20230" w:rsidRDefault="00CF3CF5" w:rsidP="00F20230">
            <w:pPr>
              <w:spacing w:line="240" w:lineRule="atLeast"/>
              <w:rPr>
                <w:rFonts w:ascii="Verdana" w:hAnsi="Verdana"/>
              </w:rPr>
            </w:pPr>
            <w:r>
              <w:rPr>
                <w:rFonts w:ascii="Verdana" w:hAnsi="Verdana"/>
              </w:rPr>
              <w:t>Alix</w:t>
            </w:r>
          </w:p>
        </w:tc>
        <w:tc>
          <w:tcPr>
            <w:tcW w:w="1596" w:type="dxa"/>
          </w:tcPr>
          <w:p w14:paraId="01F3F6E0" w14:textId="77777777" w:rsidR="00F20230" w:rsidRDefault="00F20230" w:rsidP="00DA1698">
            <w:pPr>
              <w:spacing w:line="240" w:lineRule="atLeast"/>
              <w:jc w:val="center"/>
              <w:rPr>
                <w:rFonts w:ascii="Verdana" w:hAnsi="Verdana"/>
              </w:rPr>
            </w:pPr>
          </w:p>
        </w:tc>
      </w:tr>
      <w:tr w:rsidR="00DA1698" w14:paraId="199442C4" w14:textId="77777777" w:rsidTr="00960E98">
        <w:tc>
          <w:tcPr>
            <w:tcW w:w="1596" w:type="dxa"/>
          </w:tcPr>
          <w:p w14:paraId="3868C38E" w14:textId="77777777" w:rsidR="00DA1698" w:rsidRDefault="00DA1698" w:rsidP="00F20230">
            <w:pPr>
              <w:spacing w:line="240" w:lineRule="atLeast"/>
              <w:rPr>
                <w:rFonts w:ascii="Verdana" w:hAnsi="Verdana"/>
              </w:rPr>
            </w:pPr>
            <w:r>
              <w:rPr>
                <w:rFonts w:ascii="Verdana" w:hAnsi="Verdana"/>
              </w:rPr>
              <w:t>Ryan</w:t>
            </w:r>
          </w:p>
          <w:p w14:paraId="06B48897" w14:textId="0FB4B3E7" w:rsidR="00DA1698" w:rsidRDefault="00DA1698" w:rsidP="00F20230">
            <w:pPr>
              <w:spacing w:line="240" w:lineRule="atLeast"/>
              <w:rPr>
                <w:rFonts w:ascii="Verdana" w:hAnsi="Verdana"/>
              </w:rPr>
            </w:pPr>
          </w:p>
        </w:tc>
        <w:tc>
          <w:tcPr>
            <w:tcW w:w="1596" w:type="dxa"/>
          </w:tcPr>
          <w:p w14:paraId="56E8C802" w14:textId="77777777" w:rsidR="00DA1698" w:rsidRDefault="00DA1698" w:rsidP="00DA1698">
            <w:pPr>
              <w:spacing w:line="240" w:lineRule="atLeast"/>
              <w:jc w:val="center"/>
              <w:rPr>
                <w:rFonts w:ascii="Verdana" w:hAnsi="Verdana"/>
              </w:rPr>
            </w:pPr>
          </w:p>
        </w:tc>
        <w:tc>
          <w:tcPr>
            <w:tcW w:w="1596" w:type="dxa"/>
          </w:tcPr>
          <w:p w14:paraId="3B4DEA65" w14:textId="7E4A1FF3" w:rsidR="00DA1698" w:rsidRDefault="00DA1698" w:rsidP="00F20230">
            <w:pPr>
              <w:spacing w:line="240" w:lineRule="atLeast"/>
              <w:rPr>
                <w:rFonts w:ascii="Verdana" w:hAnsi="Verdana"/>
              </w:rPr>
            </w:pPr>
            <w:r>
              <w:rPr>
                <w:rFonts w:ascii="Verdana" w:hAnsi="Verdana"/>
              </w:rPr>
              <w:t>Janina</w:t>
            </w:r>
          </w:p>
        </w:tc>
        <w:tc>
          <w:tcPr>
            <w:tcW w:w="1596" w:type="dxa"/>
          </w:tcPr>
          <w:p w14:paraId="3725E654" w14:textId="77777777" w:rsidR="00DA1698" w:rsidRDefault="00DA1698" w:rsidP="00DA1698">
            <w:pPr>
              <w:spacing w:line="240" w:lineRule="atLeast"/>
              <w:jc w:val="center"/>
              <w:rPr>
                <w:rFonts w:ascii="Verdana" w:hAnsi="Verdana"/>
              </w:rPr>
            </w:pPr>
          </w:p>
        </w:tc>
        <w:tc>
          <w:tcPr>
            <w:tcW w:w="3192" w:type="dxa"/>
            <w:gridSpan w:val="2"/>
          </w:tcPr>
          <w:p w14:paraId="1C3432F9" w14:textId="7DD46278" w:rsidR="00DA1698" w:rsidRDefault="00DA1698" w:rsidP="00DA1698">
            <w:pPr>
              <w:spacing w:line="240" w:lineRule="atLeast"/>
              <w:jc w:val="center"/>
              <w:rPr>
                <w:rFonts w:ascii="Verdana" w:hAnsi="Verdana"/>
              </w:rPr>
            </w:pPr>
            <w:r>
              <w:rPr>
                <w:rFonts w:ascii="Verdana" w:hAnsi="Verdana"/>
              </w:rPr>
              <w:t>Guest Speaker: Amy</w:t>
            </w:r>
          </w:p>
        </w:tc>
      </w:tr>
    </w:tbl>
    <w:p w14:paraId="214FBA55" w14:textId="77777777" w:rsidR="00760D9F" w:rsidRDefault="00760D9F" w:rsidP="00A70AD2">
      <w:pPr>
        <w:spacing w:after="0" w:line="240" w:lineRule="atLeast"/>
        <w:rPr>
          <w:rFonts w:ascii="Verdana" w:hAnsi="Verdana"/>
        </w:rPr>
      </w:pPr>
    </w:p>
    <w:p w14:paraId="44454ACE" w14:textId="026BB559" w:rsidR="00DA1698" w:rsidRDefault="00DA1698" w:rsidP="00DA1698">
      <w:pPr>
        <w:pStyle w:val="ListParagraph"/>
        <w:numPr>
          <w:ilvl w:val="0"/>
          <w:numId w:val="3"/>
        </w:numPr>
        <w:spacing w:after="0" w:line="240" w:lineRule="atLeast"/>
        <w:rPr>
          <w:rFonts w:ascii="Verdana" w:hAnsi="Verdana"/>
        </w:rPr>
      </w:pPr>
      <w:r>
        <w:rPr>
          <w:rFonts w:ascii="Verdana" w:hAnsi="Verdana"/>
        </w:rPr>
        <w:t>Initial all collections.</w:t>
      </w:r>
    </w:p>
    <w:p w14:paraId="49B2DBA5" w14:textId="5EF10186" w:rsidR="00DA1698" w:rsidRDefault="00DA1698" w:rsidP="00DA1698">
      <w:pPr>
        <w:pStyle w:val="ListParagraph"/>
        <w:numPr>
          <w:ilvl w:val="1"/>
          <w:numId w:val="3"/>
        </w:numPr>
        <w:spacing w:after="0" w:line="240" w:lineRule="atLeast"/>
        <w:rPr>
          <w:rFonts w:ascii="Verdana" w:hAnsi="Verdana"/>
        </w:rPr>
      </w:pPr>
      <w:r>
        <w:rPr>
          <w:rFonts w:ascii="Verdana" w:hAnsi="Verdana"/>
        </w:rPr>
        <w:t>All specimens (not just Blood Bank) should be initialed by the collector. Ideally, the time should also be written on the samples. This allows another person to appropriately collect and receive the samples if required.</w:t>
      </w:r>
    </w:p>
    <w:p w14:paraId="1178FDF5" w14:textId="01554F6B" w:rsidR="00DA1698" w:rsidRDefault="00DA1698" w:rsidP="00DA1698">
      <w:pPr>
        <w:pStyle w:val="ListParagraph"/>
        <w:numPr>
          <w:ilvl w:val="0"/>
          <w:numId w:val="3"/>
        </w:numPr>
        <w:spacing w:after="0" w:line="240" w:lineRule="atLeast"/>
        <w:rPr>
          <w:rFonts w:ascii="Verdana" w:hAnsi="Verdana"/>
        </w:rPr>
      </w:pPr>
      <w:r>
        <w:rPr>
          <w:rFonts w:ascii="Verdana" w:hAnsi="Verdana"/>
        </w:rPr>
        <w:t xml:space="preserve">Do not use the Blood Bank ice packs. </w:t>
      </w:r>
      <w:r w:rsidR="001A04DF">
        <w:rPr>
          <w:rFonts w:ascii="Verdana" w:hAnsi="Verdana"/>
        </w:rPr>
        <w:t>These are reserved for blood for transfusion only.</w:t>
      </w:r>
    </w:p>
    <w:p w14:paraId="32026C86" w14:textId="69FD7915" w:rsidR="001A04DF" w:rsidRDefault="001A04DF" w:rsidP="00DA1698">
      <w:pPr>
        <w:pStyle w:val="ListParagraph"/>
        <w:numPr>
          <w:ilvl w:val="0"/>
          <w:numId w:val="3"/>
        </w:numPr>
        <w:spacing w:after="0" w:line="240" w:lineRule="atLeast"/>
        <w:rPr>
          <w:rFonts w:ascii="Verdana" w:hAnsi="Verdana"/>
        </w:rPr>
      </w:pPr>
      <w:r>
        <w:rPr>
          <w:rFonts w:ascii="Verdana" w:hAnsi="Verdana"/>
        </w:rPr>
        <w:t>Dengue Fever collections – these can be collected as per APL online instructions and sent out as Category B. You do not need to have special approval.</w:t>
      </w:r>
    </w:p>
    <w:p w14:paraId="753EF1D4" w14:textId="4B582F1C" w:rsidR="001A04DF" w:rsidRDefault="001A04DF" w:rsidP="00DA1698">
      <w:pPr>
        <w:pStyle w:val="ListParagraph"/>
        <w:numPr>
          <w:ilvl w:val="0"/>
          <w:numId w:val="3"/>
        </w:numPr>
        <w:spacing w:after="0" w:line="240" w:lineRule="atLeast"/>
        <w:rPr>
          <w:rFonts w:ascii="Verdana" w:hAnsi="Verdana"/>
        </w:rPr>
      </w:pPr>
      <w:r>
        <w:rPr>
          <w:rFonts w:ascii="Verdana" w:hAnsi="Verdana"/>
        </w:rPr>
        <w:t>Privacy Reminders – Please ensure that you keep client information confidential. Do not leave screens open unattended, patient information up on the ECGs, or paperwork in the collection areas.</w:t>
      </w:r>
      <w:r w:rsidR="00B8532F">
        <w:rPr>
          <w:rFonts w:ascii="Verdana" w:hAnsi="Verdana"/>
        </w:rPr>
        <w:t xml:space="preserve"> You are also not to look up results for your family, friends, or yourself. Only access information that you need to perform your job.</w:t>
      </w:r>
    </w:p>
    <w:p w14:paraId="4E2FAE28" w14:textId="4C56E1B5" w:rsidR="00B8532F" w:rsidRDefault="00B8532F" w:rsidP="00DA1698">
      <w:pPr>
        <w:pStyle w:val="ListParagraph"/>
        <w:numPr>
          <w:ilvl w:val="0"/>
          <w:numId w:val="3"/>
        </w:numPr>
        <w:spacing w:after="0" w:line="240" w:lineRule="atLeast"/>
        <w:rPr>
          <w:rFonts w:ascii="Verdana" w:hAnsi="Verdana"/>
        </w:rPr>
      </w:pPr>
      <w:r>
        <w:rPr>
          <w:rFonts w:ascii="Verdana" w:hAnsi="Verdana"/>
        </w:rPr>
        <w:t>A sample was left in the cooler and returned to one of the communities. Please ensure that the coolers are double-checked (especially the tinfoil pouches) for samples before double-signing, taping closed, and putting on the return rack.</w:t>
      </w:r>
    </w:p>
    <w:p w14:paraId="59CAA436" w14:textId="03FD4E22" w:rsidR="00B8532F" w:rsidRDefault="00B8532F" w:rsidP="00DA1698">
      <w:pPr>
        <w:pStyle w:val="ListParagraph"/>
        <w:numPr>
          <w:ilvl w:val="0"/>
          <w:numId w:val="3"/>
        </w:numPr>
        <w:spacing w:after="0" w:line="240" w:lineRule="atLeast"/>
        <w:rPr>
          <w:rFonts w:ascii="Verdana" w:hAnsi="Verdana"/>
        </w:rPr>
      </w:pPr>
      <w:r>
        <w:rPr>
          <w:rFonts w:ascii="Verdana" w:hAnsi="Verdana"/>
        </w:rPr>
        <w:t>Open all supply boxes – a supply box was dropped off and pharmacy was called to come for it. Upon opening the box, it was determined the supplies were for Core Lab. Please check the contents and ensure they are stored at the correct temperature before assuming they were misdelivered.</w:t>
      </w:r>
    </w:p>
    <w:p w14:paraId="69FBA22B" w14:textId="662019CE" w:rsidR="00B8532F" w:rsidRDefault="00B8532F" w:rsidP="00DA1698">
      <w:pPr>
        <w:pStyle w:val="ListParagraph"/>
        <w:numPr>
          <w:ilvl w:val="0"/>
          <w:numId w:val="3"/>
        </w:numPr>
        <w:spacing w:after="0" w:line="240" w:lineRule="atLeast"/>
        <w:rPr>
          <w:rFonts w:ascii="Verdana" w:hAnsi="Verdana"/>
        </w:rPr>
      </w:pPr>
      <w:r>
        <w:rPr>
          <w:rFonts w:ascii="Verdana" w:hAnsi="Verdana"/>
        </w:rPr>
        <w:t>All Pathology specimens must be entered into the LIS. This does not include Pap Smears and FITs.</w:t>
      </w:r>
    </w:p>
    <w:p w14:paraId="0065D2FF" w14:textId="3BE7A170" w:rsidR="00B8532F" w:rsidRDefault="00B8532F" w:rsidP="00DA1698">
      <w:pPr>
        <w:pStyle w:val="ListParagraph"/>
        <w:numPr>
          <w:ilvl w:val="0"/>
          <w:numId w:val="3"/>
        </w:numPr>
        <w:spacing w:after="0" w:line="240" w:lineRule="atLeast"/>
        <w:rPr>
          <w:rFonts w:ascii="Verdana" w:hAnsi="Verdana"/>
        </w:rPr>
      </w:pPr>
      <w:r>
        <w:rPr>
          <w:rFonts w:ascii="Verdana" w:hAnsi="Verdana"/>
        </w:rPr>
        <w:t>Record all calls for add-ons. Also record all calls you must make to clarify orders to ensure we are getting the right workload.</w:t>
      </w:r>
      <w:r w:rsidR="00DE683C">
        <w:rPr>
          <w:rFonts w:ascii="Verdana" w:hAnsi="Verdana"/>
        </w:rPr>
        <w:t xml:space="preserve"> Also, please ensure you are entering workload codes like TRY1, ISO1, etc. so you are getting the right workload for extra pokes or collecting in an isolation room.</w:t>
      </w:r>
    </w:p>
    <w:p w14:paraId="01417709" w14:textId="1F2BADE9" w:rsidR="00DE683C" w:rsidRDefault="00DE683C" w:rsidP="00DA1698">
      <w:pPr>
        <w:pStyle w:val="ListParagraph"/>
        <w:numPr>
          <w:ilvl w:val="0"/>
          <w:numId w:val="3"/>
        </w:numPr>
        <w:spacing w:after="0" w:line="240" w:lineRule="atLeast"/>
        <w:rPr>
          <w:rFonts w:ascii="Verdana" w:hAnsi="Verdana"/>
        </w:rPr>
      </w:pPr>
      <w:r>
        <w:rPr>
          <w:rFonts w:ascii="Verdana" w:hAnsi="Verdana"/>
        </w:rPr>
        <w:t>When you place orders, please print a copy and put it in the order binder. Once all items are received, the print off can be removed. This includes SAM and APL orders.</w:t>
      </w:r>
    </w:p>
    <w:p w14:paraId="5CFFF671" w14:textId="10AD857C" w:rsidR="00DE683C" w:rsidRDefault="00DE683C" w:rsidP="00DA1698">
      <w:pPr>
        <w:pStyle w:val="ListParagraph"/>
        <w:numPr>
          <w:ilvl w:val="0"/>
          <w:numId w:val="3"/>
        </w:numPr>
        <w:spacing w:after="0" w:line="240" w:lineRule="atLeast"/>
        <w:rPr>
          <w:rFonts w:ascii="Verdana" w:hAnsi="Verdana"/>
        </w:rPr>
      </w:pPr>
      <w:r>
        <w:rPr>
          <w:rFonts w:ascii="Verdana" w:hAnsi="Verdana"/>
        </w:rPr>
        <w:lastRenderedPageBreak/>
        <w:t>Send a manifest with each PKU. The Newborn Metabolic Screening Program still does not seem to be getting the information they want on the PKU cards, so please print and send a copy of the manifest with each card.</w:t>
      </w:r>
    </w:p>
    <w:p w14:paraId="07DEC3E4" w14:textId="20D11D88" w:rsidR="00DE683C" w:rsidRDefault="00DE683C" w:rsidP="00DA1698">
      <w:pPr>
        <w:pStyle w:val="ListParagraph"/>
        <w:numPr>
          <w:ilvl w:val="0"/>
          <w:numId w:val="3"/>
        </w:numPr>
        <w:spacing w:after="0" w:line="240" w:lineRule="atLeast"/>
        <w:rPr>
          <w:rFonts w:ascii="Verdana" w:hAnsi="Verdana"/>
        </w:rPr>
      </w:pPr>
      <w:r>
        <w:rPr>
          <w:rFonts w:ascii="Verdana" w:hAnsi="Verdana"/>
        </w:rPr>
        <w:t>Please ensure all maintenance and temperature checks are performed and recorded each day. We can invite a Microbiology staff member to show us how to perform BSC maintenance and checks.</w:t>
      </w:r>
    </w:p>
    <w:p w14:paraId="28C3B8C6" w14:textId="2E0C5142" w:rsidR="00DE683C" w:rsidRDefault="00DE683C" w:rsidP="00DA1698">
      <w:pPr>
        <w:pStyle w:val="ListParagraph"/>
        <w:numPr>
          <w:ilvl w:val="0"/>
          <w:numId w:val="3"/>
        </w:numPr>
        <w:spacing w:after="0" w:line="240" w:lineRule="atLeast"/>
        <w:rPr>
          <w:rFonts w:ascii="Verdana" w:hAnsi="Verdana"/>
        </w:rPr>
      </w:pPr>
      <w:r>
        <w:rPr>
          <w:rFonts w:ascii="Verdana" w:hAnsi="Verdana"/>
        </w:rPr>
        <w:t xml:space="preserve">Hand Hygiene Audits – Please ensure Hand Hygiene Audits are being recorded each month. They can be entered at the following link: </w:t>
      </w:r>
      <w:hyperlink r:id="rId11" w:history="1">
        <w:r w:rsidRPr="00AF4944">
          <w:rPr>
            <w:rStyle w:val="Hyperlink"/>
            <w:rFonts w:ascii="Verdana" w:hAnsi="Verdana"/>
          </w:rPr>
          <w:t>https://app.smartsheet.com/b/form/0c9caa4108344f69a60601ce22377614</w:t>
        </w:r>
      </w:hyperlink>
      <w:r>
        <w:rPr>
          <w:rFonts w:ascii="Verdana" w:hAnsi="Verdana"/>
        </w:rPr>
        <w:t xml:space="preserve"> Please ensure you enter Specimen Control in the box at the bottom or we do not receive credit for performing them.</w:t>
      </w:r>
    </w:p>
    <w:p w14:paraId="7F65D792" w14:textId="060EF8B8" w:rsidR="00DE683C" w:rsidRDefault="000C7378" w:rsidP="00DA1698">
      <w:pPr>
        <w:pStyle w:val="ListParagraph"/>
        <w:numPr>
          <w:ilvl w:val="0"/>
          <w:numId w:val="3"/>
        </w:numPr>
        <w:spacing w:after="0" w:line="240" w:lineRule="atLeast"/>
        <w:rPr>
          <w:rFonts w:ascii="Verdana" w:hAnsi="Verdana"/>
        </w:rPr>
      </w:pPr>
      <w:r>
        <w:rPr>
          <w:rFonts w:ascii="Verdana" w:hAnsi="Verdana"/>
        </w:rPr>
        <w:t>Please ensure we work collaboratively with our partners in Registration. A good working relationship makes our jobs more pleasant and is more productive than an antagonistic relationship is.</w:t>
      </w:r>
    </w:p>
    <w:p w14:paraId="13F89446" w14:textId="1D9D77CA" w:rsidR="000C7378" w:rsidRDefault="000C7378" w:rsidP="00DA1698">
      <w:pPr>
        <w:pStyle w:val="ListParagraph"/>
        <w:numPr>
          <w:ilvl w:val="0"/>
          <w:numId w:val="3"/>
        </w:numPr>
        <w:spacing w:after="0" w:line="240" w:lineRule="atLeast"/>
        <w:rPr>
          <w:rFonts w:ascii="Verdana" w:hAnsi="Verdana"/>
        </w:rPr>
      </w:pPr>
      <w:r>
        <w:rPr>
          <w:rFonts w:ascii="Verdana" w:hAnsi="Verdana"/>
        </w:rPr>
        <w:t>Holes in the glass – The request was put forward and approved to have holes added to the barrier glass in Lab Outpatients. Due to fiscal constraints, completion of this project has been deferred until next fiscal year.</w:t>
      </w:r>
    </w:p>
    <w:p w14:paraId="213DDF42" w14:textId="6CAA71AF" w:rsidR="000C7378" w:rsidRDefault="000C7378" w:rsidP="00DA1698">
      <w:pPr>
        <w:pStyle w:val="ListParagraph"/>
        <w:numPr>
          <w:ilvl w:val="0"/>
          <w:numId w:val="3"/>
        </w:numPr>
        <w:spacing w:after="0" w:line="240" w:lineRule="atLeast"/>
        <w:rPr>
          <w:rFonts w:ascii="Verdana" w:hAnsi="Verdana"/>
        </w:rPr>
      </w:pPr>
      <w:r>
        <w:rPr>
          <w:rFonts w:ascii="Verdana" w:hAnsi="Verdana"/>
        </w:rPr>
        <w:t>RL6s – If you enter an RL6, please let me know and provide me with the number so I can follow up.</w:t>
      </w:r>
    </w:p>
    <w:p w14:paraId="3D7CBBF1" w14:textId="670EB6EE" w:rsidR="000C7378" w:rsidRDefault="000C7378" w:rsidP="00DA1698">
      <w:pPr>
        <w:pStyle w:val="ListParagraph"/>
        <w:numPr>
          <w:ilvl w:val="0"/>
          <w:numId w:val="3"/>
        </w:numPr>
        <w:spacing w:after="0" w:line="240" w:lineRule="atLeast"/>
        <w:rPr>
          <w:rFonts w:ascii="Verdana" w:hAnsi="Verdana"/>
        </w:rPr>
      </w:pPr>
      <w:r>
        <w:rPr>
          <w:rFonts w:ascii="Verdana" w:hAnsi="Verdana"/>
        </w:rPr>
        <w:t>Please ensure all required labels are on 24-hour urine containers. If there is acid in it, the workplace label and warning labels need to be added, but all should have patient, and date/time of start/finish labels attached.</w:t>
      </w:r>
    </w:p>
    <w:p w14:paraId="624EACC8" w14:textId="77FE2C9E" w:rsidR="000C7378" w:rsidRDefault="000C7378" w:rsidP="00DA1698">
      <w:pPr>
        <w:pStyle w:val="ListParagraph"/>
        <w:numPr>
          <w:ilvl w:val="0"/>
          <w:numId w:val="3"/>
        </w:numPr>
        <w:spacing w:after="0" w:line="240" w:lineRule="atLeast"/>
        <w:rPr>
          <w:rFonts w:ascii="Verdana" w:hAnsi="Verdana"/>
        </w:rPr>
      </w:pPr>
      <w:r>
        <w:rPr>
          <w:rFonts w:ascii="Verdana" w:hAnsi="Verdana"/>
        </w:rPr>
        <w:t>Vacation requests for bulk leave have been received and will be approved/denied by February 14</w:t>
      </w:r>
      <w:r w:rsidRPr="000C7378">
        <w:rPr>
          <w:rFonts w:ascii="Verdana" w:hAnsi="Verdana"/>
          <w:vertAlign w:val="superscript"/>
        </w:rPr>
        <w:t>th</w:t>
      </w:r>
      <w:r>
        <w:rPr>
          <w:rFonts w:ascii="Verdana" w:hAnsi="Verdana"/>
        </w:rPr>
        <w:t>. You can now enter requests for other types of leave.</w:t>
      </w:r>
    </w:p>
    <w:p w14:paraId="1AACE535" w14:textId="4EC06677" w:rsidR="000C7378" w:rsidRDefault="000C7378" w:rsidP="00DA1698">
      <w:pPr>
        <w:pStyle w:val="ListParagraph"/>
        <w:numPr>
          <w:ilvl w:val="0"/>
          <w:numId w:val="3"/>
        </w:numPr>
        <w:spacing w:after="0" w:line="240" w:lineRule="atLeast"/>
        <w:rPr>
          <w:rFonts w:ascii="Verdana" w:hAnsi="Verdana"/>
        </w:rPr>
      </w:pPr>
      <w:r>
        <w:rPr>
          <w:rFonts w:ascii="Verdana" w:hAnsi="Verdana"/>
        </w:rPr>
        <w:t>Performance Appraisals – If you have been working all fiscal year, please ensure you have done the initial entry in PeopleSoft for your PA’s. Once they are in, I can meet with you to approve or add to the file.</w:t>
      </w:r>
    </w:p>
    <w:p w14:paraId="7EFFFC86" w14:textId="59014CCF" w:rsidR="000C7378" w:rsidRDefault="000C7378" w:rsidP="00DA1698">
      <w:pPr>
        <w:pStyle w:val="ListParagraph"/>
        <w:numPr>
          <w:ilvl w:val="0"/>
          <w:numId w:val="3"/>
        </w:numPr>
        <w:spacing w:after="0" w:line="240" w:lineRule="atLeast"/>
        <w:rPr>
          <w:rFonts w:ascii="Verdana" w:hAnsi="Verdana"/>
        </w:rPr>
      </w:pPr>
      <w:r>
        <w:rPr>
          <w:rFonts w:ascii="Verdana" w:hAnsi="Verdana"/>
        </w:rPr>
        <w:t>Special Guest – Amy Richardson</w:t>
      </w:r>
    </w:p>
    <w:p w14:paraId="0758CA65" w14:textId="790FECEF" w:rsidR="000C7378" w:rsidRDefault="000C7378" w:rsidP="000C7378">
      <w:pPr>
        <w:pStyle w:val="ListParagraph"/>
        <w:numPr>
          <w:ilvl w:val="1"/>
          <w:numId w:val="3"/>
        </w:numPr>
        <w:spacing w:after="0" w:line="240" w:lineRule="atLeast"/>
        <w:rPr>
          <w:rFonts w:ascii="Verdana" w:hAnsi="Verdana"/>
        </w:rPr>
      </w:pPr>
      <w:r>
        <w:rPr>
          <w:rFonts w:ascii="Verdana" w:hAnsi="Verdana"/>
        </w:rPr>
        <w:t xml:space="preserve">A new Transfusion Medicine Requisition </w:t>
      </w:r>
      <w:r w:rsidR="00D83E02">
        <w:rPr>
          <w:rFonts w:ascii="Verdana" w:hAnsi="Verdana"/>
        </w:rPr>
        <w:t>is being released. Amy presented the requisition and Job Aid.</w:t>
      </w:r>
    </w:p>
    <w:p w14:paraId="1B1AE362" w14:textId="00F9ABC4" w:rsidR="00D83E02" w:rsidRDefault="00D83E02" w:rsidP="000C7378">
      <w:pPr>
        <w:pStyle w:val="ListParagraph"/>
        <w:numPr>
          <w:ilvl w:val="1"/>
          <w:numId w:val="3"/>
        </w:numPr>
        <w:spacing w:after="0" w:line="240" w:lineRule="atLeast"/>
        <w:rPr>
          <w:rFonts w:ascii="Verdana" w:hAnsi="Verdana"/>
        </w:rPr>
      </w:pPr>
      <w:r>
        <w:rPr>
          <w:rFonts w:ascii="Verdana" w:hAnsi="Verdana"/>
        </w:rPr>
        <w:t>The requisition is being added to the EMR. There will be a 3-month transition period as already issued requisitions continue to be processed.</w:t>
      </w:r>
    </w:p>
    <w:p w14:paraId="78E80222" w14:textId="622E4B3B" w:rsidR="00D83E02" w:rsidRPr="00DA1698" w:rsidRDefault="00D83E02" w:rsidP="000C7378">
      <w:pPr>
        <w:pStyle w:val="ListParagraph"/>
        <w:numPr>
          <w:ilvl w:val="1"/>
          <w:numId w:val="3"/>
        </w:numPr>
        <w:spacing w:after="0" w:line="240" w:lineRule="atLeast"/>
        <w:rPr>
          <w:rFonts w:ascii="Verdana" w:hAnsi="Verdana"/>
        </w:rPr>
      </w:pPr>
      <w:r>
        <w:rPr>
          <w:rFonts w:ascii="Verdana" w:hAnsi="Verdana"/>
        </w:rPr>
        <w:t>After the 3-month grace period send back any Transfusion Medicine requests unless they are on the new requisition.</w:t>
      </w:r>
    </w:p>
    <w:sectPr w:rsidR="00D83E02" w:rsidRPr="00DA169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7BD80" w14:textId="77777777" w:rsidR="00EA50C9" w:rsidRDefault="00EA50C9" w:rsidP="00930CF8">
      <w:pPr>
        <w:spacing w:after="0" w:line="240" w:lineRule="auto"/>
      </w:pPr>
      <w:r>
        <w:separator/>
      </w:r>
    </w:p>
  </w:endnote>
  <w:endnote w:type="continuationSeparator" w:id="0">
    <w:p w14:paraId="41CDF56A" w14:textId="77777777" w:rsidR="00EA50C9" w:rsidRDefault="00EA50C9" w:rsidP="0093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EDE79" w14:textId="44D942E1" w:rsidR="00CB6CDC" w:rsidRPr="00CB6CDC" w:rsidRDefault="00D83E02" w:rsidP="00BA7B40">
    <w:pPr>
      <w:pStyle w:val="Footer"/>
      <w:ind w:hanging="900"/>
    </w:pPr>
    <w:r>
      <w:rPr>
        <w:noProof/>
      </w:rPr>
      <w:pict w14:anchorId="2362E723">
        <v:shapetype id="_x0000_t202" coordsize="21600,21600" o:spt="202" path="m,l,21600r21600,l21600,xe">
          <v:stroke joinstyle="miter"/>
          <v:path gradientshapeok="t" o:connecttype="rect"/>
        </v:shapetype>
        <v:shape id="_x0000_s1026" type="#_x0000_t202" style="position:absolute;margin-left:-51.4pt;margin-top:15.4pt;width:316.05pt;height:27.15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U31BQIAAOYDAAAOAAAAZHJzL2Uyb0RvYy54bWysU02P0zAQvSPxHyzfaZJuWtqo6WrZZRHS&#10;8iEtcHcdu7FwPMZ2m5Rfz9gJbQU3RA7WjGf8Zt6byeZ26DQ5CucVmJoWs5wSYTg0yuxr+vXL46sV&#10;JT4w0zANRtT0JDy93b58seltJebQgm6EIwhifNXbmrYh2CrLPG9Fx/wMrDAYlOA6FtB1+6xxrEf0&#10;TmfzPF9mPbjGOuDCe7x9GIN0m/ClFDx8ktKLQHRNsbeQTpfOXTyz7YZVe8dsq/jUBvuHLjqmDBY9&#10;Qz2wwMjBqb+gOsUdeJBhxqHLQErFReKAbIr8DzbPLbMicUFxvD3L5P8fLP94fLafHQnDGxhwgImE&#10;t0/Av3ti4L5lZi/unIO+FazBwkWULOutr6anUWpf+Qiy6z9Ag0NmhwAJaJCuIw5Q9SJf5fGjRGpl&#10;v/2uhAIQLIvXp/M0xBAIx8syL25WSwxxjN2U5XKdxpWxKsJGsa3z4Z2AjkSjpg6nncqy45MPsc1L&#10;Skw38Ki0ThPXhvQ1XS/mi/TgKtKpgAupVVfTqeP0ILJ/a5pkB6b0aGMBbSY5ogKjFmHYDZgYZdlB&#10;c0JhkgTIBH8U7LMF95OSHpeupv7HgTlBiX5vUNx1UZaYFpJTLl7P0XHXkd11hBmOUDUNlIzmfUib&#10;PXK9wyFIlWS4dDL1isuU1JkWP27rtZ+yLr/n9hcAAAD//wMAUEsDBBQABgAIAAAAIQA7KJEH3gAA&#10;AAoBAAAPAAAAZHJzL2Rvd25yZXYueG1sTI9BT4QwEIXvJv6HZky87bawwSAybIyJV11X47nQLhDp&#10;lNAu4P56x5OeJi/z8t73yv3qBjHbKfSeEJKtAmGp8aanFuHj/XmTgwhRk9GDJ4vwbQPsq+urUhfG&#10;L/Rm52NsBYdQKDRCF+NYSBmazjodtn60xL+Tn5yOLKdWmkkvHO4GmSp1J53uiRs6PdqnzjZfx7ND&#10;WEJ7eFXzJW/rz0NY6pfTJVMz4u3N+vgAIto1/pnhF5/RoWKm2p/JBDEgbBKVMntE2Cm+7MjS+x2I&#10;GiHPEpBVKf9PqH4AAAD//wMAUEsBAi0AFAAGAAgAAAAhALaDOJL+AAAA4QEAABMAAAAAAAAAAAAA&#10;AAAAAAAAAFtDb250ZW50X1R5cGVzXS54bWxQSwECLQAUAAYACAAAACEAOP0h/9YAAACUAQAACwAA&#10;AAAAAAAAAAAAAAAvAQAAX3JlbHMvLnJlbHNQSwECLQAUAAYACAAAACEA9ZFN9QUCAADmAwAADgAA&#10;AAAAAAAAAAAAAAAuAgAAZHJzL2Uyb0RvYy54bWxQSwECLQAUAAYACAAAACEAOyiRB94AAAAKAQAA&#10;DwAAAAAAAAAAAAAAAABfBAAAZHJzL2Rvd25yZXYueG1sUEsFBgAAAAAEAAQA8wAAAGoFAAAAAA==&#10;" filled="f" stroked="f">
          <v:textbox>
            <w:txbxContent>
              <w:p w14:paraId="6E549ECE" w14:textId="77777777" w:rsidR="008B706D" w:rsidRPr="008B706D" w:rsidRDefault="008B706D">
                <w:pPr>
                  <w:rPr>
                    <w:b/>
                    <w:color w:val="1F497D" w:themeColor="text2"/>
                  </w:rPr>
                </w:pPr>
                <w:r w:rsidRPr="008B706D">
                  <w:rPr>
                    <w:b/>
                    <w:color w:val="1F497D" w:themeColor="text2"/>
                  </w:rPr>
                  <w:t xml:space="preserve">NTHSSA </w:t>
                </w:r>
                <w:r w:rsidR="008859F4">
                  <w:rPr>
                    <w:b/>
                    <w:color w:val="1F497D" w:themeColor="text2"/>
                  </w:rPr>
                  <w:t>–</w:t>
                </w:r>
                <w:r w:rsidRPr="008B706D">
                  <w:rPr>
                    <w:b/>
                    <w:color w:val="1F497D" w:themeColor="text2"/>
                  </w:rPr>
                  <w:t xml:space="preserve"> </w:t>
                </w:r>
                <w:r w:rsidR="008859F4">
                  <w:rPr>
                    <w:b/>
                    <w:color w:val="1F497D" w:themeColor="text2"/>
                  </w:rPr>
                  <w:t>Stanton Territorial Hospital</w:t>
                </w:r>
              </w:p>
            </w:txbxContent>
          </v:textbox>
        </v:shape>
      </w:pict>
    </w:r>
    <w:r>
      <w:rPr>
        <w:noProof/>
      </w:rPr>
      <w:pict w14:anchorId="6E617072">
        <v:shape id="Text Box 2" o:spid="_x0000_s1025" type="#_x0000_t202" style="position:absolute;margin-left:375.8pt;margin-top:-17.9pt;width:138.35pt;height:6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JwDwIAAP0DAAAOAAAAZHJzL2Uyb0RvYy54bWysU8Fu2zAMvQ/YPwi6L06CZGmMOEWXLsOA&#10;rhvQ7QNkWY6FyaJGKbGzrx8lu2nQ3Yb5IJAm9Ug+Pm1u+9awk0KvwRZ8NplypqyESttDwX9837+7&#10;4cwHYSthwKqCn5Xnt9u3bzady9UcGjCVQkYg1uedK3gTgsuzzMtGtcJPwClLwRqwFYFcPGQVio7Q&#10;W5PNp9P3WQdYOQSpvKe/90OQbxN+XSsZvta1V4GZglNvIZ2YzjKe2XYj8gMK12g5tiH+oYtWaEtF&#10;L1D3Igh2RP0XVKslgoc6TCS0GdS1lirNQNPMpq+meWqEU2kWIse7C03+/8HKx9OT+4Ys9B+gpwWm&#10;Ibx7APnTMwu7RtiDukOErlGiosKzSFnWOZ+PVyPVPvcRpOy+QEVLFscACaivsY2s0JyM0GkB5wvp&#10;qg9MxpKr5Wq6WHImKbZazxc3aSuZyJ9vO/Thk4KWRaPgSEtN6OL04EPsRuTPKbGYB6OrvTYmOXgo&#10;dwbZSZAA9ulLA7xKM5Z1BV8v58uEbCHeT9podSCBGt0W/GYav0EykY2PtkopQWgz2NSJsSM9kZGB&#10;m9CXPdPVyF1kq4TqTHwhDHqk90NGA/ibs460WHD/6yhQcWY+W+J8PVssoniTs1iu5uTgdaS8jggr&#10;CarggbPB3IUk+EiHhTvaTa0TbS+djC2TxhKb43uIIr72U9bLq93+AQAA//8DAFBLAwQUAAYACAAA&#10;ACEA65Jv7uAAAAALAQAADwAAAGRycy9kb3ducmV2LnhtbEyPy07DMBBF90j8gzVIbFDrtCWPhkwq&#10;QAKxbekHTOJpEhHbUew26d/jrmA5mqN7zy12s+7FhUfXWYOwWkYg2NRWdaZBOH5/LDIQzpNR1FvD&#10;CFd2sCvv7wrKlZ3Mni8H34gQYlxOCK33Qy6lq1vW5JZ2YBN+Jztq8uEcG6lGmkK47uU6ihKpqTOh&#10;oaWB31uufw5njXD6mp7i7VR9+mO6f07eqEsre0V8fJhfX0B4nv0fDDf9oA5lcKrs2SgneoQ0XiUB&#10;RVhs4rDhRkTrbAOiQsi2EciykP83lL8AAAD//wMAUEsBAi0AFAAGAAgAAAAhALaDOJL+AAAA4QEA&#10;ABMAAAAAAAAAAAAAAAAAAAAAAFtDb250ZW50X1R5cGVzXS54bWxQSwECLQAUAAYACAAAACEAOP0h&#10;/9YAAACUAQAACwAAAAAAAAAAAAAAAAAvAQAAX3JlbHMvLnJlbHNQSwECLQAUAAYACAAAACEAD82S&#10;cA8CAAD9AwAADgAAAAAAAAAAAAAAAAAuAgAAZHJzL2Uyb0RvYy54bWxQSwECLQAUAAYACAAAACEA&#10;65Jv7uAAAAALAQAADwAAAAAAAAAAAAAAAABpBAAAZHJzL2Rvd25yZXYueG1sUEsFBgAAAAAEAAQA&#10;8wAAAHYFAAAAAA==&#10;" stroked="f">
          <v:textbox>
            <w:txbxContent>
              <w:p w14:paraId="7526454B" w14:textId="77777777" w:rsidR="00CB6CDC" w:rsidRPr="00EC5392" w:rsidRDefault="00CB6CDC"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Northwest Territories Health and Social Services Authority</w:t>
                </w:r>
              </w:p>
              <w:p w14:paraId="583D551E" w14:textId="702B64CE" w:rsidR="008859F4" w:rsidRPr="00EC5392" w:rsidRDefault="008859F4"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Stanton Territorial Hospital</w:t>
                </w:r>
                <w:r w:rsidRPr="00EC5392">
                  <w:rPr>
                    <w:rFonts w:ascii="Verdana" w:hAnsi="Verdana"/>
                    <w:color w:val="1F497D" w:themeColor="text2"/>
                    <w:sz w:val="15"/>
                    <w:szCs w:val="15"/>
                  </w:rPr>
                  <w:br/>
                  <w:t>PO Box 10, 5</w:t>
                </w:r>
                <w:r w:rsidR="00CF3CF5">
                  <w:rPr>
                    <w:rFonts w:ascii="Verdana" w:hAnsi="Verdana"/>
                    <w:color w:val="1F497D" w:themeColor="text2"/>
                    <w:sz w:val="15"/>
                    <w:szCs w:val="15"/>
                  </w:rPr>
                  <w:t>48</w:t>
                </w:r>
                <w:r w:rsidRPr="00EC5392">
                  <w:rPr>
                    <w:rFonts w:ascii="Verdana" w:hAnsi="Verdana"/>
                    <w:color w:val="1F497D" w:themeColor="text2"/>
                    <w:sz w:val="15"/>
                    <w:szCs w:val="15"/>
                  </w:rPr>
                  <w:t xml:space="preserve"> Byrne Rd</w:t>
                </w:r>
                <w:r w:rsidRPr="00EC5392">
                  <w:rPr>
                    <w:rFonts w:ascii="Verdana" w:hAnsi="Verdana"/>
                    <w:color w:val="1F497D" w:themeColor="text2"/>
                    <w:sz w:val="15"/>
                    <w:szCs w:val="15"/>
                  </w:rPr>
                  <w:br/>
                  <w:t>Yellowknife, NT X1A 2N1</w:t>
                </w:r>
              </w:p>
              <w:p w14:paraId="43F737F0" w14:textId="77777777" w:rsidR="008859F4" w:rsidRPr="00CB6CDC" w:rsidRDefault="008859F4" w:rsidP="00CB6CDC">
                <w:pPr>
                  <w:spacing w:after="120" w:line="240" w:lineRule="auto"/>
                  <w:rPr>
                    <w:rFonts w:ascii="Verdana" w:hAnsi="Verdana"/>
                    <w:color w:val="1F497D" w:themeColor="text2"/>
                    <w:sz w:val="16"/>
                  </w:rPr>
                </w:pPr>
              </w:p>
            </w:txbxContent>
          </v:textbox>
        </v:shape>
      </w:pict>
    </w:r>
    <w:r w:rsidR="00BA7B40">
      <w:t xml:space="preserve">Page </w:t>
    </w:r>
    <w:r w:rsidR="00BA7B40">
      <w:fldChar w:fldCharType="begin"/>
    </w:r>
    <w:r w:rsidR="00BA7B40">
      <w:instrText xml:space="preserve"> PAGE  \* Arabic  \* MERGEFORMAT </w:instrText>
    </w:r>
    <w:r w:rsidR="00BA7B40">
      <w:fldChar w:fldCharType="separate"/>
    </w:r>
    <w:r w:rsidR="00DB79D1">
      <w:rPr>
        <w:noProof/>
      </w:rPr>
      <w:t>1</w:t>
    </w:r>
    <w:r w:rsidR="00BA7B40">
      <w:fldChar w:fldCharType="end"/>
    </w:r>
    <w:r w:rsidR="00BA7B40">
      <w:t xml:space="preserve"> of </w:t>
    </w:r>
    <w:fldSimple w:instr=" NUMPAGES  \* Arabic  \* MERGEFORMAT ">
      <w:r w:rsidR="00DB79D1">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1114B" w14:textId="77777777" w:rsidR="00EA50C9" w:rsidRDefault="00EA50C9" w:rsidP="00930CF8">
      <w:pPr>
        <w:spacing w:after="0" w:line="240" w:lineRule="auto"/>
      </w:pPr>
      <w:r>
        <w:separator/>
      </w:r>
    </w:p>
  </w:footnote>
  <w:footnote w:type="continuationSeparator" w:id="0">
    <w:p w14:paraId="50044806" w14:textId="77777777" w:rsidR="00EA50C9" w:rsidRDefault="00EA50C9" w:rsidP="00930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00332" w14:textId="77777777" w:rsidR="00CB6CDC" w:rsidRPr="00CB6CDC" w:rsidRDefault="00CB6CDC">
    <w:pPr>
      <w:pStyle w:val="Header"/>
      <w:rPr>
        <w:rFonts w:ascii="Verdana" w:hAnsi="Verdana"/>
      </w:rPr>
    </w:pPr>
    <w:r w:rsidRPr="00CB6CDC">
      <w:rPr>
        <w:rFonts w:ascii="Verdana" w:hAnsi="Verdana"/>
        <w:noProof/>
      </w:rPr>
      <w:drawing>
        <wp:anchor distT="0" distB="0" distL="114300" distR="114300" simplePos="0" relativeHeight="251657216" behindDoc="1" locked="0" layoutInCell="1" allowOverlap="1" wp14:anchorId="36D02883" wp14:editId="6AAEEE99">
          <wp:simplePos x="0" y="0"/>
          <wp:positionH relativeFrom="column">
            <wp:posOffset>-573205</wp:posOffset>
          </wp:positionH>
          <wp:positionV relativeFrom="paragraph">
            <wp:posOffset>-102358</wp:posOffset>
          </wp:positionV>
          <wp:extent cx="1815152" cy="1110971"/>
          <wp:effectExtent l="0" t="0" r="0" b="0"/>
          <wp:wrapNone/>
          <wp:docPr id="2" name="Picture 2" descr="\\yknthssa\NTHSSA\Executive\ORCS\Information Systems\6040 - Publications\Design Assets\Organized Design Assests\Logos\English\PNG\NTHSSA_English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knthssa\NTHSSA\Executive\ORCS\Information Systems\6040 - Publications\Design Assets\Organized Design Assests\Logos\English\PNG\NTHSSA_English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902" cy="11138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6CDC">
      <w:rPr>
        <w:rFonts w:ascii="Verdana" w:hAnsi="Verdana"/>
        <w:noProof/>
      </w:rPr>
      <w:drawing>
        <wp:anchor distT="0" distB="0" distL="114300" distR="114300" simplePos="0" relativeHeight="251675648" behindDoc="1" locked="0" layoutInCell="1" allowOverlap="1" wp14:anchorId="54044896" wp14:editId="436176A3">
          <wp:simplePos x="0" y="0"/>
          <wp:positionH relativeFrom="column">
            <wp:posOffset>3810000</wp:posOffset>
          </wp:positionH>
          <wp:positionV relativeFrom="paragraph">
            <wp:posOffset>-2232025</wp:posOffset>
          </wp:positionV>
          <wp:extent cx="2827655" cy="4439920"/>
          <wp:effectExtent l="0" t="6032" r="4762" b="4763"/>
          <wp:wrapNone/>
          <wp:docPr id="3" name="Picture 3" descr="\\yknthssa\NTHSSA\Executive\ORCS\Information Systems\6040 - Publications\Design Assets\Raw Design Asset Files\Verge\1 - NTHSSA Elements\Triangle Highlight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knthssa\NTHSSA\Executive\ORCS\Information Systems\6040 - Publications\Design Assets\Raw Design Asset Files\Verge\1 - NTHSSA Elements\Triangle Highlight_CMY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2827655" cy="443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7609D" w14:textId="77777777" w:rsidR="00CB6CDC" w:rsidRPr="00CB6CDC" w:rsidRDefault="00CB6CDC">
    <w:pPr>
      <w:pStyle w:val="Header"/>
      <w:rPr>
        <w:rFonts w:ascii="Verdana" w:hAnsi="Verdana"/>
      </w:rPr>
    </w:pPr>
  </w:p>
  <w:p w14:paraId="30B263DE" w14:textId="77777777" w:rsidR="00CB6CDC" w:rsidRPr="00CB6CDC" w:rsidRDefault="00CB6CDC">
    <w:pPr>
      <w:pStyle w:val="Header"/>
      <w:rPr>
        <w:rFonts w:ascii="Verdana" w:hAnsi="Verdana"/>
      </w:rPr>
    </w:pPr>
  </w:p>
  <w:p w14:paraId="46AE06CD" w14:textId="77777777" w:rsidR="00CB6CDC" w:rsidRPr="00CB6CDC" w:rsidRDefault="00CB6CDC">
    <w:pPr>
      <w:pStyle w:val="Header"/>
      <w:rPr>
        <w:rFonts w:ascii="Verdana" w:hAnsi="Verdana"/>
      </w:rPr>
    </w:pPr>
  </w:p>
  <w:p w14:paraId="1D47C76F" w14:textId="0FB651D5" w:rsidR="00CB6CDC" w:rsidRPr="00BA7B40" w:rsidRDefault="00CF3CF5" w:rsidP="00BA7B40">
    <w:pPr>
      <w:pStyle w:val="Header"/>
      <w:jc w:val="center"/>
      <w:rPr>
        <w:rFonts w:ascii="Verdana" w:hAnsi="Verdana"/>
        <w:b/>
      </w:rPr>
    </w:pPr>
    <w:r>
      <w:rPr>
        <w:rFonts w:ascii="Verdana" w:hAnsi="Verdana"/>
        <w:b/>
      </w:rPr>
      <w:t>Specimen Control</w:t>
    </w:r>
    <w:r w:rsidR="005C19D6">
      <w:rPr>
        <w:rFonts w:ascii="Verdana" w:hAnsi="Verdana"/>
        <w:b/>
      </w:rPr>
      <w:t xml:space="preserve"> Lab</w:t>
    </w:r>
    <w:r w:rsidR="00DB79D1">
      <w:rPr>
        <w:rFonts w:ascii="Verdana" w:hAnsi="Verdana"/>
        <w:b/>
      </w:rPr>
      <w:t xml:space="preserve"> </w:t>
    </w:r>
    <w:r w:rsidR="00BA7B40" w:rsidRPr="00BA7B40">
      <w:rPr>
        <w:rFonts w:ascii="Verdana" w:hAnsi="Verdana"/>
        <w:b/>
      </w:rPr>
      <w:t>Meeting</w:t>
    </w:r>
    <w:r w:rsidR="00A528AE">
      <w:rPr>
        <w:rFonts w:ascii="Verdana" w:hAnsi="Verdana"/>
        <w:b/>
      </w:rPr>
      <w:t xml:space="preserve"> Minutes</w:t>
    </w:r>
  </w:p>
  <w:p w14:paraId="65BAA272" w14:textId="3ED0D4AE" w:rsidR="00BA7B40" w:rsidRDefault="00DA1698" w:rsidP="00BA7B40">
    <w:pPr>
      <w:pStyle w:val="Header"/>
      <w:jc w:val="center"/>
      <w:rPr>
        <w:rFonts w:ascii="Verdana" w:hAnsi="Verdana"/>
      </w:rPr>
    </w:pPr>
    <w:r>
      <w:rPr>
        <w:rFonts w:ascii="Verdana" w:hAnsi="Verdana"/>
      </w:rPr>
      <w:t>February 5</w:t>
    </w:r>
    <w:r w:rsidR="005C19D6">
      <w:rPr>
        <w:rFonts w:ascii="Verdana" w:hAnsi="Verdana"/>
      </w:rPr>
      <w:t>,</w:t>
    </w:r>
    <w:r>
      <w:rPr>
        <w:rFonts w:ascii="Verdana" w:hAnsi="Verdana"/>
      </w:rPr>
      <w:t xml:space="preserve"> </w:t>
    </w:r>
    <w:r w:rsidR="005C19D6">
      <w:rPr>
        <w:rFonts w:ascii="Verdana" w:hAnsi="Verdana"/>
      </w:rPr>
      <w:t>2024</w:t>
    </w:r>
  </w:p>
  <w:p w14:paraId="43F6E74D" w14:textId="139BCE93" w:rsidR="00CB6CDC" w:rsidRPr="00CB6CDC" w:rsidRDefault="005C19D6" w:rsidP="00BA7B40">
    <w:pPr>
      <w:pStyle w:val="Header"/>
      <w:jc w:val="center"/>
      <w:rPr>
        <w:rFonts w:ascii="Verdana" w:hAnsi="Verdana"/>
      </w:rPr>
    </w:pPr>
    <w:r>
      <w:rPr>
        <w:rFonts w:ascii="Verdana" w:hAnsi="Verdana"/>
      </w:rPr>
      <w:t>Time</w:t>
    </w:r>
    <w:r w:rsidR="00DA1698">
      <w:rPr>
        <w:rFonts w:ascii="Verdana" w:hAnsi="Verdana"/>
      </w:rPr>
      <w:t>: 10:00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75E52"/>
    <w:multiLevelType w:val="hybridMultilevel"/>
    <w:tmpl w:val="76BEDF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65FCA"/>
    <w:multiLevelType w:val="hybridMultilevel"/>
    <w:tmpl w:val="1CF07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31B21"/>
    <w:multiLevelType w:val="hybridMultilevel"/>
    <w:tmpl w:val="DB5E42A4"/>
    <w:lvl w:ilvl="0" w:tplc="07244F5C">
      <w:start w:val="1"/>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8871347">
    <w:abstractNumId w:val="1"/>
  </w:num>
  <w:num w:numId="2" w16cid:durableId="474102370">
    <w:abstractNumId w:val="2"/>
  </w:num>
  <w:num w:numId="3" w16cid:durableId="1724282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B79D1"/>
    <w:rsid w:val="00061942"/>
    <w:rsid w:val="000B1208"/>
    <w:rsid w:val="000C7378"/>
    <w:rsid w:val="001A04DF"/>
    <w:rsid w:val="001C1FB8"/>
    <w:rsid w:val="002975D3"/>
    <w:rsid w:val="003415E0"/>
    <w:rsid w:val="003807DB"/>
    <w:rsid w:val="00483705"/>
    <w:rsid w:val="00506F98"/>
    <w:rsid w:val="005C19D6"/>
    <w:rsid w:val="00625720"/>
    <w:rsid w:val="00760D9F"/>
    <w:rsid w:val="00837D49"/>
    <w:rsid w:val="008859F4"/>
    <w:rsid w:val="008B706D"/>
    <w:rsid w:val="008D58A9"/>
    <w:rsid w:val="009228E8"/>
    <w:rsid w:val="00930CF8"/>
    <w:rsid w:val="00966EA0"/>
    <w:rsid w:val="00980EEA"/>
    <w:rsid w:val="00A075EA"/>
    <w:rsid w:val="00A528AE"/>
    <w:rsid w:val="00A70AD2"/>
    <w:rsid w:val="00A9024E"/>
    <w:rsid w:val="00B8532F"/>
    <w:rsid w:val="00BA69F3"/>
    <w:rsid w:val="00BA7B40"/>
    <w:rsid w:val="00BE22F2"/>
    <w:rsid w:val="00C3730F"/>
    <w:rsid w:val="00C53D97"/>
    <w:rsid w:val="00C864B0"/>
    <w:rsid w:val="00CB6CDC"/>
    <w:rsid w:val="00CF3CF5"/>
    <w:rsid w:val="00D02FA5"/>
    <w:rsid w:val="00D83E02"/>
    <w:rsid w:val="00DA1698"/>
    <w:rsid w:val="00DA41FA"/>
    <w:rsid w:val="00DB79D1"/>
    <w:rsid w:val="00DE683C"/>
    <w:rsid w:val="00DF4466"/>
    <w:rsid w:val="00E36D58"/>
    <w:rsid w:val="00E43704"/>
    <w:rsid w:val="00EA50C9"/>
    <w:rsid w:val="00EB35F5"/>
    <w:rsid w:val="00EC5392"/>
    <w:rsid w:val="00F20230"/>
    <w:rsid w:val="00FB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4742C03"/>
  <w15:docId w15:val="{1E4047D8-0ECC-4F8D-B40F-96AC56A1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CF8"/>
    <w:rPr>
      <w:rFonts w:ascii="Tahoma" w:hAnsi="Tahoma" w:cs="Tahoma"/>
      <w:sz w:val="16"/>
      <w:szCs w:val="16"/>
    </w:rPr>
  </w:style>
  <w:style w:type="paragraph" w:styleId="Header">
    <w:name w:val="header"/>
    <w:basedOn w:val="Normal"/>
    <w:link w:val="HeaderChar"/>
    <w:uiPriority w:val="99"/>
    <w:unhideWhenUsed/>
    <w:rsid w:val="00930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F8"/>
  </w:style>
  <w:style w:type="paragraph" w:styleId="Footer">
    <w:name w:val="footer"/>
    <w:basedOn w:val="Normal"/>
    <w:link w:val="FooterChar"/>
    <w:uiPriority w:val="99"/>
    <w:unhideWhenUsed/>
    <w:rsid w:val="00930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F8"/>
  </w:style>
  <w:style w:type="paragraph" w:customStyle="1" w:styleId="Default">
    <w:name w:val="Default"/>
    <w:rsid w:val="00CB6CDC"/>
    <w:pPr>
      <w:autoSpaceDE w:val="0"/>
      <w:autoSpaceDN w:val="0"/>
      <w:adjustRightInd w:val="0"/>
      <w:spacing w:after="0" w:line="240" w:lineRule="auto"/>
    </w:pPr>
    <w:rPr>
      <w:rFonts w:ascii="Verdana" w:hAnsi="Verdana" w:cs="Verdana"/>
      <w:color w:val="000000"/>
      <w:sz w:val="24"/>
      <w:szCs w:val="24"/>
    </w:rPr>
  </w:style>
  <w:style w:type="paragraph" w:customStyle="1" w:styleId="Pa0">
    <w:name w:val="Pa0"/>
    <w:basedOn w:val="Default"/>
    <w:next w:val="Default"/>
    <w:uiPriority w:val="99"/>
    <w:rsid w:val="00CB6CDC"/>
    <w:pPr>
      <w:spacing w:line="241" w:lineRule="atLeast"/>
    </w:pPr>
    <w:rPr>
      <w:rFonts w:cstheme="minorBidi"/>
      <w:color w:val="auto"/>
    </w:rPr>
  </w:style>
  <w:style w:type="character" w:customStyle="1" w:styleId="A0">
    <w:name w:val="A0"/>
    <w:uiPriority w:val="99"/>
    <w:rsid w:val="00CB6CDC"/>
    <w:rPr>
      <w:rFonts w:cs="Verdana"/>
      <w:color w:val="18637E"/>
      <w:sz w:val="12"/>
      <w:szCs w:val="12"/>
    </w:rPr>
  </w:style>
  <w:style w:type="paragraph" w:styleId="ListParagraph">
    <w:name w:val="List Paragraph"/>
    <w:basedOn w:val="Normal"/>
    <w:uiPriority w:val="34"/>
    <w:qFormat/>
    <w:rsid w:val="00966EA0"/>
    <w:pPr>
      <w:ind w:left="720"/>
      <w:contextualSpacing/>
    </w:pPr>
  </w:style>
  <w:style w:type="table" w:styleId="TableGrid">
    <w:name w:val="Table Grid"/>
    <w:basedOn w:val="TableNormal"/>
    <w:uiPriority w:val="59"/>
    <w:rsid w:val="00EB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683C"/>
    <w:rPr>
      <w:color w:val="0000FF" w:themeColor="hyperlink"/>
      <w:u w:val="single"/>
    </w:rPr>
  </w:style>
  <w:style w:type="character" w:styleId="UnresolvedMention">
    <w:name w:val="Unresolved Mention"/>
    <w:basedOn w:val="DefaultParagraphFont"/>
    <w:uiPriority w:val="99"/>
    <w:semiHidden/>
    <w:unhideWhenUsed/>
    <w:rsid w:val="00DE6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658981">
      <w:bodyDiv w:val="1"/>
      <w:marLeft w:val="0"/>
      <w:marRight w:val="0"/>
      <w:marTop w:val="0"/>
      <w:marBottom w:val="0"/>
      <w:divBdr>
        <w:top w:val="none" w:sz="0" w:space="0" w:color="auto"/>
        <w:left w:val="none" w:sz="0" w:space="0" w:color="auto"/>
        <w:bottom w:val="none" w:sz="0" w:space="0" w:color="auto"/>
        <w:right w:val="none" w:sz="0" w:space="0" w:color="auto"/>
      </w:divBdr>
    </w:div>
    <w:div w:id="1791363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artsheet.com/b/form/0c9caa4108344f69a60601ce223776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3AB84-D9F4-4673-AF3F-02C4633B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Steven</dc:creator>
  <cp:keywords/>
  <dc:description/>
  <cp:lastModifiedBy>Carolyn Russell</cp:lastModifiedBy>
  <cp:revision>15</cp:revision>
  <dcterms:created xsi:type="dcterms:W3CDTF">2021-02-03T19:35:00Z</dcterms:created>
  <dcterms:modified xsi:type="dcterms:W3CDTF">2025-03-03T22:44:00Z</dcterms:modified>
</cp:coreProperties>
</file>