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68BD" w14:textId="77777777" w:rsidR="00A23C58" w:rsidRDefault="00A23C58" w:rsidP="00A23C58">
      <w:pPr>
        <w:pStyle w:val="Title"/>
      </w:pPr>
      <w:r>
        <w:t>Serum, Plasma &amp; Urine Osmolality</w:t>
      </w:r>
    </w:p>
    <w:p w14:paraId="79C4F0C0" w14:textId="16539929" w:rsidR="00A23C58" w:rsidRPr="00A617DD" w:rsidRDefault="00BD274B" w:rsidP="00A23C58">
      <w:pPr>
        <w:spacing w:after="120"/>
        <w:jc w:val="center"/>
        <w:rPr>
          <w:bCs/>
          <w:sz w:val="22"/>
          <w:szCs w:val="22"/>
        </w:rPr>
      </w:pPr>
      <w:r>
        <w:rPr>
          <w:bCs/>
          <w:sz w:val="22"/>
          <w:szCs w:val="22"/>
        </w:rPr>
        <w:t xml:space="preserve">OSMO </w:t>
      </w:r>
      <w:r w:rsidR="00A23C58" w:rsidRPr="00A617DD">
        <w:rPr>
          <w:bCs/>
          <w:sz w:val="22"/>
          <w:szCs w:val="22"/>
        </w:rPr>
        <w:t>1- Advanced Instruments Single</w:t>
      </w:r>
      <w:r w:rsidR="00951885">
        <w:rPr>
          <w:bCs/>
          <w:sz w:val="22"/>
          <w:szCs w:val="22"/>
        </w:rPr>
        <w:t>-</w:t>
      </w:r>
      <w:r w:rsidR="00A23C58" w:rsidRPr="00A617DD">
        <w:rPr>
          <w:bCs/>
          <w:sz w:val="22"/>
          <w:szCs w:val="22"/>
        </w:rPr>
        <w:t>Sample Micr</w:t>
      </w:r>
      <w:r w:rsidR="00951885">
        <w:rPr>
          <w:bCs/>
          <w:sz w:val="22"/>
          <w:szCs w:val="22"/>
        </w:rPr>
        <w:t>o-</w:t>
      </w:r>
      <w:r w:rsidR="00A23C58" w:rsidRPr="00A617DD">
        <w:rPr>
          <w:bCs/>
          <w:sz w:val="22"/>
          <w:szCs w:val="22"/>
        </w:rPr>
        <w:t>Osmometer</w:t>
      </w:r>
    </w:p>
    <w:p w14:paraId="1354EAA4" w14:textId="77777777" w:rsidR="00A23C58" w:rsidRPr="004D275D" w:rsidRDefault="00A23C58" w:rsidP="00A23C58">
      <w:pPr>
        <w:tabs>
          <w:tab w:val="left" w:pos="1440"/>
        </w:tabs>
        <w:spacing w:after="60" w:line="240" w:lineRule="atLeast"/>
      </w:pPr>
    </w:p>
    <w:p w14:paraId="3BBA56D7" w14:textId="35EB8D39" w:rsidR="00A23C58" w:rsidRPr="004D275D" w:rsidRDefault="00A23C58" w:rsidP="00A23C58">
      <w:pPr>
        <w:tabs>
          <w:tab w:val="left" w:pos="1440"/>
        </w:tabs>
        <w:spacing w:after="60" w:line="240" w:lineRule="atLeast"/>
      </w:pPr>
      <w:r>
        <w:t xml:space="preserve">Prepared </w:t>
      </w:r>
      <w:r w:rsidR="00DA2E81">
        <w:t>by</w:t>
      </w:r>
      <w:bookmarkStart w:id="0" w:name="_GoBack"/>
      <w:bookmarkEnd w:id="0"/>
      <w:r>
        <w:t xml:space="preserve"> Debra Napert MT (ASCP)</w:t>
      </w:r>
    </w:p>
    <w:p w14:paraId="76A257F5" w14:textId="77777777" w:rsidR="00A23C58" w:rsidRPr="002D2672" w:rsidRDefault="00A23C58" w:rsidP="00A23C58">
      <w:pPr>
        <w:tabs>
          <w:tab w:val="left" w:pos="1440"/>
        </w:tabs>
        <w:spacing w:after="60" w:line="240" w:lineRule="atLeast"/>
        <w:jc w:val="both"/>
      </w:pPr>
      <w:r w:rsidRPr="002D2672">
        <w:t>Adopted</w:t>
      </w:r>
      <w:r>
        <w:t xml:space="preserve"> 10/8/20 by Ricky Grisson MD ___________________________</w:t>
      </w:r>
    </w:p>
    <w:p w14:paraId="4D155ABF" w14:textId="77777777" w:rsidR="00A23C58" w:rsidRPr="004D275D" w:rsidRDefault="00A23C58" w:rsidP="00A23C58">
      <w:pPr>
        <w:spacing w:line="240" w:lineRule="atLeast"/>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5"/>
        <w:gridCol w:w="1451"/>
        <w:gridCol w:w="3229"/>
        <w:gridCol w:w="1347"/>
      </w:tblGrid>
      <w:tr w:rsidR="00A23C58" w:rsidRPr="004D275D" w14:paraId="7BA89EC5" w14:textId="77777777" w:rsidTr="000E3A2F">
        <w:trPr>
          <w:trHeight w:val="324"/>
          <w:jc w:val="center"/>
        </w:trPr>
        <w:tc>
          <w:tcPr>
            <w:tcW w:w="3235" w:type="dxa"/>
            <w:shd w:val="clear" w:color="auto" w:fill="auto"/>
          </w:tcPr>
          <w:p w14:paraId="47473E42" w14:textId="77777777" w:rsidR="00A23C58" w:rsidRPr="008005CA" w:rsidRDefault="00A23C58" w:rsidP="000E3A2F">
            <w:pPr>
              <w:spacing w:line="240" w:lineRule="atLeast"/>
              <w:rPr>
                <w:rFonts w:eastAsia="Calibri"/>
              </w:rPr>
            </w:pPr>
            <w:r w:rsidRPr="008005CA">
              <w:rPr>
                <w:rFonts w:eastAsia="Calibri"/>
              </w:rPr>
              <w:t xml:space="preserve">Reviewed  </w:t>
            </w:r>
          </w:p>
        </w:tc>
        <w:tc>
          <w:tcPr>
            <w:tcW w:w="1451" w:type="dxa"/>
            <w:shd w:val="clear" w:color="auto" w:fill="auto"/>
          </w:tcPr>
          <w:p w14:paraId="132C40E5" w14:textId="77777777" w:rsidR="00A23C58" w:rsidRPr="008005CA" w:rsidRDefault="00A23C58" w:rsidP="000E3A2F">
            <w:pPr>
              <w:spacing w:line="240" w:lineRule="atLeast"/>
              <w:rPr>
                <w:rFonts w:eastAsia="Calibri"/>
              </w:rPr>
            </w:pPr>
            <w:r w:rsidRPr="008005CA">
              <w:rPr>
                <w:rFonts w:eastAsia="Calibri"/>
              </w:rPr>
              <w:t>Date</w:t>
            </w:r>
          </w:p>
        </w:tc>
        <w:tc>
          <w:tcPr>
            <w:tcW w:w="3229" w:type="dxa"/>
            <w:shd w:val="clear" w:color="auto" w:fill="auto"/>
          </w:tcPr>
          <w:p w14:paraId="23C25FA5" w14:textId="77777777" w:rsidR="00A23C58" w:rsidRPr="008005CA" w:rsidRDefault="00A23C58" w:rsidP="000E3A2F">
            <w:pPr>
              <w:spacing w:line="240" w:lineRule="atLeast"/>
              <w:rPr>
                <w:rFonts w:eastAsia="Calibri"/>
              </w:rPr>
            </w:pPr>
            <w:r w:rsidRPr="008005CA">
              <w:rPr>
                <w:rFonts w:eastAsia="Calibri"/>
              </w:rPr>
              <w:t xml:space="preserve">Reviewed </w:t>
            </w:r>
          </w:p>
        </w:tc>
        <w:tc>
          <w:tcPr>
            <w:tcW w:w="1347" w:type="dxa"/>
            <w:shd w:val="clear" w:color="auto" w:fill="auto"/>
          </w:tcPr>
          <w:p w14:paraId="72DBF73C" w14:textId="77777777" w:rsidR="00A23C58" w:rsidRPr="008005CA" w:rsidRDefault="00A23C58" w:rsidP="000E3A2F">
            <w:pPr>
              <w:spacing w:line="240" w:lineRule="atLeast"/>
              <w:rPr>
                <w:rFonts w:eastAsia="Calibri"/>
              </w:rPr>
            </w:pPr>
            <w:r w:rsidRPr="008005CA">
              <w:rPr>
                <w:rFonts w:eastAsia="Calibri"/>
              </w:rPr>
              <w:t>Date</w:t>
            </w:r>
          </w:p>
        </w:tc>
      </w:tr>
      <w:tr w:rsidR="00A23C58" w:rsidRPr="004D275D" w14:paraId="0C88E867" w14:textId="77777777" w:rsidTr="000E3A2F">
        <w:trPr>
          <w:trHeight w:val="324"/>
          <w:jc w:val="center"/>
        </w:trPr>
        <w:tc>
          <w:tcPr>
            <w:tcW w:w="3235" w:type="dxa"/>
            <w:shd w:val="clear" w:color="auto" w:fill="auto"/>
          </w:tcPr>
          <w:p w14:paraId="0EDFF404" w14:textId="77777777" w:rsidR="00A23C58" w:rsidRPr="008005CA" w:rsidRDefault="00A23C58" w:rsidP="000E3A2F">
            <w:pPr>
              <w:spacing w:line="240" w:lineRule="atLeast"/>
              <w:rPr>
                <w:rFonts w:eastAsia="Calibri"/>
              </w:rPr>
            </w:pPr>
          </w:p>
        </w:tc>
        <w:tc>
          <w:tcPr>
            <w:tcW w:w="1451" w:type="dxa"/>
            <w:shd w:val="clear" w:color="auto" w:fill="auto"/>
          </w:tcPr>
          <w:p w14:paraId="40A0E816" w14:textId="77777777" w:rsidR="00A23C58" w:rsidRPr="008005CA" w:rsidRDefault="00A23C58" w:rsidP="000E3A2F">
            <w:pPr>
              <w:spacing w:line="240" w:lineRule="atLeast"/>
              <w:rPr>
                <w:rFonts w:eastAsia="Calibri"/>
              </w:rPr>
            </w:pPr>
          </w:p>
        </w:tc>
        <w:tc>
          <w:tcPr>
            <w:tcW w:w="3229" w:type="dxa"/>
            <w:shd w:val="clear" w:color="auto" w:fill="auto"/>
          </w:tcPr>
          <w:p w14:paraId="77F47B64" w14:textId="77777777" w:rsidR="00A23C58" w:rsidRPr="008005CA" w:rsidRDefault="00A23C58" w:rsidP="000E3A2F">
            <w:pPr>
              <w:spacing w:line="240" w:lineRule="atLeast"/>
              <w:rPr>
                <w:rFonts w:eastAsia="Calibri"/>
              </w:rPr>
            </w:pPr>
          </w:p>
        </w:tc>
        <w:tc>
          <w:tcPr>
            <w:tcW w:w="1347" w:type="dxa"/>
            <w:shd w:val="clear" w:color="auto" w:fill="auto"/>
          </w:tcPr>
          <w:p w14:paraId="792E9EA4" w14:textId="77777777" w:rsidR="00A23C58" w:rsidRPr="008005CA" w:rsidRDefault="00A23C58" w:rsidP="000E3A2F">
            <w:pPr>
              <w:spacing w:line="240" w:lineRule="atLeast"/>
              <w:rPr>
                <w:rFonts w:eastAsia="Calibri"/>
              </w:rPr>
            </w:pPr>
          </w:p>
        </w:tc>
      </w:tr>
      <w:tr w:rsidR="00A23C58" w:rsidRPr="004D275D" w14:paraId="640B1C04" w14:textId="77777777" w:rsidTr="000E3A2F">
        <w:trPr>
          <w:trHeight w:val="310"/>
          <w:jc w:val="center"/>
        </w:trPr>
        <w:tc>
          <w:tcPr>
            <w:tcW w:w="3235" w:type="dxa"/>
            <w:shd w:val="clear" w:color="auto" w:fill="auto"/>
          </w:tcPr>
          <w:p w14:paraId="7B485D67" w14:textId="77777777" w:rsidR="00A23C58" w:rsidRPr="008005CA" w:rsidRDefault="00A23C58" w:rsidP="000E3A2F">
            <w:pPr>
              <w:spacing w:line="240" w:lineRule="atLeast"/>
              <w:rPr>
                <w:rFonts w:eastAsia="Calibri"/>
              </w:rPr>
            </w:pPr>
          </w:p>
        </w:tc>
        <w:tc>
          <w:tcPr>
            <w:tcW w:w="1451" w:type="dxa"/>
            <w:shd w:val="clear" w:color="auto" w:fill="auto"/>
          </w:tcPr>
          <w:p w14:paraId="22343C25" w14:textId="77777777" w:rsidR="00A23C58" w:rsidRPr="008005CA" w:rsidRDefault="00A23C58" w:rsidP="000E3A2F">
            <w:pPr>
              <w:spacing w:line="240" w:lineRule="atLeast"/>
              <w:rPr>
                <w:rFonts w:eastAsia="Calibri"/>
              </w:rPr>
            </w:pPr>
          </w:p>
        </w:tc>
        <w:tc>
          <w:tcPr>
            <w:tcW w:w="3229" w:type="dxa"/>
            <w:shd w:val="clear" w:color="auto" w:fill="auto"/>
          </w:tcPr>
          <w:p w14:paraId="48F41781" w14:textId="77777777" w:rsidR="00A23C58" w:rsidRPr="008005CA" w:rsidRDefault="00A23C58" w:rsidP="000E3A2F">
            <w:pPr>
              <w:spacing w:line="240" w:lineRule="atLeast"/>
              <w:rPr>
                <w:rFonts w:eastAsia="Calibri"/>
              </w:rPr>
            </w:pPr>
          </w:p>
        </w:tc>
        <w:tc>
          <w:tcPr>
            <w:tcW w:w="1347" w:type="dxa"/>
            <w:shd w:val="clear" w:color="auto" w:fill="auto"/>
          </w:tcPr>
          <w:p w14:paraId="57369551" w14:textId="77777777" w:rsidR="00A23C58" w:rsidRPr="008005CA" w:rsidRDefault="00A23C58" w:rsidP="000E3A2F">
            <w:pPr>
              <w:spacing w:line="240" w:lineRule="atLeast"/>
              <w:rPr>
                <w:rFonts w:eastAsia="Calibri"/>
              </w:rPr>
            </w:pPr>
          </w:p>
        </w:tc>
      </w:tr>
      <w:tr w:rsidR="00A23C58" w:rsidRPr="004D275D" w14:paraId="001D12C5" w14:textId="77777777" w:rsidTr="000E3A2F">
        <w:trPr>
          <w:trHeight w:val="324"/>
          <w:jc w:val="center"/>
        </w:trPr>
        <w:tc>
          <w:tcPr>
            <w:tcW w:w="3235" w:type="dxa"/>
            <w:shd w:val="clear" w:color="auto" w:fill="auto"/>
          </w:tcPr>
          <w:p w14:paraId="193EAC42" w14:textId="77777777" w:rsidR="00A23C58" w:rsidRPr="008005CA" w:rsidRDefault="00A23C58" w:rsidP="000E3A2F">
            <w:pPr>
              <w:spacing w:line="240" w:lineRule="atLeast"/>
              <w:rPr>
                <w:rFonts w:eastAsia="Calibri"/>
              </w:rPr>
            </w:pPr>
          </w:p>
        </w:tc>
        <w:tc>
          <w:tcPr>
            <w:tcW w:w="1451" w:type="dxa"/>
            <w:shd w:val="clear" w:color="auto" w:fill="auto"/>
          </w:tcPr>
          <w:p w14:paraId="14631B8C" w14:textId="77777777" w:rsidR="00A23C58" w:rsidRPr="008005CA" w:rsidRDefault="00A23C58" w:rsidP="000E3A2F">
            <w:pPr>
              <w:spacing w:line="240" w:lineRule="atLeast"/>
              <w:rPr>
                <w:rFonts w:eastAsia="Calibri"/>
              </w:rPr>
            </w:pPr>
          </w:p>
        </w:tc>
        <w:tc>
          <w:tcPr>
            <w:tcW w:w="3229" w:type="dxa"/>
            <w:shd w:val="clear" w:color="auto" w:fill="auto"/>
          </w:tcPr>
          <w:p w14:paraId="39248CD9" w14:textId="77777777" w:rsidR="00A23C58" w:rsidRPr="008005CA" w:rsidRDefault="00A23C58" w:rsidP="000E3A2F">
            <w:pPr>
              <w:spacing w:line="240" w:lineRule="atLeast"/>
              <w:rPr>
                <w:rFonts w:eastAsia="Calibri"/>
              </w:rPr>
            </w:pPr>
          </w:p>
        </w:tc>
        <w:tc>
          <w:tcPr>
            <w:tcW w:w="1347" w:type="dxa"/>
            <w:shd w:val="clear" w:color="auto" w:fill="auto"/>
          </w:tcPr>
          <w:p w14:paraId="4A3C2325" w14:textId="77777777" w:rsidR="00A23C58" w:rsidRPr="008005CA" w:rsidRDefault="00A23C58" w:rsidP="000E3A2F">
            <w:pPr>
              <w:spacing w:line="240" w:lineRule="atLeast"/>
              <w:rPr>
                <w:rFonts w:eastAsia="Calibri"/>
              </w:rPr>
            </w:pPr>
          </w:p>
        </w:tc>
      </w:tr>
      <w:tr w:rsidR="00A23C58" w:rsidRPr="004D275D" w14:paraId="24183D8D" w14:textId="77777777" w:rsidTr="000E3A2F">
        <w:trPr>
          <w:trHeight w:val="324"/>
          <w:jc w:val="center"/>
        </w:trPr>
        <w:tc>
          <w:tcPr>
            <w:tcW w:w="3235" w:type="dxa"/>
            <w:shd w:val="clear" w:color="auto" w:fill="auto"/>
          </w:tcPr>
          <w:p w14:paraId="7665B840" w14:textId="77777777" w:rsidR="00A23C58" w:rsidRPr="008005CA" w:rsidRDefault="00A23C58" w:rsidP="000E3A2F">
            <w:pPr>
              <w:spacing w:line="240" w:lineRule="atLeast"/>
              <w:rPr>
                <w:rFonts w:eastAsia="Calibri"/>
              </w:rPr>
            </w:pPr>
          </w:p>
        </w:tc>
        <w:tc>
          <w:tcPr>
            <w:tcW w:w="1451" w:type="dxa"/>
            <w:shd w:val="clear" w:color="auto" w:fill="auto"/>
          </w:tcPr>
          <w:p w14:paraId="375A614B" w14:textId="77777777" w:rsidR="00A23C58" w:rsidRPr="008005CA" w:rsidRDefault="00A23C58" w:rsidP="000E3A2F">
            <w:pPr>
              <w:spacing w:line="240" w:lineRule="atLeast"/>
              <w:rPr>
                <w:rFonts w:eastAsia="Calibri"/>
              </w:rPr>
            </w:pPr>
          </w:p>
        </w:tc>
        <w:tc>
          <w:tcPr>
            <w:tcW w:w="3229" w:type="dxa"/>
            <w:shd w:val="clear" w:color="auto" w:fill="auto"/>
          </w:tcPr>
          <w:p w14:paraId="21534DA5" w14:textId="77777777" w:rsidR="00A23C58" w:rsidRPr="008005CA" w:rsidRDefault="00A23C58" w:rsidP="000E3A2F">
            <w:pPr>
              <w:spacing w:line="240" w:lineRule="atLeast"/>
              <w:rPr>
                <w:rFonts w:eastAsia="Calibri"/>
              </w:rPr>
            </w:pPr>
          </w:p>
        </w:tc>
        <w:tc>
          <w:tcPr>
            <w:tcW w:w="1347" w:type="dxa"/>
            <w:shd w:val="clear" w:color="auto" w:fill="auto"/>
          </w:tcPr>
          <w:p w14:paraId="13D66CCA" w14:textId="77777777" w:rsidR="00A23C58" w:rsidRPr="008005CA" w:rsidRDefault="00A23C58" w:rsidP="000E3A2F">
            <w:pPr>
              <w:spacing w:line="240" w:lineRule="atLeast"/>
              <w:rPr>
                <w:rFonts w:eastAsia="Calibri"/>
              </w:rPr>
            </w:pPr>
          </w:p>
        </w:tc>
      </w:tr>
      <w:tr w:rsidR="00A23C58" w:rsidRPr="004D275D" w14:paraId="2674C5D3" w14:textId="77777777" w:rsidTr="000E3A2F">
        <w:trPr>
          <w:trHeight w:val="324"/>
          <w:jc w:val="center"/>
        </w:trPr>
        <w:tc>
          <w:tcPr>
            <w:tcW w:w="3235" w:type="dxa"/>
            <w:shd w:val="clear" w:color="auto" w:fill="auto"/>
          </w:tcPr>
          <w:p w14:paraId="50FE1E97" w14:textId="77777777" w:rsidR="00A23C58" w:rsidRPr="008005CA" w:rsidRDefault="00A23C58" w:rsidP="000E3A2F">
            <w:pPr>
              <w:spacing w:line="240" w:lineRule="atLeast"/>
              <w:rPr>
                <w:rFonts w:eastAsia="Calibri"/>
              </w:rPr>
            </w:pPr>
          </w:p>
        </w:tc>
        <w:tc>
          <w:tcPr>
            <w:tcW w:w="1451" w:type="dxa"/>
            <w:shd w:val="clear" w:color="auto" w:fill="auto"/>
          </w:tcPr>
          <w:p w14:paraId="3FE874ED" w14:textId="77777777" w:rsidR="00A23C58" w:rsidRPr="008005CA" w:rsidRDefault="00A23C58" w:rsidP="000E3A2F">
            <w:pPr>
              <w:spacing w:line="240" w:lineRule="atLeast"/>
              <w:rPr>
                <w:rFonts w:eastAsia="Calibri"/>
              </w:rPr>
            </w:pPr>
          </w:p>
        </w:tc>
        <w:tc>
          <w:tcPr>
            <w:tcW w:w="3229" w:type="dxa"/>
            <w:shd w:val="clear" w:color="auto" w:fill="auto"/>
          </w:tcPr>
          <w:p w14:paraId="53DA7B6B" w14:textId="77777777" w:rsidR="00A23C58" w:rsidRPr="008005CA" w:rsidRDefault="00A23C58" w:rsidP="000E3A2F">
            <w:pPr>
              <w:spacing w:line="240" w:lineRule="atLeast"/>
              <w:rPr>
                <w:rFonts w:eastAsia="Calibri"/>
              </w:rPr>
            </w:pPr>
          </w:p>
        </w:tc>
        <w:tc>
          <w:tcPr>
            <w:tcW w:w="1347" w:type="dxa"/>
            <w:shd w:val="clear" w:color="auto" w:fill="auto"/>
          </w:tcPr>
          <w:p w14:paraId="7FBD911B" w14:textId="77777777" w:rsidR="00A23C58" w:rsidRPr="008005CA" w:rsidRDefault="00A23C58" w:rsidP="000E3A2F">
            <w:pPr>
              <w:spacing w:line="240" w:lineRule="atLeast"/>
              <w:rPr>
                <w:rFonts w:eastAsia="Calibri"/>
              </w:rPr>
            </w:pPr>
          </w:p>
        </w:tc>
      </w:tr>
      <w:tr w:rsidR="00A23C58" w:rsidRPr="004D275D" w14:paraId="1BE6B078" w14:textId="77777777" w:rsidTr="000E3A2F">
        <w:trPr>
          <w:trHeight w:val="324"/>
          <w:jc w:val="center"/>
        </w:trPr>
        <w:tc>
          <w:tcPr>
            <w:tcW w:w="3235" w:type="dxa"/>
            <w:shd w:val="clear" w:color="auto" w:fill="auto"/>
          </w:tcPr>
          <w:p w14:paraId="68D603CB" w14:textId="77777777" w:rsidR="00A23C58" w:rsidRPr="008005CA" w:rsidRDefault="00A23C58" w:rsidP="000E3A2F">
            <w:pPr>
              <w:spacing w:line="240" w:lineRule="atLeast"/>
              <w:rPr>
                <w:rFonts w:eastAsia="Calibri"/>
              </w:rPr>
            </w:pPr>
          </w:p>
        </w:tc>
        <w:tc>
          <w:tcPr>
            <w:tcW w:w="1451" w:type="dxa"/>
            <w:shd w:val="clear" w:color="auto" w:fill="auto"/>
          </w:tcPr>
          <w:p w14:paraId="755C8245" w14:textId="77777777" w:rsidR="00A23C58" w:rsidRPr="008005CA" w:rsidRDefault="00A23C58" w:rsidP="000E3A2F">
            <w:pPr>
              <w:spacing w:line="240" w:lineRule="atLeast"/>
              <w:rPr>
                <w:rFonts w:eastAsia="Calibri"/>
              </w:rPr>
            </w:pPr>
          </w:p>
        </w:tc>
        <w:tc>
          <w:tcPr>
            <w:tcW w:w="3229" w:type="dxa"/>
            <w:shd w:val="clear" w:color="auto" w:fill="auto"/>
          </w:tcPr>
          <w:p w14:paraId="78FE971C" w14:textId="77777777" w:rsidR="00A23C58" w:rsidRPr="008005CA" w:rsidRDefault="00A23C58" w:rsidP="000E3A2F">
            <w:pPr>
              <w:spacing w:line="240" w:lineRule="atLeast"/>
              <w:rPr>
                <w:rFonts w:eastAsia="Calibri"/>
              </w:rPr>
            </w:pPr>
          </w:p>
        </w:tc>
        <w:tc>
          <w:tcPr>
            <w:tcW w:w="1347" w:type="dxa"/>
            <w:shd w:val="clear" w:color="auto" w:fill="auto"/>
          </w:tcPr>
          <w:p w14:paraId="59F80BB9" w14:textId="77777777" w:rsidR="00A23C58" w:rsidRPr="008005CA" w:rsidRDefault="00A23C58" w:rsidP="000E3A2F">
            <w:pPr>
              <w:spacing w:line="240" w:lineRule="atLeast"/>
              <w:rPr>
                <w:rFonts w:eastAsia="Calibri"/>
              </w:rPr>
            </w:pPr>
          </w:p>
        </w:tc>
      </w:tr>
      <w:tr w:rsidR="00A23C58" w:rsidRPr="004D275D" w14:paraId="15AE8006" w14:textId="77777777" w:rsidTr="000E3A2F">
        <w:trPr>
          <w:trHeight w:val="324"/>
          <w:jc w:val="center"/>
        </w:trPr>
        <w:tc>
          <w:tcPr>
            <w:tcW w:w="3235" w:type="dxa"/>
            <w:shd w:val="clear" w:color="auto" w:fill="auto"/>
          </w:tcPr>
          <w:p w14:paraId="7C0CB386" w14:textId="77777777" w:rsidR="00A23C58" w:rsidRPr="008005CA" w:rsidRDefault="00A23C58" w:rsidP="000E3A2F">
            <w:pPr>
              <w:spacing w:line="240" w:lineRule="atLeast"/>
              <w:rPr>
                <w:rFonts w:eastAsia="Calibri"/>
              </w:rPr>
            </w:pPr>
          </w:p>
        </w:tc>
        <w:tc>
          <w:tcPr>
            <w:tcW w:w="1451" w:type="dxa"/>
            <w:shd w:val="clear" w:color="auto" w:fill="auto"/>
          </w:tcPr>
          <w:p w14:paraId="0E5003E9" w14:textId="77777777" w:rsidR="00A23C58" w:rsidRPr="008005CA" w:rsidRDefault="00A23C58" w:rsidP="000E3A2F">
            <w:pPr>
              <w:spacing w:line="240" w:lineRule="atLeast"/>
              <w:rPr>
                <w:rFonts w:eastAsia="Calibri"/>
              </w:rPr>
            </w:pPr>
          </w:p>
        </w:tc>
        <w:tc>
          <w:tcPr>
            <w:tcW w:w="3229" w:type="dxa"/>
            <w:shd w:val="clear" w:color="auto" w:fill="auto"/>
          </w:tcPr>
          <w:p w14:paraId="2EB2A83C" w14:textId="77777777" w:rsidR="00A23C58" w:rsidRPr="008005CA" w:rsidRDefault="00A23C58" w:rsidP="000E3A2F">
            <w:pPr>
              <w:spacing w:line="240" w:lineRule="atLeast"/>
              <w:rPr>
                <w:rFonts w:eastAsia="Calibri"/>
              </w:rPr>
            </w:pPr>
          </w:p>
        </w:tc>
        <w:tc>
          <w:tcPr>
            <w:tcW w:w="1347" w:type="dxa"/>
            <w:shd w:val="clear" w:color="auto" w:fill="auto"/>
          </w:tcPr>
          <w:p w14:paraId="16ECCE2E" w14:textId="77777777" w:rsidR="00A23C58" w:rsidRPr="008005CA" w:rsidRDefault="00A23C58" w:rsidP="000E3A2F">
            <w:pPr>
              <w:spacing w:line="240" w:lineRule="atLeast"/>
              <w:rPr>
                <w:rFonts w:eastAsia="Calibri"/>
              </w:rPr>
            </w:pPr>
          </w:p>
        </w:tc>
      </w:tr>
      <w:tr w:rsidR="00A23C58" w:rsidRPr="004D275D" w14:paraId="6C756B2C" w14:textId="77777777" w:rsidTr="000E3A2F">
        <w:trPr>
          <w:trHeight w:val="310"/>
          <w:jc w:val="center"/>
        </w:trPr>
        <w:tc>
          <w:tcPr>
            <w:tcW w:w="3235" w:type="dxa"/>
            <w:shd w:val="clear" w:color="auto" w:fill="auto"/>
          </w:tcPr>
          <w:p w14:paraId="62721A54" w14:textId="77777777" w:rsidR="00A23C58" w:rsidRPr="008005CA" w:rsidRDefault="00A23C58" w:rsidP="000E3A2F">
            <w:pPr>
              <w:spacing w:line="240" w:lineRule="atLeast"/>
              <w:rPr>
                <w:rFonts w:eastAsia="Calibri"/>
              </w:rPr>
            </w:pPr>
          </w:p>
        </w:tc>
        <w:tc>
          <w:tcPr>
            <w:tcW w:w="1451" w:type="dxa"/>
            <w:shd w:val="clear" w:color="auto" w:fill="auto"/>
          </w:tcPr>
          <w:p w14:paraId="4E68F28A" w14:textId="77777777" w:rsidR="00A23C58" w:rsidRPr="008005CA" w:rsidRDefault="00A23C58" w:rsidP="000E3A2F">
            <w:pPr>
              <w:spacing w:line="240" w:lineRule="atLeast"/>
              <w:rPr>
                <w:rFonts w:eastAsia="Calibri"/>
              </w:rPr>
            </w:pPr>
          </w:p>
        </w:tc>
        <w:tc>
          <w:tcPr>
            <w:tcW w:w="3229" w:type="dxa"/>
            <w:shd w:val="clear" w:color="auto" w:fill="auto"/>
          </w:tcPr>
          <w:p w14:paraId="2B2D72CC" w14:textId="77777777" w:rsidR="00A23C58" w:rsidRPr="008005CA" w:rsidRDefault="00A23C58" w:rsidP="000E3A2F">
            <w:pPr>
              <w:spacing w:line="240" w:lineRule="atLeast"/>
              <w:rPr>
                <w:rFonts w:eastAsia="Calibri"/>
              </w:rPr>
            </w:pPr>
          </w:p>
        </w:tc>
        <w:tc>
          <w:tcPr>
            <w:tcW w:w="1347" w:type="dxa"/>
            <w:shd w:val="clear" w:color="auto" w:fill="auto"/>
          </w:tcPr>
          <w:p w14:paraId="0999CDB6" w14:textId="77777777" w:rsidR="00A23C58" w:rsidRPr="008005CA" w:rsidRDefault="00A23C58" w:rsidP="000E3A2F">
            <w:pPr>
              <w:spacing w:line="240" w:lineRule="atLeast"/>
              <w:rPr>
                <w:rFonts w:eastAsia="Calibri"/>
              </w:rPr>
            </w:pPr>
          </w:p>
        </w:tc>
      </w:tr>
      <w:tr w:rsidR="00A23C58" w:rsidRPr="004D275D" w14:paraId="73958614" w14:textId="77777777" w:rsidTr="000E3A2F">
        <w:trPr>
          <w:trHeight w:val="324"/>
          <w:jc w:val="center"/>
        </w:trPr>
        <w:tc>
          <w:tcPr>
            <w:tcW w:w="3235" w:type="dxa"/>
            <w:shd w:val="clear" w:color="auto" w:fill="auto"/>
          </w:tcPr>
          <w:p w14:paraId="6F9D6FB1" w14:textId="77777777" w:rsidR="00A23C58" w:rsidRPr="008005CA" w:rsidRDefault="00A23C58" w:rsidP="000E3A2F">
            <w:pPr>
              <w:spacing w:line="240" w:lineRule="atLeast"/>
              <w:rPr>
                <w:rFonts w:eastAsia="Calibri"/>
              </w:rPr>
            </w:pPr>
          </w:p>
        </w:tc>
        <w:tc>
          <w:tcPr>
            <w:tcW w:w="1451" w:type="dxa"/>
            <w:shd w:val="clear" w:color="auto" w:fill="auto"/>
          </w:tcPr>
          <w:p w14:paraId="05D2CB1F" w14:textId="77777777" w:rsidR="00A23C58" w:rsidRPr="008005CA" w:rsidRDefault="00A23C58" w:rsidP="000E3A2F">
            <w:pPr>
              <w:spacing w:line="240" w:lineRule="atLeast"/>
              <w:rPr>
                <w:rFonts w:eastAsia="Calibri"/>
              </w:rPr>
            </w:pPr>
          </w:p>
        </w:tc>
        <w:tc>
          <w:tcPr>
            <w:tcW w:w="3229" w:type="dxa"/>
            <w:shd w:val="clear" w:color="auto" w:fill="auto"/>
          </w:tcPr>
          <w:p w14:paraId="02C71472" w14:textId="77777777" w:rsidR="00A23C58" w:rsidRPr="008005CA" w:rsidRDefault="00A23C58" w:rsidP="000E3A2F">
            <w:pPr>
              <w:spacing w:line="240" w:lineRule="atLeast"/>
              <w:rPr>
                <w:rFonts w:eastAsia="Calibri"/>
              </w:rPr>
            </w:pPr>
          </w:p>
        </w:tc>
        <w:tc>
          <w:tcPr>
            <w:tcW w:w="1347" w:type="dxa"/>
            <w:shd w:val="clear" w:color="auto" w:fill="auto"/>
          </w:tcPr>
          <w:p w14:paraId="2A680506" w14:textId="77777777" w:rsidR="00A23C58" w:rsidRPr="008005CA" w:rsidRDefault="00A23C58" w:rsidP="000E3A2F">
            <w:pPr>
              <w:spacing w:line="240" w:lineRule="atLeast"/>
              <w:rPr>
                <w:rFonts w:eastAsia="Calibri"/>
              </w:rPr>
            </w:pPr>
          </w:p>
        </w:tc>
      </w:tr>
      <w:tr w:rsidR="00A23C58" w:rsidRPr="004D275D" w14:paraId="379B1085" w14:textId="77777777" w:rsidTr="000E3A2F">
        <w:trPr>
          <w:trHeight w:val="324"/>
          <w:jc w:val="center"/>
        </w:trPr>
        <w:tc>
          <w:tcPr>
            <w:tcW w:w="3235" w:type="dxa"/>
            <w:shd w:val="clear" w:color="auto" w:fill="auto"/>
          </w:tcPr>
          <w:p w14:paraId="4A45A85F" w14:textId="77777777" w:rsidR="00A23C58" w:rsidRPr="008005CA" w:rsidRDefault="00A23C58" w:rsidP="000E3A2F">
            <w:pPr>
              <w:spacing w:line="240" w:lineRule="atLeast"/>
              <w:rPr>
                <w:rFonts w:eastAsia="Calibri"/>
              </w:rPr>
            </w:pPr>
          </w:p>
        </w:tc>
        <w:tc>
          <w:tcPr>
            <w:tcW w:w="1451" w:type="dxa"/>
            <w:shd w:val="clear" w:color="auto" w:fill="auto"/>
          </w:tcPr>
          <w:p w14:paraId="6D592F22" w14:textId="77777777" w:rsidR="00A23C58" w:rsidRPr="008005CA" w:rsidRDefault="00A23C58" w:rsidP="000E3A2F">
            <w:pPr>
              <w:spacing w:line="240" w:lineRule="atLeast"/>
              <w:rPr>
                <w:rFonts w:eastAsia="Calibri"/>
              </w:rPr>
            </w:pPr>
          </w:p>
        </w:tc>
        <w:tc>
          <w:tcPr>
            <w:tcW w:w="3229" w:type="dxa"/>
            <w:shd w:val="clear" w:color="auto" w:fill="auto"/>
          </w:tcPr>
          <w:p w14:paraId="11721767" w14:textId="77777777" w:rsidR="00A23C58" w:rsidRPr="008005CA" w:rsidRDefault="00A23C58" w:rsidP="000E3A2F">
            <w:pPr>
              <w:spacing w:line="240" w:lineRule="atLeast"/>
              <w:rPr>
                <w:rFonts w:eastAsia="Calibri"/>
              </w:rPr>
            </w:pPr>
          </w:p>
        </w:tc>
        <w:tc>
          <w:tcPr>
            <w:tcW w:w="1347" w:type="dxa"/>
            <w:shd w:val="clear" w:color="auto" w:fill="auto"/>
          </w:tcPr>
          <w:p w14:paraId="60F87B32" w14:textId="77777777" w:rsidR="00A23C58" w:rsidRPr="008005CA" w:rsidRDefault="00A23C58" w:rsidP="000E3A2F">
            <w:pPr>
              <w:spacing w:line="240" w:lineRule="atLeast"/>
              <w:rPr>
                <w:rFonts w:eastAsia="Calibri"/>
              </w:rPr>
            </w:pPr>
          </w:p>
        </w:tc>
      </w:tr>
      <w:tr w:rsidR="00A23C58" w:rsidRPr="004D275D" w14:paraId="1F6F5E33" w14:textId="77777777" w:rsidTr="000E3A2F">
        <w:trPr>
          <w:trHeight w:val="324"/>
          <w:jc w:val="center"/>
        </w:trPr>
        <w:tc>
          <w:tcPr>
            <w:tcW w:w="3235" w:type="dxa"/>
            <w:shd w:val="clear" w:color="auto" w:fill="auto"/>
          </w:tcPr>
          <w:p w14:paraId="52D5929C" w14:textId="77777777" w:rsidR="00A23C58" w:rsidRPr="008005CA" w:rsidRDefault="00A23C58" w:rsidP="000E3A2F">
            <w:pPr>
              <w:spacing w:line="240" w:lineRule="atLeast"/>
              <w:rPr>
                <w:rFonts w:eastAsia="Calibri"/>
              </w:rPr>
            </w:pPr>
          </w:p>
        </w:tc>
        <w:tc>
          <w:tcPr>
            <w:tcW w:w="1451" w:type="dxa"/>
            <w:shd w:val="clear" w:color="auto" w:fill="auto"/>
          </w:tcPr>
          <w:p w14:paraId="666651C5" w14:textId="77777777" w:rsidR="00A23C58" w:rsidRPr="008005CA" w:rsidRDefault="00A23C58" w:rsidP="000E3A2F">
            <w:pPr>
              <w:spacing w:line="240" w:lineRule="atLeast"/>
              <w:rPr>
                <w:rFonts w:eastAsia="Calibri"/>
              </w:rPr>
            </w:pPr>
          </w:p>
        </w:tc>
        <w:tc>
          <w:tcPr>
            <w:tcW w:w="3229" w:type="dxa"/>
            <w:shd w:val="clear" w:color="auto" w:fill="auto"/>
          </w:tcPr>
          <w:p w14:paraId="7E5BF05E" w14:textId="77777777" w:rsidR="00A23C58" w:rsidRPr="008005CA" w:rsidRDefault="00A23C58" w:rsidP="000E3A2F">
            <w:pPr>
              <w:spacing w:line="240" w:lineRule="atLeast"/>
              <w:rPr>
                <w:rFonts w:eastAsia="Calibri"/>
              </w:rPr>
            </w:pPr>
          </w:p>
        </w:tc>
        <w:tc>
          <w:tcPr>
            <w:tcW w:w="1347" w:type="dxa"/>
            <w:shd w:val="clear" w:color="auto" w:fill="auto"/>
          </w:tcPr>
          <w:p w14:paraId="28214561" w14:textId="77777777" w:rsidR="00A23C58" w:rsidRPr="008005CA" w:rsidRDefault="00A23C58" w:rsidP="000E3A2F">
            <w:pPr>
              <w:spacing w:line="240" w:lineRule="atLeast"/>
              <w:rPr>
                <w:rFonts w:eastAsia="Calibri"/>
              </w:rPr>
            </w:pPr>
          </w:p>
        </w:tc>
      </w:tr>
    </w:tbl>
    <w:p w14:paraId="0E7D9AB4" w14:textId="77777777" w:rsidR="00A23C58" w:rsidRPr="004D275D" w:rsidRDefault="00A23C58" w:rsidP="00A23C58">
      <w:pPr>
        <w:spacing w:line="240" w:lineRule="atLeast"/>
      </w:pPr>
    </w:p>
    <w:p w14:paraId="03A4AC82" w14:textId="77777777" w:rsidR="00A23C58" w:rsidRPr="004D275D" w:rsidRDefault="00A23C58" w:rsidP="00A23C58">
      <w:pPr>
        <w:spacing w:line="240" w:lineRule="atLeast"/>
      </w:pPr>
      <w:r w:rsidRPr="004D275D">
        <w:t>Revisions: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500"/>
      </w:tblGrid>
      <w:tr w:rsidR="00A23C58" w:rsidRPr="004D275D" w14:paraId="35BCCAD7" w14:textId="77777777" w:rsidTr="000E3A2F">
        <w:trPr>
          <w:trHeight w:val="366"/>
          <w:jc w:val="center"/>
        </w:trPr>
        <w:tc>
          <w:tcPr>
            <w:tcW w:w="4499" w:type="dxa"/>
            <w:shd w:val="clear" w:color="auto" w:fill="auto"/>
          </w:tcPr>
          <w:p w14:paraId="5F7AA4C8" w14:textId="77777777" w:rsidR="00A23C58" w:rsidRPr="008005CA" w:rsidRDefault="00A23C58" w:rsidP="000E3A2F">
            <w:pPr>
              <w:spacing w:line="240" w:lineRule="atLeast"/>
              <w:jc w:val="center"/>
              <w:rPr>
                <w:rFonts w:eastAsia="Calibri"/>
              </w:rPr>
            </w:pPr>
          </w:p>
        </w:tc>
        <w:tc>
          <w:tcPr>
            <w:tcW w:w="4500" w:type="dxa"/>
            <w:shd w:val="clear" w:color="auto" w:fill="auto"/>
          </w:tcPr>
          <w:p w14:paraId="7F107747" w14:textId="77777777" w:rsidR="00A23C58" w:rsidRPr="008005CA" w:rsidRDefault="00A23C58" w:rsidP="000E3A2F">
            <w:pPr>
              <w:spacing w:line="240" w:lineRule="atLeast"/>
              <w:rPr>
                <w:rFonts w:eastAsia="Calibri"/>
              </w:rPr>
            </w:pPr>
          </w:p>
        </w:tc>
      </w:tr>
      <w:tr w:rsidR="00A23C58" w:rsidRPr="004D275D" w14:paraId="169E5BD2" w14:textId="77777777" w:rsidTr="000E3A2F">
        <w:trPr>
          <w:trHeight w:val="366"/>
          <w:jc w:val="center"/>
        </w:trPr>
        <w:tc>
          <w:tcPr>
            <w:tcW w:w="4499" w:type="dxa"/>
            <w:shd w:val="clear" w:color="auto" w:fill="auto"/>
          </w:tcPr>
          <w:p w14:paraId="26BE7140" w14:textId="77777777" w:rsidR="00A23C58" w:rsidRPr="008005CA" w:rsidRDefault="00A23C58" w:rsidP="000E3A2F">
            <w:pPr>
              <w:spacing w:line="240" w:lineRule="atLeast"/>
              <w:rPr>
                <w:rFonts w:eastAsia="Calibri"/>
              </w:rPr>
            </w:pPr>
          </w:p>
        </w:tc>
        <w:tc>
          <w:tcPr>
            <w:tcW w:w="4500" w:type="dxa"/>
            <w:shd w:val="clear" w:color="auto" w:fill="auto"/>
          </w:tcPr>
          <w:p w14:paraId="730B613D" w14:textId="77777777" w:rsidR="00A23C58" w:rsidRPr="008005CA" w:rsidRDefault="00A23C58" w:rsidP="000E3A2F">
            <w:pPr>
              <w:spacing w:line="240" w:lineRule="atLeast"/>
              <w:rPr>
                <w:rFonts w:eastAsia="Calibri"/>
              </w:rPr>
            </w:pPr>
          </w:p>
        </w:tc>
      </w:tr>
      <w:tr w:rsidR="00A23C58" w:rsidRPr="004D275D" w14:paraId="1934054E" w14:textId="77777777" w:rsidTr="000E3A2F">
        <w:trPr>
          <w:trHeight w:val="350"/>
          <w:jc w:val="center"/>
        </w:trPr>
        <w:tc>
          <w:tcPr>
            <w:tcW w:w="4499" w:type="dxa"/>
            <w:shd w:val="clear" w:color="auto" w:fill="auto"/>
          </w:tcPr>
          <w:p w14:paraId="5435481A" w14:textId="77777777" w:rsidR="00A23C58" w:rsidRPr="008005CA" w:rsidRDefault="00A23C58" w:rsidP="000E3A2F">
            <w:pPr>
              <w:spacing w:line="240" w:lineRule="atLeast"/>
              <w:rPr>
                <w:rFonts w:eastAsia="Calibri"/>
              </w:rPr>
            </w:pPr>
          </w:p>
        </w:tc>
        <w:tc>
          <w:tcPr>
            <w:tcW w:w="4500" w:type="dxa"/>
            <w:shd w:val="clear" w:color="auto" w:fill="auto"/>
          </w:tcPr>
          <w:p w14:paraId="1B1BEBDC" w14:textId="77777777" w:rsidR="00A23C58" w:rsidRPr="008005CA" w:rsidRDefault="00A23C58" w:rsidP="000E3A2F">
            <w:pPr>
              <w:spacing w:line="240" w:lineRule="atLeast"/>
              <w:rPr>
                <w:rFonts w:eastAsia="Calibri"/>
              </w:rPr>
            </w:pPr>
          </w:p>
        </w:tc>
      </w:tr>
      <w:tr w:rsidR="00A23C58" w:rsidRPr="004D275D" w14:paraId="761DD1E0" w14:textId="77777777" w:rsidTr="000E3A2F">
        <w:trPr>
          <w:trHeight w:val="366"/>
          <w:jc w:val="center"/>
        </w:trPr>
        <w:tc>
          <w:tcPr>
            <w:tcW w:w="4499" w:type="dxa"/>
            <w:shd w:val="clear" w:color="auto" w:fill="auto"/>
          </w:tcPr>
          <w:p w14:paraId="7BBC4584" w14:textId="77777777" w:rsidR="00A23C58" w:rsidRPr="008005CA" w:rsidRDefault="00A23C58" w:rsidP="000E3A2F">
            <w:pPr>
              <w:spacing w:line="240" w:lineRule="atLeast"/>
              <w:rPr>
                <w:rFonts w:eastAsia="Calibri"/>
              </w:rPr>
            </w:pPr>
          </w:p>
        </w:tc>
        <w:tc>
          <w:tcPr>
            <w:tcW w:w="4500" w:type="dxa"/>
            <w:shd w:val="clear" w:color="auto" w:fill="auto"/>
          </w:tcPr>
          <w:p w14:paraId="00C3E466" w14:textId="77777777" w:rsidR="00A23C58" w:rsidRPr="008005CA" w:rsidRDefault="00A23C58" w:rsidP="000E3A2F">
            <w:pPr>
              <w:spacing w:line="240" w:lineRule="atLeast"/>
              <w:rPr>
                <w:rFonts w:eastAsia="Calibri"/>
              </w:rPr>
            </w:pPr>
          </w:p>
        </w:tc>
      </w:tr>
      <w:tr w:rsidR="00A23C58" w:rsidRPr="004D275D" w14:paraId="6CDCDE10" w14:textId="77777777" w:rsidTr="000E3A2F">
        <w:trPr>
          <w:trHeight w:val="366"/>
          <w:jc w:val="center"/>
        </w:trPr>
        <w:tc>
          <w:tcPr>
            <w:tcW w:w="4499" w:type="dxa"/>
            <w:shd w:val="clear" w:color="auto" w:fill="auto"/>
          </w:tcPr>
          <w:p w14:paraId="710980C0" w14:textId="77777777" w:rsidR="00A23C58" w:rsidRPr="008005CA" w:rsidRDefault="00A23C58" w:rsidP="000E3A2F">
            <w:pPr>
              <w:spacing w:line="240" w:lineRule="atLeast"/>
              <w:rPr>
                <w:rFonts w:eastAsia="Calibri"/>
              </w:rPr>
            </w:pPr>
          </w:p>
        </w:tc>
        <w:tc>
          <w:tcPr>
            <w:tcW w:w="4500" w:type="dxa"/>
            <w:shd w:val="clear" w:color="auto" w:fill="auto"/>
          </w:tcPr>
          <w:p w14:paraId="149D2D3B" w14:textId="77777777" w:rsidR="00A23C58" w:rsidRPr="008005CA" w:rsidRDefault="00A23C58" w:rsidP="000E3A2F">
            <w:pPr>
              <w:spacing w:line="240" w:lineRule="atLeast"/>
              <w:rPr>
                <w:rFonts w:eastAsia="Calibri"/>
              </w:rPr>
            </w:pPr>
          </w:p>
        </w:tc>
      </w:tr>
    </w:tbl>
    <w:p w14:paraId="703FFD67" w14:textId="77777777" w:rsidR="00A23C58" w:rsidRPr="004D275D" w:rsidRDefault="00A23C58" w:rsidP="00A23C58">
      <w:pPr>
        <w:spacing w:before="120" w:after="120" w:line="240" w:lineRule="atLeast"/>
      </w:pPr>
    </w:p>
    <w:p w14:paraId="61E94057" w14:textId="77777777" w:rsidR="00A23C58" w:rsidRPr="004D275D" w:rsidRDefault="00A23C58" w:rsidP="00A23C58">
      <w:pPr>
        <w:tabs>
          <w:tab w:val="left" w:pos="1440"/>
        </w:tabs>
        <w:spacing w:after="60" w:line="240" w:lineRule="atLeast"/>
        <w:ind w:left="720"/>
      </w:pPr>
    </w:p>
    <w:p w14:paraId="4C564769" w14:textId="77777777" w:rsidR="00A23C58" w:rsidRPr="004D275D" w:rsidRDefault="00A23C58" w:rsidP="00A23C58">
      <w:pPr>
        <w:tabs>
          <w:tab w:val="left" w:pos="1440"/>
        </w:tabs>
        <w:spacing w:after="60" w:line="240" w:lineRule="atLeast"/>
        <w:ind w:left="720"/>
      </w:pPr>
    </w:p>
    <w:p w14:paraId="24FE6003" w14:textId="77777777" w:rsidR="00A23C58" w:rsidRPr="004D275D" w:rsidRDefault="00A23C58" w:rsidP="00A23C58">
      <w:pPr>
        <w:tabs>
          <w:tab w:val="left" w:pos="1440"/>
        </w:tabs>
        <w:spacing w:after="60" w:line="240" w:lineRule="atLeast"/>
        <w:ind w:left="720"/>
      </w:pPr>
    </w:p>
    <w:p w14:paraId="4DB616E6" w14:textId="77777777" w:rsidR="00A23C58" w:rsidRPr="004D275D" w:rsidRDefault="00A23C58" w:rsidP="00A23C58">
      <w:pPr>
        <w:jc w:val="center"/>
      </w:pPr>
    </w:p>
    <w:p w14:paraId="5D995E27" w14:textId="77777777" w:rsidR="00A23C58" w:rsidRDefault="00A23C58" w:rsidP="00A23C58">
      <w:pPr>
        <w:jc w:val="center"/>
      </w:pPr>
      <w:r w:rsidRPr="004D275D">
        <w:t>Lifespan AMC-Department of Pathology</w:t>
      </w:r>
    </w:p>
    <w:p w14:paraId="5FBDEDE2" w14:textId="77777777" w:rsidR="00A23C58" w:rsidRPr="004D275D" w:rsidRDefault="00A23C58" w:rsidP="00A23C58">
      <w:pPr>
        <w:jc w:val="center"/>
      </w:pPr>
    </w:p>
    <w:p w14:paraId="145BF0A3" w14:textId="77777777" w:rsidR="00A23C58" w:rsidRPr="004D275D" w:rsidRDefault="00A23C58" w:rsidP="00A23C58">
      <w:pPr>
        <w:jc w:val="center"/>
      </w:pPr>
    </w:p>
    <w:p w14:paraId="262B6885" w14:textId="77777777" w:rsidR="00A23C58" w:rsidRPr="004D275D" w:rsidRDefault="00A23C58" w:rsidP="00A23C58">
      <w:pPr>
        <w:tabs>
          <w:tab w:val="center" w:pos="4320"/>
          <w:tab w:val="right" w:pos="8640"/>
        </w:tabs>
        <w:jc w:val="center"/>
      </w:pPr>
      <w:r w:rsidRPr="004D275D">
        <w:t>The Miriam Hospital ___</w:t>
      </w:r>
      <w:r w:rsidRPr="004D275D">
        <w:tab/>
      </w:r>
      <w:r w:rsidRPr="004D275D">
        <w:tab/>
        <w:t>___ Rhode Island Hospital</w:t>
      </w:r>
    </w:p>
    <w:p w14:paraId="6A557ED8" w14:textId="77777777" w:rsidR="00A23C58" w:rsidRPr="004D275D" w:rsidRDefault="00A23C58" w:rsidP="00A23C58">
      <w:pPr>
        <w:tabs>
          <w:tab w:val="center" w:pos="4320"/>
          <w:tab w:val="right" w:pos="8640"/>
        </w:tabs>
        <w:jc w:val="center"/>
      </w:pPr>
      <w:r w:rsidRPr="004D275D">
        <w:t>164 Summit Avenue</w:t>
      </w:r>
      <w:r w:rsidRPr="004D275D">
        <w:tab/>
      </w:r>
      <w:r w:rsidRPr="004D275D">
        <w:tab/>
        <w:t>593 Eddy Street</w:t>
      </w:r>
    </w:p>
    <w:p w14:paraId="6CF01E13" w14:textId="77777777" w:rsidR="00A23C58" w:rsidRPr="004D275D" w:rsidRDefault="00A23C58" w:rsidP="00A23C58">
      <w:pPr>
        <w:tabs>
          <w:tab w:val="center" w:pos="4320"/>
          <w:tab w:val="right" w:pos="8640"/>
        </w:tabs>
        <w:jc w:val="center"/>
      </w:pPr>
      <w:r w:rsidRPr="004D275D">
        <w:t>Providence, Rhode Island 02906</w:t>
      </w:r>
      <w:r w:rsidRPr="004D275D">
        <w:tab/>
      </w:r>
      <w:r w:rsidRPr="004D275D">
        <w:tab/>
        <w:t>Providence, Rhode Island 02903</w:t>
      </w:r>
    </w:p>
    <w:p w14:paraId="52BEB789" w14:textId="77777777" w:rsidR="00A23C58" w:rsidRDefault="00A23C58" w:rsidP="00A23C58">
      <w:pPr>
        <w:spacing w:after="120"/>
        <w:jc w:val="center"/>
        <w:rPr>
          <w:b/>
          <w:sz w:val="28"/>
        </w:rPr>
      </w:pPr>
    </w:p>
    <w:p w14:paraId="7993EDB0" w14:textId="77777777" w:rsidR="00A23C58" w:rsidRDefault="00A23C58" w:rsidP="00A23C58">
      <w:pPr>
        <w:spacing w:after="120"/>
        <w:jc w:val="center"/>
        <w:rPr>
          <w:b/>
          <w:sz w:val="28"/>
        </w:rPr>
      </w:pPr>
    </w:p>
    <w:p w14:paraId="3B1280DC" w14:textId="77777777" w:rsidR="00A23C58" w:rsidRDefault="00A23C58" w:rsidP="00A23C58">
      <w:pPr>
        <w:pStyle w:val="Heading1"/>
      </w:pPr>
      <w:r>
        <w:lastRenderedPageBreak/>
        <w:t>Principle</w:t>
      </w:r>
    </w:p>
    <w:p w14:paraId="4FE63E94" w14:textId="77777777" w:rsidR="00A23C58" w:rsidRPr="00DB5960" w:rsidRDefault="00A23C58" w:rsidP="00A23C58"/>
    <w:p w14:paraId="251AD1F9" w14:textId="552329B3" w:rsidR="00A23C58" w:rsidRPr="00F34CFB" w:rsidRDefault="00A23C58" w:rsidP="00F34CFB">
      <w:pPr>
        <w:rPr>
          <w:rFonts w:cs="Gotham"/>
          <w:color w:val="000000"/>
        </w:rPr>
      </w:pPr>
      <w:r>
        <w:rPr>
          <w:rFonts w:cs="Gotham"/>
          <w:color w:val="000000"/>
        </w:rPr>
        <w:t xml:space="preserve">The </w:t>
      </w:r>
      <w:r w:rsidRPr="00D153C9">
        <w:rPr>
          <w:rFonts w:cs="Gotham"/>
          <w:color w:val="000000"/>
        </w:rPr>
        <w:t xml:space="preserve">Advanced Instruments </w:t>
      </w:r>
      <w:r>
        <w:rPr>
          <w:rFonts w:cs="Gotham"/>
          <w:color w:val="000000"/>
        </w:rPr>
        <w:t xml:space="preserve">Osmo1 </w:t>
      </w:r>
      <w:r w:rsidRPr="00D153C9">
        <w:rPr>
          <w:rFonts w:cs="Gotham"/>
          <w:color w:val="000000"/>
        </w:rPr>
        <w:t>osmometer use</w:t>
      </w:r>
      <w:r w:rsidR="00F34CFB">
        <w:rPr>
          <w:rFonts w:cs="Gotham"/>
          <w:color w:val="000000"/>
        </w:rPr>
        <w:t>s</w:t>
      </w:r>
      <w:r w:rsidRPr="00D153C9">
        <w:rPr>
          <w:rFonts w:cs="Gotham"/>
          <w:color w:val="000000"/>
        </w:rPr>
        <w:t xml:space="preserve"> the </w:t>
      </w:r>
      <w:r w:rsidR="00951885" w:rsidRPr="00A36CE1">
        <w:rPr>
          <w:rFonts w:cs="Gotham"/>
          <w:color w:val="000000"/>
        </w:rPr>
        <w:t>principle</w:t>
      </w:r>
      <w:r w:rsidR="00951885">
        <w:rPr>
          <w:rFonts w:cs="Gotham"/>
          <w:color w:val="000000"/>
        </w:rPr>
        <w:t xml:space="preserve"> </w:t>
      </w:r>
      <w:r w:rsidRPr="00D153C9">
        <w:rPr>
          <w:rFonts w:cs="Gotham"/>
          <w:color w:val="000000"/>
        </w:rPr>
        <w:t>of freezing point depression to measure osmolality. Osmolality is the total solute concentration of an aqueous solution. Osmometers measure the number of solute particles irrespective of molecular weight or ionic charge.</w:t>
      </w:r>
      <w:r w:rsidR="00F34CFB">
        <w:rPr>
          <w:rFonts w:cs="Gotham"/>
          <w:color w:val="000000"/>
        </w:rPr>
        <w:t xml:space="preserve"> </w:t>
      </w:r>
      <w:r w:rsidRPr="004F73ED">
        <w:t>The Advanced Osmometers utilize high-precision electronic thermometers to sense the sample temperature, to control the degree of supercooling and freeze induction and to measure the freezing point of the sample. The freezing point depression of a solution is a measure of the concentration of solutes dissolved that solution. The sample volume, 20</w:t>
      </w:r>
      <w:r w:rsidR="00951885">
        <w:t xml:space="preserve"> </w:t>
      </w:r>
      <w:r w:rsidRPr="004F73ED">
        <w:t>ul, is presented to the thermistor probe or cooling chamber. The sample begins cooling rapidly to a predetermined temperature below the expected sample freezing point.  The rate of cooling is tightly controlled by the osmometer. While the sample is in the super cooled state</w:t>
      </w:r>
      <w:r w:rsidR="00951885">
        <w:t>,</w:t>
      </w:r>
      <w:r w:rsidRPr="004F73ED">
        <w:t xml:space="preserve"> a physical shock called the freeze pulse is introduced to the sample. As a result</w:t>
      </w:r>
      <w:r>
        <w:t>,</w:t>
      </w:r>
      <w:r w:rsidRPr="004F73ED">
        <w:t xml:space="preserve"> the sample becomes partially crystalized forming an ice/water mixture surrounding the temperature probe. The heat of fusion resulting from the cry</w:t>
      </w:r>
      <w:r>
        <w:t>s</w:t>
      </w:r>
      <w:r w:rsidRPr="004F73ED">
        <w:t>tallization process raises the sample temperature to a plateau where the liquid</w:t>
      </w:r>
      <w:r w:rsidR="00951885">
        <w:t>/</w:t>
      </w:r>
      <w:r w:rsidRPr="004F73ED">
        <w:t>solid equilibrium is maintained. This temperature plateau represents the true freezing point of the solution. The osmometer precisely measures this temperature at the plateau and calculates the concentration in m</w:t>
      </w:r>
      <w:r w:rsidR="00951885">
        <w:t>O</w:t>
      </w:r>
      <w:r w:rsidRPr="004F73ED">
        <w:t>sm/kg of water. This is the</w:t>
      </w:r>
      <w:r>
        <w:t xml:space="preserve"> osmolality result</w:t>
      </w:r>
      <w:r w:rsidRPr="004F73ED">
        <w:t xml:space="preserve">. </w:t>
      </w:r>
    </w:p>
    <w:p w14:paraId="10F5F881" w14:textId="77777777" w:rsidR="00A23C58" w:rsidRDefault="00A23C58" w:rsidP="00A23C58">
      <w:pPr>
        <w:spacing w:after="120"/>
      </w:pPr>
    </w:p>
    <w:p w14:paraId="474B256F" w14:textId="7F945475" w:rsidR="00A23C58" w:rsidRDefault="00A23C58" w:rsidP="00A23C58">
      <w:pPr>
        <w:pStyle w:val="Heading1"/>
      </w:pPr>
      <w:r>
        <w:t>Clinical Significance</w:t>
      </w:r>
    </w:p>
    <w:p w14:paraId="4FA71414" w14:textId="1EB4879D" w:rsidR="00F34CFB" w:rsidRDefault="00F34CFB" w:rsidP="00F34CFB">
      <w:pPr>
        <w:rPr>
          <w:rFonts w:cs="Gotham"/>
          <w:color w:val="000000"/>
        </w:rPr>
      </w:pPr>
      <w:r w:rsidRPr="004F73ED">
        <w:t xml:space="preserve">Osmolality determinations have found a widespread use in the diagnosis and prognosis of various diseases and </w:t>
      </w:r>
      <w:r w:rsidR="00951885" w:rsidRPr="00A36CE1">
        <w:t>in</w:t>
      </w:r>
      <w:r w:rsidR="00951885">
        <w:t xml:space="preserve"> </w:t>
      </w:r>
      <w:r w:rsidRPr="004F73ED">
        <w:t>the follow-up therapy.</w:t>
      </w:r>
      <w:r>
        <w:rPr>
          <w:rFonts w:cs="Gotham"/>
          <w:color w:val="000000"/>
        </w:rPr>
        <w:t xml:space="preserve"> </w:t>
      </w:r>
      <w:r w:rsidR="00A23C58" w:rsidRPr="00A617DD">
        <w:rPr>
          <w:rFonts w:cs="Gotham"/>
          <w:color w:val="000000"/>
        </w:rPr>
        <w:t>Osmolality is a valuable clinical tool used in the diagnosis and treatment of patients. It is a quick and effective test to help evaluate the body’s water balance or its ability to produce and concentrate urine, to investigate low sodium levels (hyponatremia), to detect the presence of toxins in the body, and to monitor osmotically active drug therapies such as mannitol, which is used to treat cerebral edema. This test is also ordered to help monitor the effectiveness of a treatment for a condition found to be adversely affecting a person</w:t>
      </w:r>
      <w:r w:rsidR="00951885">
        <w:rPr>
          <w:rFonts w:cs="Gotham"/>
          <w:color w:val="000000"/>
        </w:rPr>
        <w:t>’</w:t>
      </w:r>
      <w:r w:rsidR="00A23C58" w:rsidRPr="00A617DD">
        <w:rPr>
          <w:rFonts w:cs="Gotham"/>
          <w:color w:val="000000"/>
        </w:rPr>
        <w:t>s osmolality</w:t>
      </w:r>
      <w:r>
        <w:rPr>
          <w:rFonts w:cs="Gotham"/>
          <w:color w:val="000000"/>
        </w:rPr>
        <w:t xml:space="preserve">. </w:t>
      </w:r>
    </w:p>
    <w:p w14:paraId="1D1D6267" w14:textId="77777777" w:rsidR="00F34CFB" w:rsidRDefault="00F34CFB" w:rsidP="00F34CFB">
      <w:pPr>
        <w:rPr>
          <w:rFonts w:cs="Gotham"/>
          <w:color w:val="000000"/>
        </w:rPr>
      </w:pPr>
    </w:p>
    <w:p w14:paraId="654E4CBF" w14:textId="5CEEAA35" w:rsidR="00A23C58" w:rsidRDefault="00A23C58" w:rsidP="00F34CFB">
      <w:r>
        <w:t xml:space="preserve">The comparison of the measured Osmolality to the calculated Osmolality can indicate the presence/absence of analytes in the specimen that may contribute to the actual Osmolality. For serum or plasma, a calculated Osmolality can he obtained using </w:t>
      </w:r>
      <w:r w:rsidR="00951885" w:rsidRPr="00A36CE1">
        <w:t xml:space="preserve">one </w:t>
      </w:r>
      <w:r w:rsidR="00A36CE1" w:rsidRPr="00A36CE1">
        <w:t>of two</w:t>
      </w:r>
      <w:r>
        <w:t xml:space="preserve"> different formulas.</w:t>
      </w:r>
      <w:r w:rsidRPr="00DB5960">
        <w:t xml:space="preserve"> </w:t>
      </w:r>
      <w:r>
        <w:t>LIS system rules will determine which calculation is appropriate based on ethanol results.</w:t>
      </w:r>
    </w:p>
    <w:p w14:paraId="4CF94DB3" w14:textId="77777777" w:rsidR="00F34CFB" w:rsidRPr="00F34CFB" w:rsidRDefault="00F34CFB" w:rsidP="00F34CFB">
      <w:pPr>
        <w:rPr>
          <w:rFonts w:cs="Gotham"/>
          <w:color w:val="000000"/>
        </w:rPr>
      </w:pPr>
    </w:p>
    <w:p w14:paraId="07E32317" w14:textId="77777777" w:rsidR="00A23C58" w:rsidRDefault="00A23C58" w:rsidP="00A23C58">
      <w:pPr>
        <w:numPr>
          <w:ilvl w:val="0"/>
          <w:numId w:val="5"/>
        </w:numPr>
        <w:spacing w:after="120"/>
      </w:pPr>
      <w:r w:rsidRPr="00DB5960">
        <w:rPr>
          <w:b/>
          <w:bCs/>
          <w:sz w:val="22"/>
          <w:szCs w:val="22"/>
        </w:rPr>
        <w:t xml:space="preserve">Calculated Osmo = </w:t>
      </w:r>
      <w:r>
        <w:t xml:space="preserve">(2 x serum Na+) + [(BUN in mg/dL)/2.8] + [(glucose in mg/dL)/18] </w:t>
      </w:r>
    </w:p>
    <w:p w14:paraId="69FFEA1E" w14:textId="77777777" w:rsidR="00951885" w:rsidRDefault="00A23C58" w:rsidP="00A23C58">
      <w:pPr>
        <w:spacing w:after="120"/>
        <w:ind w:firstLine="720"/>
      </w:pPr>
      <w:r>
        <w:t>A difference of greater than 10 mOsm between the measured Osmolality and that which can be calculated, may indicate the presence of an ingested substance, mannitol or another analyte not taken into account by the calculation.</w:t>
      </w:r>
    </w:p>
    <w:p w14:paraId="465E91FE" w14:textId="77777777" w:rsidR="00951885" w:rsidRDefault="00951885" w:rsidP="00A23C58">
      <w:pPr>
        <w:spacing w:after="120"/>
        <w:ind w:firstLine="720"/>
      </w:pPr>
    </w:p>
    <w:p w14:paraId="2FC5EBD1" w14:textId="19C56FCC" w:rsidR="00A23C58" w:rsidRDefault="00A23C58" w:rsidP="00A23C58">
      <w:pPr>
        <w:spacing w:after="120"/>
        <w:ind w:firstLine="720"/>
      </w:pPr>
      <w:r>
        <w:t xml:space="preserve"> In the case of </w:t>
      </w:r>
      <w:r w:rsidRPr="00C915AC">
        <w:rPr>
          <w:u w:val="single"/>
        </w:rPr>
        <w:t>ethanol ingestion</w:t>
      </w:r>
      <w:r>
        <w:t xml:space="preserve">, an additional calculation will be used. </w:t>
      </w:r>
    </w:p>
    <w:p w14:paraId="56F48F2F" w14:textId="79F4EB4D" w:rsidR="00A23C58" w:rsidRPr="00F34CFB" w:rsidRDefault="00A23C58" w:rsidP="00F34CFB">
      <w:pPr>
        <w:pStyle w:val="ListParagraph"/>
        <w:numPr>
          <w:ilvl w:val="0"/>
          <w:numId w:val="5"/>
        </w:numPr>
        <w:spacing w:after="120"/>
        <w:rPr>
          <w:b/>
          <w:bCs/>
          <w:sz w:val="22"/>
          <w:szCs w:val="22"/>
        </w:rPr>
      </w:pPr>
      <w:r w:rsidRPr="00F34CFB">
        <w:rPr>
          <w:b/>
          <w:bCs/>
          <w:sz w:val="22"/>
          <w:szCs w:val="22"/>
        </w:rPr>
        <w:t xml:space="preserve">Calculated Osmo = </w:t>
      </w:r>
      <w:r>
        <w:t>(2 x serum Na+) + [(BUN in mg/dL)/2.8] + [(glucose in mg/dL)/18] + [(EtOH in mg/dL)/3.7]</w:t>
      </w:r>
    </w:p>
    <w:p w14:paraId="7F25EB3E" w14:textId="77777777" w:rsidR="00A23C58" w:rsidRDefault="00A23C58" w:rsidP="00A23C58">
      <w:pPr>
        <w:spacing w:after="120"/>
        <w:rPr>
          <w:b/>
          <w:bCs/>
          <w:u w:val="single"/>
        </w:rPr>
      </w:pPr>
    </w:p>
    <w:p w14:paraId="6CBE9C50" w14:textId="6604DB0B" w:rsidR="00A23C58" w:rsidRDefault="00A23C58" w:rsidP="00A23C58">
      <w:pPr>
        <w:spacing w:after="120"/>
        <w:rPr>
          <w:sz w:val="28"/>
        </w:rPr>
      </w:pPr>
      <w:r w:rsidRPr="00A56344">
        <w:rPr>
          <w:b/>
          <w:bCs/>
          <w:u w:val="single"/>
        </w:rPr>
        <w:lastRenderedPageBreak/>
        <w:t>Osmo Gap</w:t>
      </w:r>
      <w:r w:rsidRPr="00A56344">
        <w:rPr>
          <w:b/>
          <w:bCs/>
        </w:rPr>
        <w:t xml:space="preserve"> (OGAP)</w:t>
      </w:r>
      <w:r w:rsidR="00F34CFB">
        <w:rPr>
          <w:b/>
          <w:bCs/>
        </w:rPr>
        <w:t xml:space="preserve"> is a separate </w:t>
      </w:r>
      <w:r w:rsidRPr="00F022C4">
        <w:t xml:space="preserve">order (calculation) that may be requested by </w:t>
      </w:r>
      <w:r w:rsidRPr="00A36CE1">
        <w:t>the</w:t>
      </w:r>
      <w:r>
        <w:t xml:space="preserve"> </w:t>
      </w:r>
      <w:r w:rsidRPr="00F022C4">
        <w:t>Pharmacy department</w:t>
      </w:r>
      <w:r>
        <w:t xml:space="preserve"> and </w:t>
      </w:r>
      <w:r w:rsidRPr="00F022C4">
        <w:t>is utilized to determine certain drug toxicities</w:t>
      </w:r>
      <w:r>
        <w:rPr>
          <w:sz w:val="28"/>
        </w:rPr>
        <w:t xml:space="preserve">. </w:t>
      </w:r>
    </w:p>
    <w:p w14:paraId="19934743" w14:textId="77777777" w:rsidR="00F34CFB" w:rsidRDefault="00F34CFB" w:rsidP="00A23C58">
      <w:pPr>
        <w:spacing w:after="120"/>
        <w:rPr>
          <w:sz w:val="28"/>
        </w:rPr>
      </w:pPr>
    </w:p>
    <w:p w14:paraId="677F8D64" w14:textId="42218512" w:rsidR="00A23C58" w:rsidRDefault="00A23C58" w:rsidP="00A23C58">
      <w:pPr>
        <w:spacing w:after="120"/>
        <w:jc w:val="center"/>
        <w:rPr>
          <w:b/>
          <w:bCs/>
        </w:rPr>
      </w:pPr>
      <w:r w:rsidRPr="00F022C4">
        <w:rPr>
          <w:b/>
          <w:bCs/>
        </w:rPr>
        <w:t>Calculation (OGAP)</w:t>
      </w:r>
      <w:r w:rsidR="00860B4C" w:rsidRPr="00F022C4">
        <w:rPr>
          <w:b/>
          <w:bCs/>
        </w:rPr>
        <w:t xml:space="preserve">= </w:t>
      </w:r>
      <w:r w:rsidR="00860B4C">
        <w:rPr>
          <w:b/>
          <w:bCs/>
        </w:rPr>
        <w:t>serum</w:t>
      </w:r>
      <w:r>
        <w:rPr>
          <w:b/>
          <w:bCs/>
        </w:rPr>
        <w:t xml:space="preserve"> /</w:t>
      </w:r>
      <w:r w:rsidRPr="00A36CE1">
        <w:rPr>
          <w:b/>
          <w:bCs/>
        </w:rPr>
        <w:t>plasma</w:t>
      </w:r>
      <w:r>
        <w:rPr>
          <w:b/>
          <w:bCs/>
        </w:rPr>
        <w:t xml:space="preserve"> </w:t>
      </w:r>
      <w:r w:rsidRPr="00F022C4">
        <w:rPr>
          <w:b/>
          <w:bCs/>
        </w:rPr>
        <w:t>OSMO</w:t>
      </w:r>
      <w:r>
        <w:rPr>
          <w:b/>
          <w:bCs/>
        </w:rPr>
        <w:t xml:space="preserve"> </w:t>
      </w:r>
      <w:r w:rsidRPr="00F022C4">
        <w:rPr>
          <w:b/>
          <w:bCs/>
        </w:rPr>
        <w:t>-</w:t>
      </w:r>
      <w:r>
        <w:rPr>
          <w:b/>
          <w:bCs/>
        </w:rPr>
        <w:t xml:space="preserve"> (calc)</w:t>
      </w:r>
      <w:r w:rsidRPr="00F022C4">
        <w:rPr>
          <w:b/>
          <w:bCs/>
        </w:rPr>
        <w:t>COSMO</w:t>
      </w:r>
      <w:r>
        <w:rPr>
          <w:b/>
          <w:bCs/>
        </w:rPr>
        <w:t xml:space="preserve"> </w:t>
      </w:r>
    </w:p>
    <w:p w14:paraId="1AFAD211" w14:textId="77777777" w:rsidR="00F34CFB" w:rsidRPr="00F022C4" w:rsidRDefault="00F34CFB" w:rsidP="00A23C58">
      <w:pPr>
        <w:spacing w:after="120"/>
        <w:jc w:val="center"/>
        <w:rPr>
          <w:b/>
          <w:bCs/>
          <w:sz w:val="28"/>
        </w:rPr>
      </w:pPr>
    </w:p>
    <w:p w14:paraId="23601790" w14:textId="23599771" w:rsidR="00A23C58" w:rsidRDefault="00A23C58" w:rsidP="00A23C58">
      <w:pPr>
        <w:pStyle w:val="Heading1"/>
      </w:pPr>
      <w:r>
        <w:t>Specimen</w:t>
      </w:r>
    </w:p>
    <w:p w14:paraId="3F13858B" w14:textId="77777777" w:rsidR="00F34CFB" w:rsidRPr="00F34CFB" w:rsidRDefault="00F34CFB" w:rsidP="00F34CFB"/>
    <w:p w14:paraId="3874A7CF" w14:textId="6E16461F" w:rsidR="00A23C58" w:rsidRDefault="00A23C58" w:rsidP="00A23C58">
      <w:pPr>
        <w:spacing w:after="120"/>
      </w:pPr>
      <w:r>
        <w:rPr>
          <w:b/>
        </w:rPr>
        <w:t>Serum</w:t>
      </w:r>
      <w:r>
        <w:t xml:space="preserve"> - 20 ul of non-hemolyzed sample (see procedural note on gross hemolysis).  No special patient preparation is required.</w:t>
      </w:r>
    </w:p>
    <w:p w14:paraId="6E568863" w14:textId="31532CEA" w:rsidR="00A23C58" w:rsidRDefault="00A23C58" w:rsidP="00A23C58">
      <w:pPr>
        <w:spacing w:after="120"/>
      </w:pPr>
      <w:r>
        <w:rPr>
          <w:b/>
        </w:rPr>
        <w:t>Plasma</w:t>
      </w:r>
      <w:r>
        <w:t xml:space="preserve"> - 20 ul of non-hemolyzed sample. (see procedural note on gross hemolysis).   </w:t>
      </w:r>
      <w:r w:rsidR="00F34CFB" w:rsidRPr="00A36CE1">
        <w:t>Lithium</w:t>
      </w:r>
      <w:r w:rsidR="00F34CFB">
        <w:t xml:space="preserve"> </w:t>
      </w:r>
      <w:r>
        <w:t xml:space="preserve">Heparin </w:t>
      </w:r>
      <w:r w:rsidR="00A36CE1" w:rsidRPr="00A36CE1">
        <w:t>i</w:t>
      </w:r>
      <w:r w:rsidRPr="00A36CE1">
        <w:t>s</w:t>
      </w:r>
      <w:r>
        <w:t xml:space="preserve"> the only acceptable anticoagulant.</w:t>
      </w:r>
    </w:p>
    <w:p w14:paraId="08BB3627" w14:textId="2BF80194" w:rsidR="00A23C58" w:rsidRDefault="00A23C58" w:rsidP="00A23C58">
      <w:pPr>
        <w:spacing w:after="120"/>
      </w:pPr>
      <w:r>
        <w:rPr>
          <w:b/>
        </w:rPr>
        <w:t>Urine</w:t>
      </w:r>
      <w:r>
        <w:t xml:space="preserve"> - 20 ul of urine. Specimen</w:t>
      </w:r>
      <w:r w:rsidR="00F34CFB">
        <w:t>s</w:t>
      </w:r>
      <w:r>
        <w:t xml:space="preserve"> should be free of preservatives. If </w:t>
      </w:r>
      <w:r w:rsidR="00F34CFB">
        <w:t xml:space="preserve">the </w:t>
      </w:r>
      <w:r>
        <w:t>specimen is a timed sample,</w:t>
      </w:r>
      <w:r w:rsidR="00F34CFB">
        <w:t xml:space="preserve"> it </w:t>
      </w:r>
      <w:r>
        <w:t>should remain refrigerated during collection to minimize bacterial growth. Samples should be spun prior to measurement if there is evidence of cells or particulate matter in the sample.</w:t>
      </w:r>
    </w:p>
    <w:p w14:paraId="2AF284BF" w14:textId="77777777" w:rsidR="00A23C58" w:rsidRDefault="00A23C58" w:rsidP="00A23C58">
      <w:pPr>
        <w:spacing w:after="120"/>
        <w:rPr>
          <w:b/>
          <w:sz w:val="28"/>
        </w:rPr>
      </w:pPr>
      <w:r>
        <w:rPr>
          <w:b/>
          <w:sz w:val="28"/>
        </w:rPr>
        <w:t>Reagents-</w:t>
      </w:r>
      <w:r w:rsidRPr="00A36CE1">
        <w:rPr>
          <w:b/>
          <w:sz w:val="28"/>
        </w:rPr>
        <w:t>NONE</w:t>
      </w:r>
    </w:p>
    <w:p w14:paraId="34DB5852" w14:textId="77777777" w:rsidR="00A23C58" w:rsidRDefault="00A23C58" w:rsidP="00A23C58">
      <w:pPr>
        <w:spacing w:after="120"/>
        <w:rPr>
          <w:b/>
          <w:sz w:val="28"/>
        </w:rPr>
      </w:pPr>
    </w:p>
    <w:p w14:paraId="5DD81FD3" w14:textId="77777777" w:rsidR="00A23C58" w:rsidRDefault="00A23C58" w:rsidP="00A23C58">
      <w:pPr>
        <w:spacing w:after="120"/>
        <w:rPr>
          <w:b/>
          <w:sz w:val="28"/>
        </w:rPr>
      </w:pPr>
      <w:r w:rsidRPr="00A36CE1">
        <w:rPr>
          <w:b/>
          <w:sz w:val="28"/>
        </w:rPr>
        <w:t>Supplies</w:t>
      </w:r>
    </w:p>
    <w:p w14:paraId="2BD90108" w14:textId="77777777" w:rsidR="009E57EE" w:rsidRDefault="00A23C58" w:rsidP="009E57EE">
      <w:pPr>
        <w:spacing w:after="120"/>
        <w:ind w:firstLine="720"/>
      </w:pPr>
      <w:r>
        <w:t>Advanced Instruments</w:t>
      </w:r>
      <w:r w:rsidR="009E57EE" w:rsidRPr="009E57EE">
        <w:t xml:space="preserve"> </w:t>
      </w:r>
      <w:r w:rsidR="009E57EE">
        <w:t>Standards :5</w:t>
      </w:r>
      <w:r>
        <w:t>0 mOsm</w:t>
      </w:r>
      <w:r w:rsidR="009E57EE">
        <w:t>/kg</w:t>
      </w:r>
      <w:r>
        <w:t>, 850 mOsm</w:t>
      </w:r>
      <w:r w:rsidR="009E57EE">
        <w:t>/kg</w:t>
      </w:r>
      <w:r>
        <w:t>,</w:t>
      </w:r>
    </w:p>
    <w:p w14:paraId="4749B9EB" w14:textId="5504951B" w:rsidR="00A23C58" w:rsidRDefault="00A23C58" w:rsidP="009E57EE">
      <w:pPr>
        <w:spacing w:after="120"/>
        <w:ind w:firstLine="720"/>
      </w:pPr>
      <w:r>
        <w:t xml:space="preserve"> and </w:t>
      </w:r>
      <w:r w:rsidRPr="004F73ED">
        <w:t>2000</w:t>
      </w:r>
      <w:r w:rsidR="009E57EE">
        <w:t xml:space="preserve"> </w:t>
      </w:r>
      <w:r w:rsidRPr="004F73ED">
        <w:t>mOsmo</w:t>
      </w:r>
      <w:r w:rsidR="009E57EE">
        <w:t>/kg</w:t>
      </w:r>
      <w:r>
        <w:t xml:space="preserve"> Calibration </w:t>
      </w:r>
    </w:p>
    <w:p w14:paraId="726E4529" w14:textId="77777777" w:rsidR="00A23C58" w:rsidRDefault="00A23C58" w:rsidP="00A23C58">
      <w:pPr>
        <w:spacing w:after="120"/>
        <w:ind w:firstLine="720"/>
      </w:pPr>
      <w:r>
        <w:t>Advanced Instruments Clinitrol 290 Reference Solution</w:t>
      </w:r>
    </w:p>
    <w:p w14:paraId="0B60191A" w14:textId="63CA601A" w:rsidR="00A23C58" w:rsidRDefault="00A23C58" w:rsidP="00A23C58">
      <w:pPr>
        <w:spacing w:after="120"/>
        <w:ind w:firstLine="720"/>
      </w:pPr>
      <w:r>
        <w:t>Advanced Instruments Disposable Sampler Tips and Chamber Cleaners</w:t>
      </w:r>
    </w:p>
    <w:p w14:paraId="65D5C14D" w14:textId="65B01328" w:rsidR="00951885" w:rsidRDefault="00951885" w:rsidP="00A23C58">
      <w:pPr>
        <w:spacing w:after="120"/>
        <w:ind w:firstLine="720"/>
      </w:pPr>
      <w:r w:rsidRPr="00A36CE1">
        <w:t>Advanced Instruments Sampler</w:t>
      </w:r>
    </w:p>
    <w:p w14:paraId="4A76B245" w14:textId="77777777" w:rsidR="00951885" w:rsidRDefault="00951885" w:rsidP="00A23C58">
      <w:pPr>
        <w:spacing w:after="120"/>
        <w:ind w:firstLine="720"/>
      </w:pPr>
    </w:p>
    <w:p w14:paraId="00AFC0CF" w14:textId="04BCBE3F" w:rsidR="00A23C58" w:rsidRDefault="00A23C58" w:rsidP="00A23C58">
      <w:pPr>
        <w:spacing w:after="120"/>
      </w:pPr>
      <w:r>
        <w:t xml:space="preserve">All </w:t>
      </w:r>
      <w:r w:rsidRPr="00C14D12">
        <w:t>supplies</w:t>
      </w:r>
      <w:r>
        <w:t xml:space="preserve"> may be stored at room temperature and no special handling is necessary. No standard</w:t>
      </w:r>
      <w:r w:rsidRPr="00C14D12">
        <w:t xml:space="preserve"> or solution</w:t>
      </w:r>
      <w:r w:rsidR="00F34CFB">
        <w:t xml:space="preserve"> </w:t>
      </w:r>
      <w:r>
        <w:t>should be used beyond the manufacturer’s stated expiration date.</w:t>
      </w:r>
    </w:p>
    <w:p w14:paraId="718467D0" w14:textId="77777777" w:rsidR="00A23C58" w:rsidRDefault="00A23C58" w:rsidP="00A23C58">
      <w:pPr>
        <w:spacing w:after="120"/>
      </w:pPr>
    </w:p>
    <w:p w14:paraId="7F8F939E" w14:textId="77777777" w:rsidR="00A23C58" w:rsidRDefault="00A23C58" w:rsidP="00A23C58">
      <w:pPr>
        <w:spacing w:after="120"/>
      </w:pPr>
    </w:p>
    <w:p w14:paraId="421EFFEC" w14:textId="77777777" w:rsidR="00A23C58" w:rsidRPr="004F73ED" w:rsidRDefault="00A23C58" w:rsidP="00A23C58">
      <w:pPr>
        <w:spacing w:after="120"/>
        <w:rPr>
          <w:b/>
          <w:sz w:val="28"/>
        </w:rPr>
      </w:pPr>
      <w:r w:rsidRPr="004F73ED">
        <w:rPr>
          <w:b/>
          <w:sz w:val="28"/>
        </w:rPr>
        <w:t>Instrument</w:t>
      </w:r>
    </w:p>
    <w:p w14:paraId="3A4CCD63" w14:textId="4249E0EC" w:rsidR="00A23C58" w:rsidRPr="009C3204" w:rsidRDefault="00A23C58" w:rsidP="00A23C58">
      <w:pPr>
        <w:spacing w:after="120"/>
        <w:rPr>
          <w:bCs/>
          <w:sz w:val="28"/>
        </w:rPr>
      </w:pPr>
      <w:r>
        <w:rPr>
          <w:b/>
          <w:sz w:val="28"/>
        </w:rPr>
        <w:tab/>
      </w:r>
      <w:r w:rsidRPr="009C3204">
        <w:rPr>
          <w:bCs/>
          <w:sz w:val="28"/>
        </w:rPr>
        <w:t>Advanced Instruments</w:t>
      </w:r>
      <w:r>
        <w:rPr>
          <w:b/>
          <w:sz w:val="28"/>
        </w:rPr>
        <w:t xml:space="preserve"> </w:t>
      </w:r>
      <w:r w:rsidRPr="009C3204">
        <w:rPr>
          <w:bCs/>
          <w:sz w:val="28"/>
        </w:rPr>
        <w:t>Osmo</w:t>
      </w:r>
      <w:r w:rsidR="00951885">
        <w:rPr>
          <w:bCs/>
          <w:sz w:val="28"/>
        </w:rPr>
        <w:t xml:space="preserve"> </w:t>
      </w:r>
      <w:r w:rsidRPr="009C3204">
        <w:rPr>
          <w:bCs/>
          <w:sz w:val="28"/>
        </w:rPr>
        <w:t>1 Single</w:t>
      </w:r>
      <w:r w:rsidR="00951885">
        <w:rPr>
          <w:bCs/>
          <w:sz w:val="28"/>
        </w:rPr>
        <w:t>-</w:t>
      </w:r>
      <w:r w:rsidRPr="009C3204">
        <w:rPr>
          <w:bCs/>
          <w:sz w:val="28"/>
        </w:rPr>
        <w:t>Sample Micro</w:t>
      </w:r>
      <w:r w:rsidR="00951885">
        <w:rPr>
          <w:bCs/>
          <w:sz w:val="28"/>
        </w:rPr>
        <w:t>-</w:t>
      </w:r>
      <w:r w:rsidRPr="009C3204">
        <w:rPr>
          <w:bCs/>
          <w:sz w:val="28"/>
        </w:rPr>
        <w:t>Osmometer</w:t>
      </w:r>
    </w:p>
    <w:p w14:paraId="2F7021D6" w14:textId="57DB2F28" w:rsidR="00A23C58" w:rsidRDefault="00A23C58" w:rsidP="00A23C58">
      <w:pPr>
        <w:spacing w:after="120"/>
        <w:rPr>
          <w:b/>
          <w:sz w:val="28"/>
        </w:rPr>
      </w:pPr>
    </w:p>
    <w:p w14:paraId="0EACFB2F" w14:textId="1D2CF1E6" w:rsidR="00A36CE1" w:rsidRDefault="00A36CE1" w:rsidP="00A23C58">
      <w:pPr>
        <w:spacing w:after="120"/>
        <w:rPr>
          <w:b/>
          <w:sz w:val="28"/>
        </w:rPr>
      </w:pPr>
    </w:p>
    <w:p w14:paraId="6048C464" w14:textId="77777777" w:rsidR="00A36CE1" w:rsidRDefault="00A36CE1" w:rsidP="00A23C58">
      <w:pPr>
        <w:spacing w:after="120"/>
        <w:rPr>
          <w:b/>
          <w:sz w:val="28"/>
        </w:rPr>
      </w:pPr>
    </w:p>
    <w:p w14:paraId="7BCEE488" w14:textId="2EFB31E7" w:rsidR="00A23C58" w:rsidRDefault="00A23C58" w:rsidP="00A23C58">
      <w:pPr>
        <w:spacing w:after="120"/>
        <w:rPr>
          <w:b/>
          <w:sz w:val="28"/>
        </w:rPr>
      </w:pPr>
      <w:r w:rsidRPr="004F73ED">
        <w:rPr>
          <w:b/>
          <w:sz w:val="28"/>
        </w:rPr>
        <w:lastRenderedPageBreak/>
        <w:t>Calibration</w:t>
      </w:r>
    </w:p>
    <w:p w14:paraId="75B63CF6" w14:textId="6B4DA599" w:rsidR="0011574A" w:rsidRDefault="0011574A" w:rsidP="00A23C58">
      <w:pPr>
        <w:spacing w:after="120"/>
        <w:rPr>
          <w:b/>
          <w:sz w:val="28"/>
        </w:rPr>
      </w:pPr>
    </w:p>
    <w:p w14:paraId="755F4E1D" w14:textId="77777777" w:rsidR="0011574A" w:rsidRDefault="0011574A" w:rsidP="0011574A">
      <w:pPr>
        <w:spacing w:after="120"/>
      </w:pPr>
      <w:r>
        <w:t>It is recommended to recalibrate the Osmo1 in any of the following cases:</w:t>
      </w:r>
    </w:p>
    <w:p w14:paraId="6444B45B" w14:textId="77777777" w:rsidR="0011574A" w:rsidRPr="007A61A9" w:rsidRDefault="0011574A" w:rsidP="0011574A">
      <w:pPr>
        <w:pStyle w:val="Default"/>
        <w:numPr>
          <w:ilvl w:val="0"/>
          <w:numId w:val="4"/>
        </w:numPr>
        <w:jc w:val="both"/>
        <w:rPr>
          <w:rFonts w:ascii="Times New Roman" w:hAnsi="Times New Roman" w:cs="Times New Roman"/>
        </w:rPr>
      </w:pPr>
      <w:r w:rsidRPr="007A61A9">
        <w:rPr>
          <w:rFonts w:ascii="Times New Roman" w:hAnsi="Times New Roman" w:cs="Times New Roman"/>
        </w:rPr>
        <w:t>If the test results for the reference solutions</w:t>
      </w:r>
      <w:r>
        <w:rPr>
          <w:rFonts w:ascii="Times New Roman" w:hAnsi="Times New Roman" w:cs="Times New Roman"/>
        </w:rPr>
        <w:t xml:space="preserve"> (QC)</w:t>
      </w:r>
      <w:r w:rsidRPr="007A61A9">
        <w:rPr>
          <w:rFonts w:ascii="Times New Roman" w:hAnsi="Times New Roman" w:cs="Times New Roman"/>
        </w:rPr>
        <w:t xml:space="preserve"> are </w:t>
      </w:r>
      <w:r w:rsidRPr="00A36CE1">
        <w:rPr>
          <w:rFonts w:ascii="Times New Roman" w:hAnsi="Times New Roman" w:cs="Times New Roman"/>
        </w:rPr>
        <w:t>repeatedly</w:t>
      </w:r>
      <w:r>
        <w:rPr>
          <w:rFonts w:ascii="Times New Roman" w:hAnsi="Times New Roman" w:cs="Times New Roman"/>
        </w:rPr>
        <w:t xml:space="preserve"> </w:t>
      </w:r>
      <w:r w:rsidRPr="007A61A9">
        <w:rPr>
          <w:rFonts w:ascii="Times New Roman" w:hAnsi="Times New Roman" w:cs="Times New Roman"/>
        </w:rPr>
        <w:t xml:space="preserve">out of specification </w:t>
      </w:r>
    </w:p>
    <w:p w14:paraId="3AC7F0C8" w14:textId="62A3273D" w:rsidR="0011574A" w:rsidRDefault="0011574A" w:rsidP="0011574A">
      <w:pPr>
        <w:pStyle w:val="Default"/>
        <w:numPr>
          <w:ilvl w:val="0"/>
          <w:numId w:val="4"/>
        </w:numPr>
        <w:jc w:val="both"/>
        <w:rPr>
          <w:rFonts w:ascii="Times New Roman" w:hAnsi="Times New Roman" w:cs="Times New Roman"/>
        </w:rPr>
      </w:pPr>
      <w:r w:rsidRPr="007A61A9">
        <w:rPr>
          <w:rFonts w:ascii="Times New Roman" w:hAnsi="Times New Roman" w:cs="Times New Roman"/>
        </w:rPr>
        <w:t xml:space="preserve">If the instrument has been serviced (especially if any hardware was replaced) </w:t>
      </w:r>
    </w:p>
    <w:p w14:paraId="236D0DD0" w14:textId="7DC26EB3" w:rsidR="0011574A" w:rsidRDefault="0011574A" w:rsidP="0011574A">
      <w:pPr>
        <w:pStyle w:val="Default"/>
        <w:numPr>
          <w:ilvl w:val="0"/>
          <w:numId w:val="4"/>
        </w:numPr>
        <w:jc w:val="both"/>
        <w:rPr>
          <w:rFonts w:ascii="Times New Roman" w:hAnsi="Times New Roman" w:cs="Times New Roman"/>
        </w:rPr>
      </w:pPr>
      <w:r>
        <w:rPr>
          <w:rFonts w:ascii="Times New Roman" w:hAnsi="Times New Roman" w:cs="Times New Roman"/>
        </w:rPr>
        <w:t>Following monthly maintenance or impactor cleaning during troubleshooting</w:t>
      </w:r>
    </w:p>
    <w:p w14:paraId="271DB35A" w14:textId="305DB3C2" w:rsidR="0035473B" w:rsidRPr="007A61A9" w:rsidRDefault="0035473B" w:rsidP="0011574A">
      <w:pPr>
        <w:pStyle w:val="Default"/>
        <w:numPr>
          <w:ilvl w:val="0"/>
          <w:numId w:val="4"/>
        </w:numPr>
        <w:jc w:val="both"/>
        <w:rPr>
          <w:rFonts w:ascii="Times New Roman" w:hAnsi="Times New Roman" w:cs="Times New Roman"/>
        </w:rPr>
      </w:pPr>
      <w:r>
        <w:rPr>
          <w:rFonts w:ascii="Times New Roman" w:hAnsi="Times New Roman" w:cs="Times New Roman"/>
        </w:rPr>
        <w:t>Following pipette tip replacement when opening a new box of tips.</w:t>
      </w:r>
    </w:p>
    <w:p w14:paraId="1CD6BEB8" w14:textId="77777777" w:rsidR="0011574A" w:rsidRPr="004F73ED" w:rsidRDefault="0011574A" w:rsidP="00A23C58">
      <w:pPr>
        <w:spacing w:after="120"/>
        <w:rPr>
          <w:b/>
          <w:sz w:val="28"/>
        </w:rPr>
      </w:pPr>
    </w:p>
    <w:p w14:paraId="4B2234C9" w14:textId="37F4C2DC" w:rsidR="00A23C58" w:rsidRDefault="00A23C58" w:rsidP="00A23C58">
      <w:pPr>
        <w:spacing w:after="120"/>
      </w:pPr>
      <w:r w:rsidRPr="004F73ED">
        <w:t xml:space="preserve">Calibration of the Advanced Micro-Osmometer is a simple procedure requiring no adjustment of the instrument by the user. The user simply follows a menu driven calibration program requiring the testing of three standards. </w:t>
      </w:r>
      <w:r w:rsidR="00A052D3" w:rsidRPr="004F73ED">
        <w:t>The necessary calibration standards are 50, 850, and 2000 mOsm/</w:t>
      </w:r>
      <w:r w:rsidR="009E57EE">
        <w:t>k</w:t>
      </w:r>
      <w:r w:rsidR="00A052D3" w:rsidRPr="004F73ED">
        <w:t>g</w:t>
      </w:r>
      <w:r w:rsidR="00A052D3">
        <w:t xml:space="preserve">. </w:t>
      </w:r>
      <w:r w:rsidRPr="004F73ED">
        <w:t>Each standard is run 5 times. If at any time</w:t>
      </w:r>
      <w:r>
        <w:t xml:space="preserve"> </w:t>
      </w:r>
      <w:r w:rsidRPr="007C03C7">
        <w:t>a</w:t>
      </w:r>
      <w:r>
        <w:t xml:space="preserve"> replicate value </w:t>
      </w:r>
      <w:r w:rsidRPr="00A36CE1">
        <w:t>fails, the instrument will</w:t>
      </w:r>
      <w:r w:rsidRPr="004F73ED">
        <w:t xml:space="preserve"> </w:t>
      </w:r>
      <w:r w:rsidR="00A36CE1" w:rsidRPr="00A36CE1">
        <w:t>prompt a</w:t>
      </w:r>
      <w:r w:rsidRPr="00A36CE1">
        <w:t xml:space="preserve"> rerun. Two failed replicates in </w:t>
      </w:r>
      <w:r w:rsidR="00A36CE1" w:rsidRPr="00A36CE1">
        <w:t>a single</w:t>
      </w:r>
      <w:r w:rsidRPr="00A36CE1">
        <w:t xml:space="preserve"> standard group </w:t>
      </w:r>
      <w:r w:rsidR="00447C41" w:rsidRPr="00A36CE1">
        <w:t>will result</w:t>
      </w:r>
      <w:r w:rsidR="00860B4C" w:rsidRPr="00A36CE1">
        <w:t xml:space="preserve"> in </w:t>
      </w:r>
      <w:r w:rsidRPr="00A36CE1">
        <w:t xml:space="preserve">a Failed Calibration and the user must </w:t>
      </w:r>
      <w:r w:rsidR="00860B4C" w:rsidRPr="00A36CE1">
        <w:t>begin again</w:t>
      </w:r>
      <w:r w:rsidRPr="00A36CE1">
        <w:t>. If the reproducibility is acceptable, the instrument</w:t>
      </w:r>
      <w:r w:rsidR="00A052D3" w:rsidRPr="00A36CE1">
        <w:t xml:space="preserve"> displays a calibration successful message.</w:t>
      </w:r>
      <w:r w:rsidR="00A052D3">
        <w:t xml:space="preserve"> </w:t>
      </w:r>
      <w:r w:rsidR="00447C41">
        <w:t>For details of calibration, see page 30-32 of the User Guide.</w:t>
      </w:r>
    </w:p>
    <w:p w14:paraId="4AE9E065" w14:textId="2B7DEB42" w:rsidR="0011574A" w:rsidRPr="0011574A" w:rsidRDefault="009E57EE" w:rsidP="0011574A">
      <w:pPr>
        <w:spacing w:after="120"/>
      </w:pPr>
      <w:r>
        <w:t>V</w:t>
      </w:r>
      <w:r w:rsidR="0011574A" w:rsidRPr="004F73ED">
        <w:t xml:space="preserve">erify </w:t>
      </w:r>
      <w:r w:rsidR="0011574A">
        <w:t xml:space="preserve">a successful </w:t>
      </w:r>
      <w:r w:rsidR="0011574A" w:rsidRPr="004F73ED">
        <w:t xml:space="preserve">calibration by running the 290 Reference Solution, </w:t>
      </w:r>
      <w:r w:rsidR="0011574A">
        <w:t>Protinol 240</w:t>
      </w:r>
      <w:r>
        <w:t xml:space="preserve"> QC</w:t>
      </w:r>
      <w:r w:rsidR="0011574A">
        <w:t>, Protinol 320</w:t>
      </w:r>
      <w:r>
        <w:t xml:space="preserve"> QC</w:t>
      </w:r>
      <w:r w:rsidR="0011574A">
        <w:t xml:space="preserve"> and </w:t>
      </w:r>
      <w:r>
        <w:t xml:space="preserve">Level 2 </w:t>
      </w:r>
      <w:r w:rsidR="0011574A">
        <w:t>Biorad Urine QC.</w:t>
      </w:r>
    </w:p>
    <w:p w14:paraId="42659236" w14:textId="2F547E2D" w:rsidR="0011574A" w:rsidRDefault="0011574A" w:rsidP="00A23C58">
      <w:pPr>
        <w:spacing w:after="120"/>
      </w:pPr>
      <w:bookmarkStart w:id="1" w:name="_Hlk53053807"/>
      <w:r w:rsidRPr="009E57EE">
        <w:rPr>
          <w:b/>
          <w:bCs/>
        </w:rPr>
        <w:t>NOTE</w:t>
      </w:r>
      <w:r>
        <w:t>: To reduce the chance of cross contamination, it may be suitable to perform a DH</w:t>
      </w:r>
      <w:r w:rsidRPr="009E57EE">
        <w:rPr>
          <w:vertAlign w:val="subscript"/>
        </w:rPr>
        <w:t>2</w:t>
      </w:r>
      <w:r>
        <w:t xml:space="preserve">O blank run after a </w:t>
      </w:r>
      <w:bookmarkEnd w:id="1"/>
      <w:r>
        <w:t>calibration and before QC to avoid an outlier on the first level of QC run after the 2000 calibrator.  The DH</w:t>
      </w:r>
      <w:r w:rsidRPr="009E57EE">
        <w:rPr>
          <w:vertAlign w:val="subscript"/>
        </w:rPr>
        <w:t>2</w:t>
      </w:r>
      <w:r>
        <w:t>O blank was chosen as opposed to repeating QC to avoid QC outliers in monthly statistics.</w:t>
      </w:r>
    </w:p>
    <w:p w14:paraId="57961A3C" w14:textId="77777777" w:rsidR="00A23C58" w:rsidRPr="007A61A9" w:rsidRDefault="00A23C58" w:rsidP="00A23C58">
      <w:pPr>
        <w:spacing w:after="120"/>
        <w:jc w:val="both"/>
      </w:pPr>
    </w:p>
    <w:p w14:paraId="6FD29DD5" w14:textId="673C9490" w:rsidR="00A23C58" w:rsidRDefault="00A23C58" w:rsidP="0011574A">
      <w:pPr>
        <w:spacing w:after="120"/>
        <w:ind w:left="360"/>
      </w:pPr>
    </w:p>
    <w:p w14:paraId="7DFDDB8D" w14:textId="77777777" w:rsidR="00A23C58" w:rsidRPr="004F73ED" w:rsidRDefault="00A23C58" w:rsidP="00A23C58">
      <w:pPr>
        <w:spacing w:after="120"/>
        <w:ind w:left="720"/>
      </w:pPr>
    </w:p>
    <w:p w14:paraId="0EDCB513" w14:textId="417CEB77" w:rsidR="00A23C58" w:rsidRDefault="00A23C58" w:rsidP="00A23C58">
      <w:pPr>
        <w:pStyle w:val="Heading1"/>
      </w:pPr>
      <w:r>
        <w:t>Quality Control</w:t>
      </w:r>
    </w:p>
    <w:p w14:paraId="706214BC" w14:textId="77777777" w:rsidR="0035473B" w:rsidRPr="0035473B" w:rsidRDefault="0035473B" w:rsidP="0035473B"/>
    <w:p w14:paraId="441B4F54" w14:textId="5500BE10" w:rsidR="00A23C58" w:rsidRDefault="00A23C58" w:rsidP="0035473B">
      <w:pPr>
        <w:spacing w:after="120"/>
      </w:pPr>
      <w:r w:rsidRPr="00A36CE1">
        <w:rPr>
          <w:b/>
        </w:rPr>
        <w:t>The Clinitrol 290</w:t>
      </w:r>
      <w:r w:rsidRPr="00A36CE1">
        <w:t xml:space="preserve"> is run on each shift prior to performing any patient testing. The obtained result must be 290 ± 2 mOsm. If a result outside this limit is obtained, the </w:t>
      </w:r>
      <w:r w:rsidR="005364B0" w:rsidRPr="00A36CE1">
        <w:t xml:space="preserve">290 solution </w:t>
      </w:r>
      <w:r w:rsidRPr="00A36CE1">
        <w:t>may be repeated</w:t>
      </w:r>
      <w:r w:rsidR="0011574A" w:rsidRPr="00A36CE1">
        <w:t xml:space="preserve"> with the same or freshly opened vial</w:t>
      </w:r>
      <w:r w:rsidRPr="00A36CE1">
        <w:t xml:space="preserve">. If  </w:t>
      </w:r>
      <w:r w:rsidR="0011574A" w:rsidRPr="00A36CE1">
        <w:t xml:space="preserve">the repeat </w:t>
      </w:r>
      <w:r w:rsidRPr="00A36CE1">
        <w:t xml:space="preserve">is still unacceptable, </w:t>
      </w:r>
      <w:r w:rsidR="0011574A" w:rsidRPr="00A36CE1">
        <w:t>routine troubleshooting should be performed and t</w:t>
      </w:r>
      <w:r w:rsidRPr="00A36CE1">
        <w:t>he system should be recalibrated.</w:t>
      </w:r>
    </w:p>
    <w:p w14:paraId="188856F6" w14:textId="77777777" w:rsidR="0035473B" w:rsidRDefault="0035473B" w:rsidP="0035473B">
      <w:pPr>
        <w:spacing w:after="120"/>
      </w:pPr>
    </w:p>
    <w:p w14:paraId="66BF108C" w14:textId="2C3EBECE" w:rsidR="00A23C58" w:rsidRDefault="00A23C58" w:rsidP="0035473B">
      <w:pPr>
        <w:spacing w:after="120"/>
      </w:pPr>
      <w:r>
        <w:rPr>
          <w:b/>
        </w:rPr>
        <w:t xml:space="preserve">Protinol 240, Protinol 320 and Biorad Level 2 Urine QC </w:t>
      </w:r>
      <w:r>
        <w:rPr>
          <w:bCs/>
        </w:rPr>
        <w:t xml:space="preserve">are run on each shift prior to performing any patient </w:t>
      </w:r>
      <w:r>
        <w:t xml:space="preserve">testing on that shift. If the obtained results are </w:t>
      </w:r>
      <w:r w:rsidRPr="00A36CE1">
        <w:t xml:space="preserve">unacceptable, the </w:t>
      </w:r>
      <w:r w:rsidR="0011574A" w:rsidRPr="00A36CE1">
        <w:t xml:space="preserve">unacceptable </w:t>
      </w:r>
      <w:r w:rsidRPr="00A36CE1">
        <w:t xml:space="preserve">sample may be </w:t>
      </w:r>
      <w:r w:rsidR="0011574A" w:rsidRPr="00A36CE1">
        <w:t xml:space="preserve">repeated with the same or freshly opened vial. </w:t>
      </w:r>
      <w:r w:rsidRPr="00A36CE1">
        <w:t xml:space="preserve">If </w:t>
      </w:r>
      <w:r w:rsidR="0011574A" w:rsidRPr="00A36CE1">
        <w:t xml:space="preserve">the result is </w:t>
      </w:r>
      <w:r w:rsidRPr="00A36CE1">
        <w:t xml:space="preserve">still unacceptable, </w:t>
      </w:r>
      <w:r w:rsidR="0011574A" w:rsidRPr="00A36CE1">
        <w:t xml:space="preserve">routine troubleshooting should be performed and the system should be recalibrated. </w:t>
      </w:r>
      <w:r w:rsidRPr="00A36CE1">
        <w:t xml:space="preserve">If problems persist, notify either </w:t>
      </w:r>
      <w:r w:rsidR="00A36CE1" w:rsidRPr="00A36CE1">
        <w:t>a</w:t>
      </w:r>
      <w:r w:rsidRPr="00A36CE1">
        <w:t xml:space="preserve"> technical specialist</w:t>
      </w:r>
      <w:r w:rsidR="0011574A" w:rsidRPr="00A36CE1">
        <w:t xml:space="preserve"> or the manager.</w:t>
      </w:r>
    </w:p>
    <w:p w14:paraId="4926C16A" w14:textId="77777777" w:rsidR="00A36CE1" w:rsidRDefault="00A36CE1" w:rsidP="00A23C58">
      <w:pPr>
        <w:spacing w:after="120"/>
        <w:rPr>
          <w:b/>
          <w:sz w:val="28"/>
        </w:rPr>
      </w:pPr>
    </w:p>
    <w:p w14:paraId="45BE6196" w14:textId="77777777" w:rsidR="00A36CE1" w:rsidRDefault="00A36CE1" w:rsidP="00A23C58">
      <w:pPr>
        <w:spacing w:after="120"/>
        <w:rPr>
          <w:b/>
          <w:sz w:val="28"/>
        </w:rPr>
      </w:pPr>
    </w:p>
    <w:p w14:paraId="65C02D10" w14:textId="77777777" w:rsidR="00A36CE1" w:rsidRDefault="00A36CE1" w:rsidP="00A23C58">
      <w:pPr>
        <w:spacing w:after="120"/>
        <w:rPr>
          <w:b/>
          <w:sz w:val="28"/>
        </w:rPr>
      </w:pPr>
    </w:p>
    <w:p w14:paraId="27DCABC5" w14:textId="33B299B9" w:rsidR="00A23C58" w:rsidRDefault="00A23C58" w:rsidP="00A23C58">
      <w:pPr>
        <w:spacing w:after="120"/>
        <w:rPr>
          <w:b/>
          <w:sz w:val="28"/>
        </w:rPr>
      </w:pPr>
      <w:r>
        <w:rPr>
          <w:b/>
          <w:sz w:val="28"/>
        </w:rPr>
        <w:t>Instrument Operation</w:t>
      </w:r>
    </w:p>
    <w:p w14:paraId="57B6617B" w14:textId="6BAE652F" w:rsidR="00A23C58" w:rsidRPr="00A36CE1" w:rsidRDefault="00A23C58" w:rsidP="00A23C58">
      <w:pPr>
        <w:numPr>
          <w:ilvl w:val="0"/>
          <w:numId w:val="1"/>
        </w:numPr>
        <w:spacing w:after="120"/>
        <w:rPr>
          <w:bCs/>
        </w:rPr>
      </w:pPr>
      <w:r w:rsidRPr="004C341F">
        <w:rPr>
          <w:bCs/>
        </w:rPr>
        <w:t xml:space="preserve">For </w:t>
      </w:r>
      <w:r w:rsidR="00E21328" w:rsidRPr="004C341F">
        <w:rPr>
          <w:bCs/>
        </w:rPr>
        <w:t>additional</w:t>
      </w:r>
      <w:r w:rsidR="00E21328">
        <w:rPr>
          <w:bCs/>
        </w:rPr>
        <w:t xml:space="preserve"> </w:t>
      </w:r>
      <w:r w:rsidR="00447C41">
        <w:rPr>
          <w:bCs/>
        </w:rPr>
        <w:t>in-depth</w:t>
      </w:r>
      <w:r w:rsidRPr="004C341F">
        <w:rPr>
          <w:bCs/>
        </w:rPr>
        <w:t xml:space="preserve"> </w:t>
      </w:r>
      <w:r>
        <w:rPr>
          <w:bCs/>
        </w:rPr>
        <w:t>information,</w:t>
      </w:r>
      <w:r w:rsidRPr="004C341F">
        <w:rPr>
          <w:bCs/>
        </w:rPr>
        <w:t xml:space="preserve"> refer </w:t>
      </w:r>
      <w:r w:rsidRPr="00A36CE1">
        <w:rPr>
          <w:bCs/>
        </w:rPr>
        <w:t xml:space="preserve">to </w:t>
      </w:r>
      <w:r w:rsidR="00E33FB5" w:rsidRPr="00A36CE1">
        <w:rPr>
          <w:bCs/>
        </w:rPr>
        <w:t>the OSMO 1 User Guide.</w:t>
      </w:r>
    </w:p>
    <w:p w14:paraId="4DEBCBEB" w14:textId="77777777" w:rsidR="00E21328" w:rsidRDefault="00A23C58" w:rsidP="00E21328">
      <w:pPr>
        <w:numPr>
          <w:ilvl w:val="0"/>
          <w:numId w:val="1"/>
        </w:numPr>
        <w:spacing w:after="120"/>
      </w:pPr>
      <w:r w:rsidRPr="00A36CE1">
        <w:t>Using the provided 20 ul sampler and disposable tips, place a tip on the sampler</w:t>
      </w:r>
      <w:r w:rsidR="00E33FB5" w:rsidRPr="00A36CE1">
        <w:t xml:space="preserve"> verifying that it is straight and firmly seated.</w:t>
      </w:r>
    </w:p>
    <w:p w14:paraId="3626055D" w14:textId="05EC1B9B" w:rsidR="00A23C58" w:rsidRPr="00E21328" w:rsidRDefault="00A23C58" w:rsidP="00E21328">
      <w:pPr>
        <w:numPr>
          <w:ilvl w:val="0"/>
          <w:numId w:val="1"/>
        </w:numPr>
        <w:spacing w:after="120"/>
      </w:pPr>
      <w:r>
        <w:t>Firmly depress the sampler plunger and insert the tip about 1/4 inch below the surface of the sample. Release the plunger to load 20 ul of sample.</w:t>
      </w:r>
      <w:r w:rsidR="00620E38">
        <w:t xml:space="preserve"> Check </w:t>
      </w:r>
      <w:r w:rsidR="005364B0">
        <w:t xml:space="preserve">that </w:t>
      </w:r>
      <w:r w:rsidR="00620E38">
        <w:t xml:space="preserve">the sample is free of bubbles. </w:t>
      </w:r>
    </w:p>
    <w:p w14:paraId="3EA284DD" w14:textId="2303C006" w:rsidR="00A23C58" w:rsidRDefault="00F62A7B" w:rsidP="00A36CE1">
      <w:pPr>
        <w:numPr>
          <w:ilvl w:val="0"/>
          <w:numId w:val="1"/>
        </w:numPr>
      </w:pPr>
      <w:r w:rsidRPr="00F62A7B">
        <w:t>Remove any sample on the outside of the tip using a clean, lint-free, non-ionic paper. Quickly swipe the end of the sampler tip to remove any excess sample protruding beyond the tip (Figure 1</w:t>
      </w:r>
      <w:r w:rsidR="00A36CE1">
        <w:t>7</w:t>
      </w:r>
      <w:r w:rsidRPr="00F62A7B">
        <w:t xml:space="preserve">). </w:t>
      </w:r>
      <w:r w:rsidRPr="00A36CE1">
        <w:rPr>
          <w:b/>
          <w:bCs/>
        </w:rPr>
        <w:t xml:space="preserve">NOTE: Be careful not to remove any of the sample below the acceptable meniscus line. See Figure </w:t>
      </w:r>
      <w:r w:rsidR="00776D80" w:rsidRPr="00A36CE1">
        <w:rPr>
          <w:b/>
          <w:bCs/>
        </w:rPr>
        <w:t>below</w:t>
      </w:r>
      <w:r w:rsidRPr="00A36CE1">
        <w:rPr>
          <w:b/>
          <w:bCs/>
        </w:rPr>
        <w:t xml:space="preserve"> for the proper sample level</w:t>
      </w:r>
      <w:r w:rsidR="00776D80" w:rsidRPr="00776D80">
        <w:rPr>
          <w:noProof/>
        </w:rPr>
        <w:t xml:space="preserve"> </w:t>
      </w:r>
      <w:r w:rsidR="00776D80" w:rsidRPr="00776D80">
        <w:rPr>
          <w:noProof/>
        </w:rPr>
        <w:drawing>
          <wp:inline distT="0" distB="0" distL="0" distR="0" wp14:anchorId="22EFD2CF" wp14:editId="657707C5">
            <wp:extent cx="2638793" cy="1695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38793" cy="1695687"/>
                    </a:xfrm>
                    <a:prstGeom prst="rect">
                      <a:avLst/>
                    </a:prstGeom>
                  </pic:spPr>
                </pic:pic>
              </a:graphicData>
            </a:graphic>
          </wp:inline>
        </w:drawing>
      </w:r>
    </w:p>
    <w:p w14:paraId="0C12992D" w14:textId="722332DA" w:rsidR="00E21328" w:rsidRDefault="00E21328" w:rsidP="00E21328">
      <w:pPr>
        <w:numPr>
          <w:ilvl w:val="0"/>
          <w:numId w:val="1"/>
        </w:numPr>
      </w:pPr>
      <w:r w:rsidRPr="00F62A7B">
        <w:t xml:space="preserve"> </w:t>
      </w:r>
      <w:r>
        <w:t>Remove the previous chamber cleaner from the sample port and discard.</w:t>
      </w:r>
    </w:p>
    <w:p w14:paraId="7BCFF111" w14:textId="2883E369" w:rsidR="00A23C58" w:rsidRDefault="00A23C58" w:rsidP="00A23C58">
      <w:pPr>
        <w:numPr>
          <w:ilvl w:val="0"/>
          <w:numId w:val="1"/>
        </w:numPr>
        <w:spacing w:after="120"/>
      </w:pPr>
      <w:r>
        <w:t xml:space="preserve">Holding the sampler by its barrel, insert the filled tip of the sample cell into the sample port and rest the sampler within the operating cradle </w:t>
      </w:r>
      <w:r w:rsidR="00E21328">
        <w:t>b</w:t>
      </w:r>
      <w:r>
        <w:t>eneath the cradle top.</w:t>
      </w:r>
    </w:p>
    <w:p w14:paraId="736010C2" w14:textId="77777777" w:rsidR="00A23C58" w:rsidRDefault="00A23C58" w:rsidP="00A23C58">
      <w:pPr>
        <w:pStyle w:val="Heading2"/>
      </w:pPr>
      <w:r>
        <w:t>Do not push it in by the plunger handle</w:t>
      </w:r>
    </w:p>
    <w:p w14:paraId="476FDEC8" w14:textId="77777777" w:rsidR="00A23C58" w:rsidRDefault="00A23C58" w:rsidP="00A23C58">
      <w:pPr>
        <w:spacing w:after="120"/>
        <w:ind w:left="1440"/>
        <w:rPr>
          <w:b/>
        </w:rPr>
      </w:pPr>
      <w:r>
        <w:rPr>
          <w:b/>
        </w:rPr>
        <w:t>Do not attempt to inject the sample into the chamber</w:t>
      </w:r>
    </w:p>
    <w:p w14:paraId="29C285AF" w14:textId="77777777" w:rsidR="00A23C58" w:rsidRDefault="00A23C58" w:rsidP="00A23C58">
      <w:pPr>
        <w:spacing w:after="120"/>
        <w:ind w:left="1440"/>
        <w:rPr>
          <w:b/>
        </w:rPr>
      </w:pPr>
      <w:r>
        <w:rPr>
          <w:b/>
        </w:rPr>
        <w:t>Do not remove the sampler until the test has been completed</w:t>
      </w:r>
    </w:p>
    <w:p w14:paraId="268F5B0D" w14:textId="45F5543A" w:rsidR="00A23C58" w:rsidRDefault="00A23C58" w:rsidP="00A23C58">
      <w:pPr>
        <w:numPr>
          <w:ilvl w:val="0"/>
          <w:numId w:val="1"/>
        </w:numPr>
        <w:spacing w:after="120"/>
      </w:pPr>
      <w:r>
        <w:t xml:space="preserve">Push the entire operating cradle </w:t>
      </w:r>
      <w:r w:rsidR="00620E38" w:rsidRPr="00E21328">
        <w:t>forward</w:t>
      </w:r>
      <w:r w:rsidR="00620E38">
        <w:t xml:space="preserve"> </w:t>
      </w:r>
      <w:r>
        <w:t>until it reaches a positive stop. The instrument will automatically complete the test and lock the reading onto the display</w:t>
      </w:r>
      <w:r w:rsidR="00620E38">
        <w:t>.</w:t>
      </w:r>
      <w:r>
        <w:t xml:space="preserve"> </w:t>
      </w:r>
    </w:p>
    <w:p w14:paraId="39A101B7" w14:textId="7780E4B2" w:rsidR="00E21328" w:rsidRDefault="00E21328" w:rsidP="00E21328">
      <w:pPr>
        <w:numPr>
          <w:ilvl w:val="0"/>
          <w:numId w:val="1"/>
        </w:numPr>
        <w:spacing w:after="120"/>
      </w:pPr>
      <w:r>
        <w:t>The following information will automatically print on a printer enabled unit:</w:t>
      </w:r>
    </w:p>
    <w:p w14:paraId="599CF980" w14:textId="11940C26" w:rsidR="00E21328" w:rsidRDefault="00447C41" w:rsidP="00E21328">
      <w:pPr>
        <w:numPr>
          <w:ilvl w:val="1"/>
          <w:numId w:val="1"/>
        </w:numPr>
        <w:spacing w:after="120"/>
      </w:pPr>
      <w:r>
        <w:t>d</w:t>
      </w:r>
      <w:r w:rsidR="00E21328">
        <w:t>ate</w:t>
      </w:r>
    </w:p>
    <w:p w14:paraId="41F516C1" w14:textId="3BACDBC0" w:rsidR="00E21328" w:rsidRDefault="00E21328" w:rsidP="00E21328">
      <w:pPr>
        <w:numPr>
          <w:ilvl w:val="1"/>
          <w:numId w:val="1"/>
        </w:numPr>
        <w:spacing w:after="120"/>
      </w:pPr>
      <w:r>
        <w:t>time</w:t>
      </w:r>
    </w:p>
    <w:p w14:paraId="5250AD6A" w14:textId="71772153" w:rsidR="00E21328" w:rsidRDefault="00E21328" w:rsidP="00E21328">
      <w:pPr>
        <w:numPr>
          <w:ilvl w:val="1"/>
          <w:numId w:val="1"/>
        </w:numPr>
        <w:spacing w:after="120"/>
      </w:pPr>
      <w:r>
        <w:t>serial number</w:t>
      </w:r>
    </w:p>
    <w:p w14:paraId="7D2441C2" w14:textId="02465F6C" w:rsidR="00E21328" w:rsidRDefault="00E21328" w:rsidP="00E21328">
      <w:pPr>
        <w:numPr>
          <w:ilvl w:val="1"/>
          <w:numId w:val="1"/>
        </w:numPr>
        <w:spacing w:after="120"/>
      </w:pPr>
      <w:r>
        <w:t>user ID (if enabled)</w:t>
      </w:r>
    </w:p>
    <w:p w14:paraId="3C6CF983" w14:textId="60C765DC" w:rsidR="00E21328" w:rsidRDefault="00E21328" w:rsidP="00E21328">
      <w:pPr>
        <w:numPr>
          <w:ilvl w:val="1"/>
          <w:numId w:val="1"/>
        </w:numPr>
        <w:spacing w:after="120"/>
      </w:pPr>
      <w:r>
        <w:t>sample ID</w:t>
      </w:r>
    </w:p>
    <w:p w14:paraId="26D28105" w14:textId="5C9B8888" w:rsidR="00E21328" w:rsidRDefault="00E21328" w:rsidP="00E21328">
      <w:pPr>
        <w:numPr>
          <w:ilvl w:val="1"/>
          <w:numId w:val="1"/>
        </w:numPr>
        <w:spacing w:after="120"/>
      </w:pPr>
      <w:r>
        <w:t>osmolality result</w:t>
      </w:r>
    </w:p>
    <w:p w14:paraId="64A4B858" w14:textId="3EF4873F" w:rsidR="00A23C58" w:rsidRDefault="00B96A29" w:rsidP="00A23C58">
      <w:pPr>
        <w:numPr>
          <w:ilvl w:val="0"/>
          <w:numId w:val="1"/>
        </w:numPr>
        <w:spacing w:after="120"/>
      </w:pPr>
      <w:r>
        <w:t xml:space="preserve"> Withdraw t</w:t>
      </w:r>
      <w:r w:rsidR="00A23C58" w:rsidRPr="004F73ED">
        <w:t xml:space="preserve">he </w:t>
      </w:r>
      <w:r>
        <w:t xml:space="preserve">cradle and remove the </w:t>
      </w:r>
      <w:r w:rsidR="00A23C58" w:rsidRPr="004F73ED">
        <w:t>sampler from the sample port</w:t>
      </w:r>
      <w:r>
        <w:t>. Discard the sample tip. Gently blot the plunger tip with a lint free tissue.</w:t>
      </w:r>
    </w:p>
    <w:p w14:paraId="3C87D853" w14:textId="55D1B18E" w:rsidR="00A23C58" w:rsidRDefault="00A23C58" w:rsidP="00776D80">
      <w:pPr>
        <w:numPr>
          <w:ilvl w:val="0"/>
          <w:numId w:val="1"/>
        </w:numPr>
        <w:spacing w:after="120"/>
      </w:pPr>
      <w:r>
        <w:lastRenderedPageBreak/>
        <w:t xml:space="preserve">Firmly insert a clean chamber cleaner into the sample port and rotate five to six times. Reverse the chamber cleaner to insert the opposite end and repeat. Leave the chamber cleaner in place until the next sample </w:t>
      </w:r>
      <w:r w:rsidR="00262805" w:rsidRPr="00E21328">
        <w:t>is</w:t>
      </w:r>
      <w:r w:rsidR="00262805">
        <w:t xml:space="preserve"> </w:t>
      </w:r>
      <w:r>
        <w:t>run.</w:t>
      </w:r>
    </w:p>
    <w:p w14:paraId="7B5A2349" w14:textId="77A2C074" w:rsidR="00A23C58" w:rsidRDefault="00A23C58" w:rsidP="00A23C58">
      <w:pPr>
        <w:numPr>
          <w:ilvl w:val="0"/>
          <w:numId w:val="1"/>
        </w:numPr>
        <w:spacing w:after="120"/>
      </w:pPr>
      <w:r>
        <w:t>Patient samples may be performed in</w:t>
      </w:r>
      <w:r w:rsidR="00447C41">
        <w:t xml:space="preserve"> </w:t>
      </w:r>
      <w:r>
        <w:t>duplicate at the operator’s discretion. Acceptable reproducibility is as follows;</w:t>
      </w:r>
    </w:p>
    <w:p w14:paraId="4C08B0B6" w14:textId="463041CB" w:rsidR="00A23C58" w:rsidRDefault="00A23C58" w:rsidP="00A23C58">
      <w:pPr>
        <w:spacing w:after="120"/>
        <w:ind w:left="1440"/>
      </w:pPr>
      <w:r>
        <w:t>Up to 400 mOsm/</w:t>
      </w:r>
      <w:r w:rsidR="00776D80">
        <w:t>k</w:t>
      </w:r>
      <w:r>
        <w:t>g H</w:t>
      </w:r>
      <w:r>
        <w:rPr>
          <w:vertAlign w:val="subscript"/>
        </w:rPr>
        <w:t>2</w:t>
      </w:r>
      <w:r>
        <w:t xml:space="preserve">O </w:t>
      </w:r>
      <w:r>
        <w:tab/>
        <w:t>± 2 mOsm</w:t>
      </w:r>
    </w:p>
    <w:p w14:paraId="796CD5E1" w14:textId="7A2F8114" w:rsidR="004574D9" w:rsidRDefault="004574D9" w:rsidP="00E21328">
      <w:pPr>
        <w:spacing w:after="120"/>
        <w:ind w:left="720" w:firstLine="720"/>
      </w:pPr>
      <w:r>
        <w:t>401 - 1000</w:t>
      </w:r>
      <w:r w:rsidRPr="004574D9">
        <w:t xml:space="preserve"> </w:t>
      </w:r>
      <w:r>
        <w:t>mOsm/</w:t>
      </w:r>
      <w:r w:rsidR="00776D80">
        <w:t>k</w:t>
      </w:r>
      <w:r>
        <w:t>g H</w:t>
      </w:r>
      <w:r>
        <w:rPr>
          <w:vertAlign w:val="subscript"/>
        </w:rPr>
        <w:t>2</w:t>
      </w:r>
      <w:r>
        <w:t>O     ±2%</w:t>
      </w:r>
    </w:p>
    <w:p w14:paraId="6390461F" w14:textId="11E4273D" w:rsidR="004574D9" w:rsidRDefault="004574D9" w:rsidP="00A23C58">
      <w:pPr>
        <w:spacing w:after="120"/>
        <w:ind w:left="1440"/>
      </w:pPr>
      <w:r>
        <w:t>1001 – 2000 mOsm/</w:t>
      </w:r>
      <w:r w:rsidR="00776D80">
        <w:t>k</w:t>
      </w:r>
      <w:r>
        <w:t>g H</w:t>
      </w:r>
      <w:r>
        <w:rPr>
          <w:vertAlign w:val="subscript"/>
        </w:rPr>
        <w:t>2</w:t>
      </w:r>
      <w:r>
        <w:t>O   ±4%</w:t>
      </w:r>
    </w:p>
    <w:p w14:paraId="698A0416" w14:textId="20B5277A" w:rsidR="00776D80" w:rsidRDefault="00776D80" w:rsidP="00776D80">
      <w:pPr>
        <w:spacing w:after="120"/>
      </w:pPr>
      <w:r w:rsidRPr="009E57EE">
        <w:rPr>
          <w:b/>
          <w:bCs/>
        </w:rPr>
        <w:t>NOTE</w:t>
      </w:r>
      <w:r>
        <w:t>: To reduce the chance of cross contamination, it may be suitable to perform a DH</w:t>
      </w:r>
      <w:r w:rsidRPr="009E57EE">
        <w:rPr>
          <w:vertAlign w:val="subscript"/>
        </w:rPr>
        <w:t>2</w:t>
      </w:r>
      <w:r>
        <w:t xml:space="preserve">O blank run after a sample with a measured concentration of 1200 mOsm/kg </w:t>
      </w:r>
      <w:r w:rsidR="00E21328">
        <w:t>or higher.</w:t>
      </w:r>
    </w:p>
    <w:p w14:paraId="613A9C7D" w14:textId="77777777" w:rsidR="00776D80" w:rsidRDefault="00776D80" w:rsidP="00776D80">
      <w:pPr>
        <w:spacing w:after="120"/>
      </w:pPr>
    </w:p>
    <w:p w14:paraId="02AAD4B1" w14:textId="77777777" w:rsidR="004574D9" w:rsidRDefault="00262805" w:rsidP="00262805">
      <w:pPr>
        <w:pStyle w:val="ListParagraph"/>
        <w:numPr>
          <w:ilvl w:val="0"/>
          <w:numId w:val="1"/>
        </w:numPr>
        <w:spacing w:after="120"/>
      </w:pPr>
      <w:r>
        <w:t>Continue testing samples in the same manner or log out by tapping the log in button. Automatic user logout occurs after 10 minutes with no further testing.</w:t>
      </w:r>
    </w:p>
    <w:p w14:paraId="36A43F5F" w14:textId="322CFB20" w:rsidR="00262805" w:rsidRDefault="00262805" w:rsidP="004574D9">
      <w:pPr>
        <w:pStyle w:val="ListParagraph"/>
        <w:spacing w:after="120"/>
        <w:ind w:left="360"/>
      </w:pPr>
      <w:r>
        <w:t xml:space="preserve"> (For defined user setup only).</w:t>
      </w:r>
    </w:p>
    <w:p w14:paraId="63894EBB" w14:textId="259E3613" w:rsidR="00262805" w:rsidRDefault="00262805" w:rsidP="00A23C58">
      <w:pPr>
        <w:spacing w:after="120"/>
        <w:ind w:left="1440"/>
      </w:pPr>
    </w:p>
    <w:p w14:paraId="2A2F0ED4" w14:textId="77777777" w:rsidR="00A23C58" w:rsidRPr="007A61A9" w:rsidRDefault="00A23C58" w:rsidP="00A23C58">
      <w:pPr>
        <w:pStyle w:val="Header"/>
        <w:tabs>
          <w:tab w:val="clear" w:pos="4320"/>
          <w:tab w:val="clear" w:pos="8640"/>
        </w:tabs>
        <w:spacing w:after="120"/>
        <w:rPr>
          <w:b/>
          <w:bCs/>
          <w:sz w:val="28"/>
          <w:szCs w:val="28"/>
        </w:rPr>
      </w:pPr>
      <w:r w:rsidRPr="007A61A9">
        <w:rPr>
          <w:b/>
          <w:bCs/>
          <w:sz w:val="28"/>
          <w:szCs w:val="28"/>
        </w:rPr>
        <w:t>Recommended Daily Procedure &amp; Workflow</w:t>
      </w:r>
    </w:p>
    <w:p w14:paraId="6A58B560" w14:textId="77777777" w:rsidR="00A23C58" w:rsidRDefault="00A23C58" w:rsidP="00A23C58">
      <w:pPr>
        <w:pStyle w:val="Header"/>
        <w:tabs>
          <w:tab w:val="clear" w:pos="4320"/>
          <w:tab w:val="clear" w:pos="8640"/>
        </w:tabs>
        <w:spacing w:after="120"/>
        <w:jc w:val="center"/>
      </w:pPr>
      <w:r w:rsidRPr="006C3638">
        <w:rPr>
          <w:noProof/>
        </w:rPr>
        <w:drawing>
          <wp:inline distT="0" distB="0" distL="0" distR="0" wp14:anchorId="62E46746" wp14:editId="6F5AC8DC">
            <wp:extent cx="5351780" cy="3101975"/>
            <wp:effectExtent l="0" t="0" r="0" b="0"/>
            <wp:docPr id="1"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780" cy="3101975"/>
                    </a:xfrm>
                    <a:prstGeom prst="rect">
                      <a:avLst/>
                    </a:prstGeom>
                    <a:noFill/>
                    <a:ln>
                      <a:noFill/>
                    </a:ln>
                  </pic:spPr>
                </pic:pic>
              </a:graphicData>
            </a:graphic>
          </wp:inline>
        </w:drawing>
      </w:r>
    </w:p>
    <w:p w14:paraId="73418A2C" w14:textId="77777777" w:rsidR="00E21328" w:rsidRDefault="00E21328" w:rsidP="00A23C58">
      <w:pPr>
        <w:spacing w:after="120"/>
        <w:rPr>
          <w:b/>
          <w:sz w:val="28"/>
        </w:rPr>
      </w:pPr>
    </w:p>
    <w:p w14:paraId="2F5089AC" w14:textId="77777777" w:rsidR="00E21328" w:rsidRDefault="00E21328" w:rsidP="00A23C58">
      <w:pPr>
        <w:spacing w:after="120"/>
        <w:rPr>
          <w:b/>
          <w:sz w:val="28"/>
        </w:rPr>
      </w:pPr>
    </w:p>
    <w:p w14:paraId="06A68E4D" w14:textId="77777777" w:rsidR="00E21328" w:rsidRDefault="00E21328" w:rsidP="00A23C58">
      <w:pPr>
        <w:spacing w:after="120"/>
        <w:rPr>
          <w:b/>
          <w:sz w:val="28"/>
        </w:rPr>
      </w:pPr>
    </w:p>
    <w:p w14:paraId="2EE60552" w14:textId="77777777" w:rsidR="00E21328" w:rsidRDefault="00E21328" w:rsidP="00A23C58">
      <w:pPr>
        <w:spacing w:after="120"/>
        <w:rPr>
          <w:b/>
          <w:sz w:val="28"/>
        </w:rPr>
      </w:pPr>
    </w:p>
    <w:p w14:paraId="0A6DDC93" w14:textId="77777777" w:rsidR="00E21328" w:rsidRDefault="00E21328" w:rsidP="00A23C58">
      <w:pPr>
        <w:spacing w:after="120"/>
        <w:rPr>
          <w:b/>
          <w:sz w:val="28"/>
        </w:rPr>
      </w:pPr>
    </w:p>
    <w:p w14:paraId="62C9F612" w14:textId="4966DE60" w:rsidR="00A23C58" w:rsidRDefault="00776D80" w:rsidP="00A23C58">
      <w:pPr>
        <w:spacing w:after="120"/>
        <w:rPr>
          <w:b/>
          <w:sz w:val="28"/>
        </w:rPr>
      </w:pPr>
      <w:r>
        <w:rPr>
          <w:b/>
          <w:sz w:val="28"/>
        </w:rPr>
        <w:lastRenderedPageBreak/>
        <w:t>P</w:t>
      </w:r>
      <w:r w:rsidR="00A23C58">
        <w:rPr>
          <w:b/>
          <w:sz w:val="28"/>
        </w:rPr>
        <w:t>rocedural Notes</w:t>
      </w:r>
    </w:p>
    <w:p w14:paraId="78F20C18" w14:textId="77777777" w:rsidR="00A23C58" w:rsidRDefault="00A23C58" w:rsidP="00A23C58">
      <w:pPr>
        <w:numPr>
          <w:ilvl w:val="0"/>
          <w:numId w:val="2"/>
        </w:numPr>
        <w:spacing w:after="120"/>
      </w:pPr>
      <w:r>
        <w:t>Grossly hemolyzed samples should not be performed in any instance where all other analytes are not reported due to gross hemolysis.</w:t>
      </w:r>
    </w:p>
    <w:p w14:paraId="00F452D6" w14:textId="154A7F8D" w:rsidR="00A23C58" w:rsidRDefault="00A23C58" w:rsidP="00A23C58">
      <w:pPr>
        <w:numPr>
          <w:ilvl w:val="0"/>
          <w:numId w:val="2"/>
        </w:numPr>
        <w:spacing w:after="120"/>
      </w:pPr>
      <w:r>
        <w:t>If several specimens are to be analyzed, it is suggested that serums and urines be batched separately.</w:t>
      </w:r>
    </w:p>
    <w:p w14:paraId="36B98B96" w14:textId="77777777" w:rsidR="00AC1B76" w:rsidRDefault="00A23C58" w:rsidP="00AC1B76">
      <w:pPr>
        <w:numPr>
          <w:ilvl w:val="0"/>
          <w:numId w:val="2"/>
        </w:numPr>
        <w:spacing w:after="120"/>
      </w:pPr>
      <w:r>
        <w:t>An improperly cleaned and dried sample chamber may cause “pre-freeze” errors and poor reproducibility. Cleaning and drying with a sample chamber cleaner moistened with isopropyl alcohol can improve performance.</w:t>
      </w:r>
    </w:p>
    <w:p w14:paraId="532EB055" w14:textId="177A3CC9" w:rsidR="00AC1B76" w:rsidRDefault="00A23C58" w:rsidP="00AC1B76">
      <w:pPr>
        <w:numPr>
          <w:ilvl w:val="0"/>
          <w:numId w:val="2"/>
        </w:numPr>
        <w:spacing w:after="120"/>
      </w:pPr>
      <w:r w:rsidRPr="00244AFA">
        <w:t>Cross contamination from previous samples can affect the result obtained from a subsequent test. To minimize this effect when testing samples whose expected range is appreciably different from that for previous tests, it is acceptable to run two or more replicates of the new sample and disregard the first result. Also be sure to clean the cooling chamber and sampler properly after each test.  </w:t>
      </w:r>
      <w:r w:rsidR="00AC1B76">
        <w:t>Alternately, a DH</w:t>
      </w:r>
      <w:r w:rsidR="00AC1B76" w:rsidRPr="00AC1B76">
        <w:rPr>
          <w:vertAlign w:val="subscript"/>
        </w:rPr>
        <w:t>2</w:t>
      </w:r>
      <w:r w:rsidR="00AC1B76">
        <w:t>O blank can be run following any osmo</w:t>
      </w:r>
      <w:r w:rsidR="00E21328">
        <w:t>lality</w:t>
      </w:r>
      <w:r w:rsidR="00AC1B76">
        <w:t xml:space="preserve"> result greater than 1200 mOsm/</w:t>
      </w:r>
      <w:r w:rsidR="00E21328">
        <w:t>k</w:t>
      </w:r>
      <w:r w:rsidR="00AC1B76">
        <w:t>g H</w:t>
      </w:r>
      <w:r w:rsidR="00AC1B76" w:rsidRPr="00AC1B76">
        <w:rPr>
          <w:vertAlign w:val="subscript"/>
        </w:rPr>
        <w:t>2</w:t>
      </w:r>
      <w:r w:rsidR="00AC1B76">
        <w:t>O.</w:t>
      </w:r>
    </w:p>
    <w:p w14:paraId="477A9ECB" w14:textId="77777777" w:rsidR="00287AAB" w:rsidRDefault="00287AAB" w:rsidP="00287AAB">
      <w:pPr>
        <w:spacing w:after="120"/>
        <w:ind w:left="360"/>
      </w:pPr>
    </w:p>
    <w:p w14:paraId="7FF56C16" w14:textId="462ABF4B" w:rsidR="00287AAB" w:rsidRDefault="00287AAB" w:rsidP="00287AAB">
      <w:pPr>
        <w:spacing w:after="120"/>
        <w:rPr>
          <w:b/>
          <w:bCs/>
          <w:sz w:val="28"/>
          <w:szCs w:val="28"/>
        </w:rPr>
      </w:pPr>
      <w:r w:rsidRPr="00287AAB">
        <w:rPr>
          <w:b/>
          <w:bCs/>
          <w:sz w:val="28"/>
          <w:szCs w:val="28"/>
        </w:rPr>
        <w:t>Reporting Results</w:t>
      </w:r>
    </w:p>
    <w:p w14:paraId="70F96926" w14:textId="39B27CF0" w:rsidR="00287AAB" w:rsidRPr="00287AAB" w:rsidRDefault="00287AAB" w:rsidP="00287AAB">
      <w:pPr>
        <w:spacing w:after="120"/>
      </w:pPr>
      <w:r w:rsidRPr="00287AAB">
        <w:t>Osmolality results will be manually entered in LIS via task list or resulting worklist.</w:t>
      </w:r>
      <w:r>
        <w:t xml:space="preserve"> Manually resulted values are checked daily for entry accuracy by a technologist specialist or designee.</w:t>
      </w:r>
    </w:p>
    <w:p w14:paraId="1E673E10" w14:textId="77777777" w:rsidR="00A23C58" w:rsidRDefault="00A23C58" w:rsidP="00A23C58">
      <w:pPr>
        <w:spacing w:after="120"/>
      </w:pPr>
    </w:p>
    <w:p w14:paraId="79C49DC9" w14:textId="77777777" w:rsidR="00A23C58" w:rsidRDefault="00A23C58" w:rsidP="00A23C58">
      <w:pPr>
        <w:pStyle w:val="Heading1"/>
      </w:pPr>
      <w:r>
        <w:t>Normal Values</w:t>
      </w:r>
    </w:p>
    <w:p w14:paraId="06E62E25" w14:textId="511E7A64" w:rsidR="00A23C58" w:rsidRDefault="00A23C58" w:rsidP="00A23C58">
      <w:pPr>
        <w:spacing w:after="120"/>
        <w:ind w:left="1440"/>
      </w:pPr>
      <w:r>
        <w:t>Serum: 290 - 300 mOsm/</w:t>
      </w:r>
      <w:r w:rsidR="00E21328">
        <w:t>k</w:t>
      </w:r>
      <w:r>
        <w:t>g H</w:t>
      </w:r>
      <w:r>
        <w:rPr>
          <w:vertAlign w:val="subscript"/>
        </w:rPr>
        <w:t>2</w:t>
      </w:r>
      <w:r>
        <w:t>O</w:t>
      </w:r>
    </w:p>
    <w:p w14:paraId="4784FA50" w14:textId="77777777" w:rsidR="00A23C58" w:rsidRDefault="00A23C58" w:rsidP="00A23C58">
      <w:pPr>
        <w:spacing w:after="120"/>
        <w:ind w:left="1440"/>
      </w:pPr>
      <w:r>
        <w:t>Urine:</w:t>
      </w:r>
      <w:r>
        <w:tab/>
        <w:t>None established due to extreme variability</w:t>
      </w:r>
    </w:p>
    <w:p w14:paraId="7C2D2083" w14:textId="77777777" w:rsidR="00A23C58" w:rsidRDefault="00A23C58" w:rsidP="00A23C58">
      <w:pPr>
        <w:spacing w:after="120"/>
        <w:rPr>
          <w:b/>
          <w:sz w:val="28"/>
        </w:rPr>
      </w:pPr>
    </w:p>
    <w:p w14:paraId="6A452AC9" w14:textId="77777777" w:rsidR="00A23C58" w:rsidRDefault="00A23C58" w:rsidP="00A23C58">
      <w:pPr>
        <w:spacing w:after="120"/>
        <w:rPr>
          <w:b/>
          <w:sz w:val="28"/>
        </w:rPr>
      </w:pPr>
      <w:r>
        <w:rPr>
          <w:b/>
          <w:sz w:val="28"/>
        </w:rPr>
        <w:t>Reportable Range</w:t>
      </w:r>
    </w:p>
    <w:p w14:paraId="7A87621E" w14:textId="4E3E5C6B" w:rsidR="00A23C58" w:rsidRDefault="00A23C58" w:rsidP="00A23C58">
      <w:pPr>
        <w:spacing w:after="120"/>
        <w:ind w:left="1440"/>
      </w:pPr>
      <w:r>
        <w:t>10 - 2000 mOsm/</w:t>
      </w:r>
      <w:r w:rsidR="00E21328">
        <w:t>k</w:t>
      </w:r>
      <w:r>
        <w:t>g H</w:t>
      </w:r>
      <w:r>
        <w:rPr>
          <w:vertAlign w:val="subscript"/>
        </w:rPr>
        <w:t>2</w:t>
      </w:r>
      <w:r>
        <w:t>O</w:t>
      </w:r>
    </w:p>
    <w:p w14:paraId="36CC17D4" w14:textId="77777777" w:rsidR="00A23C58" w:rsidRDefault="00A23C58" w:rsidP="00A23C58">
      <w:pPr>
        <w:spacing w:after="120"/>
        <w:rPr>
          <w:b/>
          <w:sz w:val="28"/>
        </w:rPr>
      </w:pPr>
    </w:p>
    <w:p w14:paraId="4EBAEE77" w14:textId="77777777" w:rsidR="00A23C58" w:rsidRDefault="00A23C58" w:rsidP="00A23C58">
      <w:pPr>
        <w:spacing w:after="120"/>
        <w:rPr>
          <w:b/>
          <w:sz w:val="28"/>
        </w:rPr>
      </w:pPr>
      <w:r>
        <w:rPr>
          <w:b/>
          <w:sz w:val="28"/>
        </w:rPr>
        <w:t>References</w:t>
      </w:r>
    </w:p>
    <w:p w14:paraId="5C5E24F0" w14:textId="35C07225" w:rsidR="00AC1B76" w:rsidRDefault="00AC1B76" w:rsidP="00A23C58">
      <w:pPr>
        <w:spacing w:after="120"/>
      </w:pPr>
      <w:r>
        <w:t xml:space="preserve">OSMO 1 Single Sample Micro-Osmometer User Guide </w:t>
      </w:r>
      <w:r w:rsidRPr="00AC1B76">
        <w:t>©</w:t>
      </w:r>
      <w:r>
        <w:t>2018 Advanced Instruments</w:t>
      </w:r>
    </w:p>
    <w:p w14:paraId="32E7D6ED" w14:textId="77777777" w:rsidR="00AC1B76" w:rsidRPr="00AC1B76" w:rsidRDefault="00AC1B76" w:rsidP="00A23C58">
      <w:pPr>
        <w:spacing w:after="120"/>
      </w:pPr>
    </w:p>
    <w:sectPr w:rsidR="00AC1B76" w:rsidRPr="00AC1B76" w:rsidSect="00886E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D0D7" w14:textId="77777777" w:rsidR="00526952" w:rsidRDefault="00526952" w:rsidP="00526952">
      <w:r>
        <w:separator/>
      </w:r>
    </w:p>
  </w:endnote>
  <w:endnote w:type="continuationSeparator" w:id="0">
    <w:p w14:paraId="6707173E" w14:textId="77777777" w:rsidR="00526952" w:rsidRDefault="00526952" w:rsidP="0052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1D88" w14:textId="14EBE36C" w:rsidR="00526952" w:rsidRPr="00526952" w:rsidRDefault="00526952">
    <w:pPr>
      <w:pStyle w:val="Footer"/>
      <w:rPr>
        <w:i/>
        <w:iCs/>
        <w:sz w:val="18"/>
        <w:szCs w:val="18"/>
      </w:rPr>
    </w:pPr>
    <w:r w:rsidRPr="00526952">
      <w:rPr>
        <w:i/>
        <w:iCs/>
        <w:sz w:val="18"/>
        <w:szCs w:val="18"/>
      </w:rPr>
      <w:t>Osmo1</w:t>
    </w:r>
    <w:r>
      <w:rPr>
        <w:i/>
        <w:iCs/>
        <w:sz w:val="18"/>
        <w:szCs w:val="18"/>
      </w:rPr>
      <w:tab/>
    </w:r>
    <w:r>
      <w:rPr>
        <w:i/>
        <w:iCs/>
        <w:sz w:val="18"/>
        <w:szCs w:val="18"/>
      </w:rPr>
      <w:tab/>
    </w:r>
    <w:r w:rsidRPr="00526952">
      <w:rPr>
        <w:sz w:val="22"/>
        <w:szCs w:val="22"/>
      </w:rPr>
      <w:fldChar w:fldCharType="begin"/>
    </w:r>
    <w:r w:rsidRPr="00526952">
      <w:rPr>
        <w:sz w:val="22"/>
        <w:szCs w:val="22"/>
      </w:rPr>
      <w:instrText xml:space="preserve"> PAGE   \* MERGEFORMAT </w:instrText>
    </w:r>
    <w:r w:rsidRPr="00526952">
      <w:rPr>
        <w:sz w:val="22"/>
        <w:szCs w:val="22"/>
      </w:rPr>
      <w:fldChar w:fldCharType="separate"/>
    </w:r>
    <w:r w:rsidRPr="00526952">
      <w:rPr>
        <w:noProof/>
        <w:sz w:val="22"/>
        <w:szCs w:val="22"/>
      </w:rPr>
      <w:t>1</w:t>
    </w:r>
    <w:r w:rsidRPr="00526952">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14B3B" w14:textId="77777777" w:rsidR="00526952" w:rsidRDefault="00526952" w:rsidP="00526952">
      <w:r>
        <w:separator/>
      </w:r>
    </w:p>
  </w:footnote>
  <w:footnote w:type="continuationSeparator" w:id="0">
    <w:p w14:paraId="18E5FE26" w14:textId="77777777" w:rsidR="00526952" w:rsidRDefault="00526952" w:rsidP="00526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B24"/>
    <w:multiLevelType w:val="hybridMultilevel"/>
    <w:tmpl w:val="D45C6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233B63"/>
    <w:multiLevelType w:val="hybridMultilevel"/>
    <w:tmpl w:val="1C28A39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735390"/>
    <w:multiLevelType w:val="hybridMultilevel"/>
    <w:tmpl w:val="723841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3C18E6"/>
    <w:multiLevelType w:val="hybridMultilevel"/>
    <w:tmpl w:val="EAF2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D4451"/>
    <w:multiLevelType w:val="hybridMultilevel"/>
    <w:tmpl w:val="1948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50EA7"/>
    <w:multiLevelType w:val="hybridMultilevel"/>
    <w:tmpl w:val="544C77BE"/>
    <w:lvl w:ilvl="0" w:tplc="04D003F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58"/>
    <w:rsid w:val="0000347A"/>
    <w:rsid w:val="000646C1"/>
    <w:rsid w:val="00065CE1"/>
    <w:rsid w:val="0011574A"/>
    <w:rsid w:val="00240AD3"/>
    <w:rsid w:val="00262805"/>
    <w:rsid w:val="00287AAB"/>
    <w:rsid w:val="0030022F"/>
    <w:rsid w:val="0035473B"/>
    <w:rsid w:val="00447C41"/>
    <w:rsid w:val="004574D9"/>
    <w:rsid w:val="00526952"/>
    <w:rsid w:val="005364B0"/>
    <w:rsid w:val="00555A03"/>
    <w:rsid w:val="00620E38"/>
    <w:rsid w:val="006D7A54"/>
    <w:rsid w:val="00776D80"/>
    <w:rsid w:val="007A12FF"/>
    <w:rsid w:val="007D22A1"/>
    <w:rsid w:val="00860B4C"/>
    <w:rsid w:val="00886ED7"/>
    <w:rsid w:val="00951885"/>
    <w:rsid w:val="009E57EE"/>
    <w:rsid w:val="00A052D3"/>
    <w:rsid w:val="00A23C58"/>
    <w:rsid w:val="00A36CE1"/>
    <w:rsid w:val="00AC1B76"/>
    <w:rsid w:val="00B96A29"/>
    <w:rsid w:val="00BD274B"/>
    <w:rsid w:val="00D425F7"/>
    <w:rsid w:val="00DA2E81"/>
    <w:rsid w:val="00E21328"/>
    <w:rsid w:val="00E33FB5"/>
    <w:rsid w:val="00E85AD8"/>
    <w:rsid w:val="00EC6724"/>
    <w:rsid w:val="00ED768B"/>
    <w:rsid w:val="00F34CFB"/>
    <w:rsid w:val="00F6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AB13"/>
  <w15:chartTrackingRefBased/>
  <w15:docId w15:val="{A533713A-D271-524D-9378-1143FB01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58"/>
    <w:rPr>
      <w:rFonts w:ascii="Times New Roman" w:eastAsia="Times New Roman" w:hAnsi="Times New Roman" w:cs="Times New Roman"/>
    </w:rPr>
  </w:style>
  <w:style w:type="paragraph" w:styleId="Heading1">
    <w:name w:val="heading 1"/>
    <w:basedOn w:val="Normal"/>
    <w:next w:val="Normal"/>
    <w:link w:val="Heading1Char"/>
    <w:qFormat/>
    <w:rsid w:val="00A23C58"/>
    <w:pPr>
      <w:keepNext/>
      <w:spacing w:after="120"/>
      <w:outlineLvl w:val="0"/>
    </w:pPr>
    <w:rPr>
      <w:b/>
      <w:sz w:val="28"/>
    </w:rPr>
  </w:style>
  <w:style w:type="paragraph" w:styleId="Heading2">
    <w:name w:val="heading 2"/>
    <w:basedOn w:val="Normal"/>
    <w:next w:val="Normal"/>
    <w:link w:val="Heading2Char"/>
    <w:qFormat/>
    <w:rsid w:val="00A23C58"/>
    <w:pPr>
      <w:keepNext/>
      <w:spacing w:after="120"/>
      <w:ind w:left="14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3C58"/>
    <w:rPr>
      <w:rFonts w:ascii="Times New Roman" w:eastAsia="Times New Roman" w:hAnsi="Times New Roman" w:cs="Times New Roman"/>
      <w:b/>
      <w:sz w:val="28"/>
    </w:rPr>
  </w:style>
  <w:style w:type="character" w:customStyle="1" w:styleId="Heading2Char">
    <w:name w:val="Heading 2 Char"/>
    <w:basedOn w:val="DefaultParagraphFont"/>
    <w:link w:val="Heading2"/>
    <w:rsid w:val="00A23C58"/>
    <w:rPr>
      <w:rFonts w:ascii="Times New Roman" w:eastAsia="Times New Roman" w:hAnsi="Times New Roman" w:cs="Times New Roman"/>
      <w:b/>
    </w:rPr>
  </w:style>
  <w:style w:type="paragraph" w:styleId="Title">
    <w:name w:val="Title"/>
    <w:basedOn w:val="Normal"/>
    <w:link w:val="TitleChar"/>
    <w:qFormat/>
    <w:rsid w:val="00A23C58"/>
    <w:pPr>
      <w:spacing w:after="120"/>
      <w:jc w:val="center"/>
    </w:pPr>
    <w:rPr>
      <w:b/>
      <w:sz w:val="28"/>
    </w:rPr>
  </w:style>
  <w:style w:type="character" w:customStyle="1" w:styleId="TitleChar">
    <w:name w:val="Title Char"/>
    <w:basedOn w:val="DefaultParagraphFont"/>
    <w:link w:val="Title"/>
    <w:rsid w:val="00A23C58"/>
    <w:rPr>
      <w:rFonts w:ascii="Times New Roman" w:eastAsia="Times New Roman" w:hAnsi="Times New Roman" w:cs="Times New Roman"/>
      <w:b/>
      <w:sz w:val="28"/>
    </w:rPr>
  </w:style>
  <w:style w:type="paragraph" w:styleId="Header">
    <w:name w:val="header"/>
    <w:basedOn w:val="Normal"/>
    <w:link w:val="HeaderChar"/>
    <w:semiHidden/>
    <w:rsid w:val="00A23C58"/>
    <w:pPr>
      <w:tabs>
        <w:tab w:val="center" w:pos="4320"/>
        <w:tab w:val="right" w:pos="8640"/>
      </w:tabs>
    </w:pPr>
  </w:style>
  <w:style w:type="character" w:customStyle="1" w:styleId="HeaderChar">
    <w:name w:val="Header Char"/>
    <w:basedOn w:val="DefaultParagraphFont"/>
    <w:link w:val="Header"/>
    <w:semiHidden/>
    <w:rsid w:val="00A23C58"/>
    <w:rPr>
      <w:rFonts w:ascii="Times New Roman" w:eastAsia="Times New Roman" w:hAnsi="Times New Roman" w:cs="Times New Roman"/>
    </w:rPr>
  </w:style>
  <w:style w:type="paragraph" w:customStyle="1" w:styleId="Default">
    <w:name w:val="Default"/>
    <w:rsid w:val="00A23C58"/>
    <w:pPr>
      <w:autoSpaceDE w:val="0"/>
      <w:autoSpaceDN w:val="0"/>
      <w:adjustRightInd w:val="0"/>
    </w:pPr>
    <w:rPr>
      <w:rFonts w:ascii="Gotham" w:eastAsia="Times New Roman" w:hAnsi="Gotham" w:cs="Gotham"/>
      <w:color w:val="000000"/>
    </w:rPr>
  </w:style>
  <w:style w:type="paragraph" w:styleId="ListParagraph">
    <w:name w:val="List Paragraph"/>
    <w:basedOn w:val="Normal"/>
    <w:uiPriority w:val="34"/>
    <w:qFormat/>
    <w:rsid w:val="00F34CFB"/>
    <w:pPr>
      <w:ind w:left="720"/>
      <w:contextualSpacing/>
    </w:pPr>
  </w:style>
  <w:style w:type="paragraph" w:styleId="BalloonText">
    <w:name w:val="Balloon Text"/>
    <w:basedOn w:val="Normal"/>
    <w:link w:val="BalloonTextChar"/>
    <w:uiPriority w:val="99"/>
    <w:semiHidden/>
    <w:unhideWhenUsed/>
    <w:rsid w:val="00BD2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74B"/>
    <w:rPr>
      <w:rFonts w:ascii="Segoe UI" w:eastAsia="Times New Roman" w:hAnsi="Segoe UI" w:cs="Segoe UI"/>
      <w:sz w:val="18"/>
      <w:szCs w:val="18"/>
    </w:rPr>
  </w:style>
  <w:style w:type="paragraph" w:styleId="Footer">
    <w:name w:val="footer"/>
    <w:basedOn w:val="Normal"/>
    <w:link w:val="FooterChar"/>
    <w:uiPriority w:val="99"/>
    <w:unhideWhenUsed/>
    <w:rsid w:val="00526952"/>
    <w:pPr>
      <w:tabs>
        <w:tab w:val="center" w:pos="4680"/>
        <w:tab w:val="right" w:pos="9360"/>
      </w:tabs>
    </w:pPr>
  </w:style>
  <w:style w:type="character" w:customStyle="1" w:styleId="FooterChar">
    <w:name w:val="Footer Char"/>
    <w:basedOn w:val="DefaultParagraphFont"/>
    <w:link w:val="Footer"/>
    <w:uiPriority w:val="99"/>
    <w:rsid w:val="005269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Sheryl</dc:creator>
  <cp:keywords/>
  <dc:description/>
  <cp:lastModifiedBy>Napert, Debra A</cp:lastModifiedBy>
  <cp:revision>4</cp:revision>
  <cp:lastPrinted>2020-10-08T17:20:00Z</cp:lastPrinted>
  <dcterms:created xsi:type="dcterms:W3CDTF">2020-10-08T18:06:00Z</dcterms:created>
  <dcterms:modified xsi:type="dcterms:W3CDTF">2020-10-08T18:09:00Z</dcterms:modified>
</cp:coreProperties>
</file>