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8B9" w:rsidRPr="00EF2E7A" w:rsidRDefault="004048B9" w:rsidP="00EF2E7A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  <w:u w:val="single"/>
        </w:rPr>
        <w:t>PROCEDURE:</w:t>
      </w:r>
      <w:r w:rsidRPr="00EF2E7A">
        <w:rPr>
          <w:rFonts w:ascii="Arial" w:hAnsi="Arial" w:cs="Arial"/>
          <w:b/>
          <w:sz w:val="20"/>
          <w:szCs w:val="20"/>
        </w:rPr>
        <w:t xml:space="preserve"> </w:t>
      </w:r>
      <w:r w:rsidRPr="00EF2E7A">
        <w:rPr>
          <w:rFonts w:ascii="Arial" w:hAnsi="Arial" w:cs="Arial"/>
          <w:b/>
          <w:sz w:val="20"/>
          <w:szCs w:val="20"/>
        </w:rPr>
        <w:tab/>
      </w:r>
      <w:r w:rsidR="000F0EA4" w:rsidRPr="00EF2E7A">
        <w:rPr>
          <w:rFonts w:ascii="Arial" w:hAnsi="Arial" w:cs="Arial"/>
          <w:b/>
          <w:sz w:val="20"/>
          <w:szCs w:val="20"/>
        </w:rPr>
        <w:t>GROUP B</w:t>
      </w:r>
      <w:r w:rsidR="00FF0D5F" w:rsidRPr="00EF2E7A">
        <w:rPr>
          <w:rFonts w:ascii="Arial" w:hAnsi="Arial" w:cs="Arial"/>
          <w:b/>
          <w:sz w:val="20"/>
          <w:szCs w:val="20"/>
        </w:rPr>
        <w:t xml:space="preserve"> STREP BY PCR</w:t>
      </w:r>
    </w:p>
    <w:p w:rsidR="004048B9" w:rsidRPr="00EF2E7A" w:rsidRDefault="004048B9" w:rsidP="00EF2E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154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PRINCIPLE</w:t>
      </w:r>
    </w:p>
    <w:p w:rsidR="006A4242" w:rsidRPr="00EF2E7A" w:rsidRDefault="006A4242" w:rsidP="006A4242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BF7154" w:rsidRPr="00EF2E7A" w:rsidRDefault="00FF0D5F" w:rsidP="00EF2E7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Group B streptococci</w:t>
      </w:r>
      <w:r w:rsidR="000169D5" w:rsidRPr="00EF2E7A">
        <w:rPr>
          <w:rFonts w:ascii="Arial" w:hAnsi="Arial" w:cs="Arial"/>
          <w:sz w:val="20"/>
          <w:szCs w:val="20"/>
        </w:rPr>
        <w:t xml:space="preserve"> (GBS)</w:t>
      </w:r>
      <w:r w:rsidRPr="00EF2E7A">
        <w:rPr>
          <w:rFonts w:ascii="Arial" w:hAnsi="Arial" w:cs="Arial"/>
          <w:sz w:val="20"/>
          <w:szCs w:val="20"/>
        </w:rPr>
        <w:t xml:space="preserve"> are gram-positive, beta-hemolytic bacterial pathogens associated </w:t>
      </w:r>
      <w:r w:rsidR="00931685" w:rsidRPr="00EF2E7A">
        <w:rPr>
          <w:rFonts w:ascii="Arial" w:hAnsi="Arial" w:cs="Arial"/>
          <w:sz w:val="20"/>
          <w:szCs w:val="20"/>
        </w:rPr>
        <w:t>with serious illness in newborns</w:t>
      </w:r>
      <w:r w:rsidRPr="00EF2E7A">
        <w:rPr>
          <w:rFonts w:ascii="Arial" w:hAnsi="Arial" w:cs="Arial"/>
          <w:sz w:val="20"/>
          <w:szCs w:val="20"/>
        </w:rPr>
        <w:t xml:space="preserve"> born to women who </w:t>
      </w:r>
      <w:r w:rsidR="000169D5" w:rsidRPr="00EF2E7A">
        <w:rPr>
          <w:rFonts w:ascii="Arial" w:hAnsi="Arial" w:cs="Arial"/>
          <w:sz w:val="20"/>
          <w:szCs w:val="20"/>
        </w:rPr>
        <w:t>are colonized with the organism.  Transmission occurs from GBS-colonized women to their newborn antepartum or during birth.  It is a major cause of death in newborns who can develop sepsis, pne</w:t>
      </w:r>
      <w:r w:rsidR="00931685" w:rsidRPr="00EF2E7A">
        <w:rPr>
          <w:rFonts w:ascii="Arial" w:hAnsi="Arial" w:cs="Arial"/>
          <w:sz w:val="20"/>
          <w:szCs w:val="20"/>
        </w:rPr>
        <w:t xml:space="preserve">umonia, or meningitis.  </w:t>
      </w:r>
      <w:r w:rsidR="000169D5" w:rsidRPr="00EF2E7A">
        <w:rPr>
          <w:rFonts w:ascii="Arial" w:hAnsi="Arial" w:cs="Arial"/>
          <w:sz w:val="20"/>
          <w:szCs w:val="20"/>
        </w:rPr>
        <w:t>CDC guidelines recommend the use of nucleic acid amplification testing</w:t>
      </w:r>
      <w:r w:rsidR="00186FE2" w:rsidRPr="00EF2E7A">
        <w:rPr>
          <w:rFonts w:ascii="Arial" w:hAnsi="Arial" w:cs="Arial"/>
          <w:sz w:val="20"/>
          <w:szCs w:val="20"/>
        </w:rPr>
        <w:t xml:space="preserve"> (NAAT)</w:t>
      </w:r>
      <w:r w:rsidR="000169D5" w:rsidRPr="00EF2E7A">
        <w:rPr>
          <w:rFonts w:ascii="Arial" w:hAnsi="Arial" w:cs="Arial"/>
          <w:sz w:val="20"/>
          <w:szCs w:val="20"/>
        </w:rPr>
        <w:t xml:space="preserve"> in addition to trad</w:t>
      </w:r>
      <w:r w:rsidR="00931685" w:rsidRPr="00EF2E7A">
        <w:rPr>
          <w:rFonts w:ascii="Arial" w:hAnsi="Arial" w:cs="Arial"/>
          <w:sz w:val="20"/>
          <w:szCs w:val="20"/>
        </w:rPr>
        <w:t>itional culture as an aid in determining GBS colonization status in antepartum women.</w:t>
      </w:r>
    </w:p>
    <w:p w:rsidR="000F7752" w:rsidRDefault="000F7752" w:rsidP="00EF2E7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EF2E7A">
        <w:rPr>
          <w:rFonts w:ascii="Arial" w:hAnsi="Arial" w:cs="Arial"/>
          <w:sz w:val="20"/>
          <w:szCs w:val="20"/>
        </w:rPr>
        <w:t>Xpert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</w:t>
      </w:r>
      <w:r w:rsidR="00186FE2" w:rsidRPr="00EF2E7A">
        <w:rPr>
          <w:rFonts w:ascii="Arial" w:hAnsi="Arial" w:cs="Arial"/>
          <w:sz w:val="20"/>
          <w:szCs w:val="20"/>
        </w:rPr>
        <w:t>GBS LB Assay</w:t>
      </w:r>
      <w:r w:rsidRPr="00EF2E7A">
        <w:rPr>
          <w:rFonts w:ascii="Arial" w:hAnsi="Arial" w:cs="Arial"/>
          <w:sz w:val="20"/>
          <w:szCs w:val="20"/>
        </w:rPr>
        <w:t xml:space="preserve"> is a rapid PCR test for the detection of Group B streptococci from </w:t>
      </w:r>
      <w:r w:rsidR="00186FE2" w:rsidRPr="00EF2E7A">
        <w:rPr>
          <w:rFonts w:ascii="Arial" w:hAnsi="Arial" w:cs="Arial"/>
          <w:sz w:val="20"/>
          <w:szCs w:val="20"/>
        </w:rPr>
        <w:t xml:space="preserve">enriched </w:t>
      </w:r>
      <w:r w:rsidRPr="00EF2E7A">
        <w:rPr>
          <w:rFonts w:ascii="Arial" w:hAnsi="Arial" w:cs="Arial"/>
          <w:sz w:val="20"/>
          <w:szCs w:val="20"/>
        </w:rPr>
        <w:t>vaginal/rectal swab specimens</w:t>
      </w:r>
      <w:r w:rsidR="00186FE2" w:rsidRPr="00EF2E7A">
        <w:rPr>
          <w:rFonts w:ascii="Arial" w:hAnsi="Arial" w:cs="Arial"/>
          <w:sz w:val="20"/>
          <w:szCs w:val="20"/>
        </w:rPr>
        <w:t>.  This platform automates and integrates sample preparation, nucleic acid extraction, amplification, and detection of the target sequences in clinical specimens using r</w:t>
      </w:r>
      <w:r w:rsidR="00931685" w:rsidRPr="00EF2E7A">
        <w:rPr>
          <w:rFonts w:ascii="Arial" w:hAnsi="Arial" w:cs="Arial"/>
          <w:sz w:val="20"/>
          <w:szCs w:val="20"/>
        </w:rPr>
        <w:t>eal-time PCR with fluorogenic detection of the amplified DNA.</w:t>
      </w:r>
      <w:r w:rsidR="00186FE2" w:rsidRPr="00EF2E7A">
        <w:rPr>
          <w:rFonts w:ascii="Arial" w:hAnsi="Arial" w:cs="Arial"/>
          <w:sz w:val="20"/>
          <w:szCs w:val="20"/>
        </w:rPr>
        <w:t xml:space="preserve">  </w:t>
      </w:r>
      <w:r w:rsidRPr="00EF2E7A">
        <w:rPr>
          <w:rFonts w:ascii="Arial" w:hAnsi="Arial" w:cs="Arial"/>
          <w:sz w:val="20"/>
          <w:szCs w:val="20"/>
        </w:rPr>
        <w:t xml:space="preserve">The assay is performed on Cepheid GeneXpert Instrument systems.  The </w:t>
      </w:r>
      <w:proofErr w:type="spellStart"/>
      <w:r w:rsidRPr="00EF2E7A">
        <w:rPr>
          <w:rFonts w:ascii="Arial" w:hAnsi="Arial" w:cs="Arial"/>
          <w:sz w:val="20"/>
          <w:szCs w:val="20"/>
        </w:rPr>
        <w:t>Xpert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GBS LB Assay includes reagents for the simultaneous detection of the target GBS DNA, a sample-processing control (SPC) to monitor processing conditions, and an internal control (IC) to monitor PCR conditions and the absence of reaction inhibition.  The system requires the use of single-use disposable GeneXpert cartridges that hold the PCR reagents and host the PCR processes.  Because the cartridge is self-contained, the risk of cross-contamination between samples is minimized.  The time to result is approximately 55 minutes after the initial </w:t>
      </w:r>
      <w:proofErr w:type="gramStart"/>
      <w:r w:rsidRPr="00EF2E7A">
        <w:rPr>
          <w:rFonts w:ascii="Arial" w:hAnsi="Arial" w:cs="Arial"/>
          <w:sz w:val="20"/>
          <w:szCs w:val="20"/>
        </w:rPr>
        <w:t>18-24</w:t>
      </w:r>
      <w:r w:rsidR="00D46FFD" w:rsidRPr="00EF2E7A">
        <w:rPr>
          <w:rFonts w:ascii="Arial" w:hAnsi="Arial" w:cs="Arial"/>
          <w:sz w:val="20"/>
          <w:szCs w:val="20"/>
        </w:rPr>
        <w:t xml:space="preserve"> hour</w:t>
      </w:r>
      <w:proofErr w:type="gramEnd"/>
      <w:r w:rsidRPr="00EF2E7A">
        <w:rPr>
          <w:rFonts w:ascii="Arial" w:hAnsi="Arial" w:cs="Arial"/>
          <w:sz w:val="20"/>
          <w:szCs w:val="20"/>
        </w:rPr>
        <w:t xml:space="preserve"> enrichment step.</w:t>
      </w:r>
    </w:p>
    <w:p w:rsidR="00EF2E7A" w:rsidRPr="00EF2E7A" w:rsidRDefault="00EF2E7A" w:rsidP="00EF2E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154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AVAILABILITY</w:t>
      </w:r>
    </w:p>
    <w:p w:rsidR="00F77BAD" w:rsidRPr="00EF2E7A" w:rsidRDefault="00F77BAD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BF7154" w:rsidRPr="00EF2E7A" w:rsidRDefault="000F7752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24/7 AT RIH, TMH &amp; NH</w:t>
      </w:r>
    </w:p>
    <w:p w:rsidR="00746A9E" w:rsidRPr="00EF2E7A" w:rsidRDefault="00746A9E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Specimens received for testing will be batch processed every morning.</w:t>
      </w:r>
    </w:p>
    <w:p w:rsidR="000F7752" w:rsidRPr="00EF2E7A" w:rsidRDefault="000F7752" w:rsidP="00EF2E7A">
      <w:pPr>
        <w:pStyle w:val="ListParagraph"/>
        <w:spacing w:after="0" w:line="240" w:lineRule="auto"/>
        <w:ind w:firstLine="180"/>
        <w:rPr>
          <w:rFonts w:ascii="Arial" w:hAnsi="Arial" w:cs="Arial"/>
          <w:sz w:val="20"/>
          <w:szCs w:val="20"/>
        </w:rPr>
      </w:pPr>
    </w:p>
    <w:p w:rsidR="00BF7154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TEST CODE</w:t>
      </w:r>
    </w:p>
    <w:p w:rsidR="00F77BAD" w:rsidRPr="00EF2E7A" w:rsidRDefault="00F77BAD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BF7154" w:rsidRPr="00EF2E7A" w:rsidRDefault="000F7752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GBSPC</w:t>
      </w:r>
    </w:p>
    <w:p w:rsidR="00BF7154" w:rsidRPr="00EF2E7A" w:rsidRDefault="00BF7154" w:rsidP="00EF2E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154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SPECIMEN</w:t>
      </w:r>
    </w:p>
    <w:p w:rsidR="00F77BAD" w:rsidRPr="00EF2E7A" w:rsidRDefault="00F77BAD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BF7154" w:rsidRPr="00EF2E7A" w:rsidRDefault="000F7752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Vaginal/</w:t>
      </w:r>
      <w:r w:rsidR="00463B46">
        <w:rPr>
          <w:rFonts w:ascii="Arial" w:hAnsi="Arial" w:cs="Arial"/>
          <w:sz w:val="20"/>
          <w:szCs w:val="20"/>
        </w:rPr>
        <w:t>Rectal</w:t>
      </w:r>
    </w:p>
    <w:p w:rsidR="000F7752" w:rsidRPr="00EF2E7A" w:rsidRDefault="000F775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Collected on a Copan Double Dacron swab</w:t>
      </w:r>
      <w:r w:rsidR="007D5135" w:rsidRPr="00EF2E7A">
        <w:rPr>
          <w:rFonts w:ascii="Arial" w:hAnsi="Arial" w:cs="Arial"/>
          <w:sz w:val="20"/>
          <w:szCs w:val="20"/>
        </w:rPr>
        <w:t xml:space="preserve"> or ESWAB</w:t>
      </w:r>
      <w:r w:rsidR="007D5135" w:rsidRPr="00EF2E7A">
        <w:rPr>
          <w:rFonts w:ascii="Arial" w:hAnsi="Arial" w:cs="Arial"/>
          <w:sz w:val="20"/>
          <w:szCs w:val="20"/>
          <w:vertAlign w:val="superscript"/>
        </w:rPr>
        <w:t>®</w:t>
      </w:r>
      <w:r w:rsidRPr="00EF2E7A">
        <w:rPr>
          <w:rFonts w:ascii="Arial" w:hAnsi="Arial" w:cs="Arial"/>
          <w:sz w:val="20"/>
          <w:szCs w:val="20"/>
        </w:rPr>
        <w:t>.</w:t>
      </w:r>
    </w:p>
    <w:p w:rsidR="00BF7154" w:rsidRPr="00EF2E7A" w:rsidRDefault="00BF7154" w:rsidP="00EF2E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7154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MATERIALS AND EQUIPMENT</w:t>
      </w:r>
    </w:p>
    <w:p w:rsidR="00F77BAD" w:rsidRPr="00EF2E7A" w:rsidRDefault="00F77BAD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BF7154" w:rsidRPr="00EF2E7A" w:rsidRDefault="00BF7154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Materials</w:t>
      </w:r>
    </w:p>
    <w:p w:rsidR="00BF7154" w:rsidRPr="00EF2E7A" w:rsidRDefault="00096ED4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Swabs</w:t>
      </w:r>
    </w:p>
    <w:p w:rsidR="00BF7154" w:rsidRPr="00EF2E7A" w:rsidRDefault="00096ED4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Single Use, Disposable, Sterile</w:t>
      </w:r>
    </w:p>
    <w:p w:rsidR="00BF7154" w:rsidRPr="00EF2E7A" w:rsidRDefault="00186FE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F2E7A">
        <w:rPr>
          <w:rFonts w:ascii="Arial" w:hAnsi="Arial" w:cs="Arial"/>
          <w:sz w:val="20"/>
          <w:szCs w:val="20"/>
        </w:rPr>
        <w:t>Xpert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GBS LB Assay kits</w:t>
      </w:r>
    </w:p>
    <w:p w:rsidR="00186FE2" w:rsidRPr="00EF2E7A" w:rsidRDefault="00186FE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LIM Broth (inoculated)</w:t>
      </w:r>
    </w:p>
    <w:p w:rsidR="00096ED4" w:rsidRPr="00EF2E7A" w:rsidRDefault="00096ED4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5mL</w:t>
      </w:r>
    </w:p>
    <w:p w:rsidR="00186FE2" w:rsidRPr="00EF2E7A" w:rsidRDefault="00186FE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Quality Control Materi</w:t>
      </w:r>
      <w:r w:rsidR="00F4342B" w:rsidRPr="00EF2E7A">
        <w:rPr>
          <w:rFonts w:ascii="Arial" w:hAnsi="Arial" w:cs="Arial"/>
          <w:sz w:val="20"/>
          <w:szCs w:val="20"/>
        </w:rPr>
        <w:t>a</w:t>
      </w:r>
      <w:r w:rsidRPr="00EF2E7A">
        <w:rPr>
          <w:rFonts w:ascii="Arial" w:hAnsi="Arial" w:cs="Arial"/>
          <w:sz w:val="20"/>
          <w:szCs w:val="20"/>
        </w:rPr>
        <w:t>l</w:t>
      </w:r>
    </w:p>
    <w:p w:rsidR="00186FE2" w:rsidRPr="00EF2E7A" w:rsidRDefault="00186FE2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F2E7A">
        <w:rPr>
          <w:rFonts w:ascii="Arial" w:hAnsi="Arial" w:cs="Arial"/>
          <w:sz w:val="20"/>
          <w:szCs w:val="20"/>
        </w:rPr>
        <w:t>NATtrol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Strep B positive control (</w:t>
      </w:r>
      <w:proofErr w:type="spellStart"/>
      <w:r w:rsidRPr="00EF2E7A">
        <w:rPr>
          <w:rFonts w:ascii="Arial" w:hAnsi="Arial" w:cs="Arial"/>
          <w:sz w:val="20"/>
          <w:szCs w:val="20"/>
        </w:rPr>
        <w:t>NATSAg</w:t>
      </w:r>
      <w:proofErr w:type="spellEnd"/>
      <w:r w:rsidRPr="00EF2E7A">
        <w:rPr>
          <w:rFonts w:ascii="Arial" w:hAnsi="Arial" w:cs="Arial"/>
          <w:sz w:val="20"/>
          <w:szCs w:val="20"/>
        </w:rPr>
        <w:t>-MC)</w:t>
      </w:r>
    </w:p>
    <w:p w:rsidR="00186FE2" w:rsidRPr="00EF2E7A" w:rsidRDefault="00186FE2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F2E7A">
        <w:rPr>
          <w:rFonts w:ascii="Arial" w:hAnsi="Arial" w:cs="Arial"/>
          <w:sz w:val="20"/>
          <w:szCs w:val="20"/>
        </w:rPr>
        <w:t>NATtrol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Strep B negative control (</w:t>
      </w:r>
      <w:proofErr w:type="spellStart"/>
      <w:r w:rsidRPr="00EF2E7A">
        <w:rPr>
          <w:rFonts w:ascii="Arial" w:hAnsi="Arial" w:cs="Arial"/>
          <w:sz w:val="20"/>
          <w:szCs w:val="20"/>
        </w:rPr>
        <w:t>NATLAc</w:t>
      </w:r>
      <w:proofErr w:type="spellEnd"/>
      <w:r w:rsidRPr="00EF2E7A">
        <w:rPr>
          <w:rFonts w:ascii="Arial" w:hAnsi="Arial" w:cs="Arial"/>
          <w:sz w:val="20"/>
          <w:szCs w:val="20"/>
        </w:rPr>
        <w:t>-MC)</w:t>
      </w:r>
    </w:p>
    <w:p w:rsidR="00BF7154" w:rsidRPr="00EF2E7A" w:rsidRDefault="00BF7154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Equipment</w:t>
      </w:r>
    </w:p>
    <w:p w:rsidR="00BF7154" w:rsidRPr="00EF2E7A" w:rsidRDefault="00096ED4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Biosafety Cabinet</w:t>
      </w:r>
    </w:p>
    <w:p w:rsidR="00096ED4" w:rsidRPr="00EF2E7A" w:rsidRDefault="00096ED4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GeneXpert Infinity System</w:t>
      </w:r>
    </w:p>
    <w:p w:rsidR="00096ED4" w:rsidRPr="00EF2E7A" w:rsidRDefault="00096ED4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F2E7A">
        <w:rPr>
          <w:rFonts w:ascii="Arial" w:hAnsi="Arial" w:cs="Arial"/>
          <w:sz w:val="20"/>
          <w:szCs w:val="20"/>
        </w:rPr>
        <w:t>Xpertise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software version 6.4b or higher</w:t>
      </w:r>
    </w:p>
    <w:p w:rsidR="00EF2E7A" w:rsidRPr="00EF2E7A" w:rsidRDefault="00EF2E7A" w:rsidP="00EF2E7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F7154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STORAGE AND HANDLING</w:t>
      </w:r>
    </w:p>
    <w:p w:rsidR="00F77BAD" w:rsidRPr="00EF2E7A" w:rsidRDefault="00F77BAD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873437" w:rsidRPr="00EF2E7A" w:rsidRDefault="00952A04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Store the </w:t>
      </w:r>
      <w:proofErr w:type="spellStart"/>
      <w:r w:rsidRPr="00EF2E7A">
        <w:rPr>
          <w:rFonts w:ascii="Arial" w:hAnsi="Arial" w:cs="Arial"/>
          <w:sz w:val="20"/>
          <w:szCs w:val="20"/>
        </w:rPr>
        <w:t>Xpert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GBS LB Assay cartridges at 2-28 until the expiration date </w:t>
      </w:r>
    </w:p>
    <w:p w:rsidR="00BF7154" w:rsidRPr="00EF2E7A" w:rsidRDefault="00952A04" w:rsidP="00EF2E7A">
      <w:pPr>
        <w:pStyle w:val="ListParagraph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provided on the label.</w:t>
      </w:r>
    </w:p>
    <w:p w:rsidR="00952A04" w:rsidRPr="00EF2E7A" w:rsidRDefault="00952A04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lastRenderedPageBreak/>
        <w:t>Do not open the cartridge lid until you are ready to perform testing.</w:t>
      </w:r>
    </w:p>
    <w:p w:rsidR="00952A04" w:rsidRPr="00EF2E7A" w:rsidRDefault="00952A04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Do not use cartridges that have passed the </w:t>
      </w:r>
      <w:r w:rsidR="0046204E" w:rsidRPr="00EF2E7A">
        <w:rPr>
          <w:rFonts w:ascii="Arial" w:hAnsi="Arial" w:cs="Arial"/>
          <w:sz w:val="20"/>
          <w:szCs w:val="20"/>
        </w:rPr>
        <w:t>expiration</w:t>
      </w:r>
      <w:r w:rsidRPr="00EF2E7A">
        <w:rPr>
          <w:rFonts w:ascii="Arial" w:hAnsi="Arial" w:cs="Arial"/>
          <w:sz w:val="20"/>
          <w:szCs w:val="20"/>
        </w:rPr>
        <w:t xml:space="preserve"> date.</w:t>
      </w:r>
    </w:p>
    <w:p w:rsidR="00952A04" w:rsidRPr="00EF2E7A" w:rsidRDefault="00952A04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Do not use cartridges that have leaked</w:t>
      </w:r>
    </w:p>
    <w:p w:rsidR="00952A04" w:rsidRPr="00EF2E7A" w:rsidRDefault="00952A04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Start the test within 15 minutes of adding the sample to the cartridge</w:t>
      </w:r>
    </w:p>
    <w:p w:rsidR="00952A04" w:rsidRPr="00EF2E7A" w:rsidRDefault="00952A04" w:rsidP="00EF2E7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BF7154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QUALITY CONTROL</w:t>
      </w:r>
    </w:p>
    <w:p w:rsidR="00F77BAD" w:rsidRPr="00EF2E7A" w:rsidRDefault="00F77BAD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B50E6" w:rsidRPr="00EF2E7A" w:rsidRDefault="004B50E6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Maintenance</w:t>
      </w:r>
    </w:p>
    <w:p w:rsidR="004B50E6" w:rsidRPr="00EF2E7A" w:rsidRDefault="004B50E6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eastAsia="Times New Roman" w:hAnsi="Arial" w:cs="Arial"/>
          <w:sz w:val="20"/>
          <w:szCs w:val="20"/>
        </w:rPr>
        <w:t xml:space="preserve">Cleaning and maintenance of the instrument will be </w:t>
      </w:r>
    </w:p>
    <w:p w:rsidR="004B50E6" w:rsidRPr="00EF2E7A" w:rsidRDefault="004B50E6" w:rsidP="00EF2E7A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EF2E7A">
        <w:rPr>
          <w:rFonts w:ascii="Arial" w:eastAsia="Times New Roman" w:hAnsi="Arial" w:cs="Arial"/>
          <w:sz w:val="20"/>
          <w:szCs w:val="20"/>
        </w:rPr>
        <w:t>performed in accordance with the vendors Operator’s Manual.  For further information, refer to the Infinity System’s Operator’s Manual</w:t>
      </w:r>
    </w:p>
    <w:p w:rsidR="000F0EA4" w:rsidRPr="00EF2E7A" w:rsidRDefault="000F0EA4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External Controls</w:t>
      </w:r>
    </w:p>
    <w:p w:rsidR="000F0EA4" w:rsidRPr="00EF2E7A" w:rsidRDefault="000F0EA4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Positive – </w:t>
      </w:r>
      <w:proofErr w:type="spellStart"/>
      <w:r w:rsidRPr="00EF2E7A">
        <w:rPr>
          <w:rFonts w:ascii="Arial" w:hAnsi="Arial" w:cs="Arial"/>
          <w:sz w:val="20"/>
          <w:szCs w:val="20"/>
        </w:rPr>
        <w:t>NATSAg</w:t>
      </w:r>
      <w:proofErr w:type="spellEnd"/>
      <w:r w:rsidRPr="00EF2E7A">
        <w:rPr>
          <w:rFonts w:ascii="Arial" w:hAnsi="Arial" w:cs="Arial"/>
          <w:sz w:val="20"/>
          <w:szCs w:val="20"/>
        </w:rPr>
        <w:t>-MC (S. agalactiae)</w:t>
      </w:r>
    </w:p>
    <w:p w:rsidR="00BF7154" w:rsidRPr="00EF2E7A" w:rsidRDefault="000F0EA4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Negative – </w:t>
      </w:r>
      <w:proofErr w:type="spellStart"/>
      <w:r w:rsidRPr="00EF2E7A">
        <w:rPr>
          <w:rFonts w:ascii="Arial" w:hAnsi="Arial" w:cs="Arial"/>
          <w:sz w:val="20"/>
          <w:szCs w:val="20"/>
        </w:rPr>
        <w:t>NATLAc</w:t>
      </w:r>
      <w:proofErr w:type="spellEnd"/>
      <w:r w:rsidRPr="00EF2E7A">
        <w:rPr>
          <w:rFonts w:ascii="Arial" w:hAnsi="Arial" w:cs="Arial"/>
          <w:sz w:val="20"/>
          <w:szCs w:val="20"/>
        </w:rPr>
        <w:t>-MC (L. acidophilus)</w:t>
      </w:r>
    </w:p>
    <w:p w:rsidR="000F0EA4" w:rsidRPr="00EF2E7A" w:rsidRDefault="000F0EA4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Control </w:t>
      </w:r>
      <w:proofErr w:type="spellStart"/>
      <w:r w:rsidRPr="00EF2E7A">
        <w:rPr>
          <w:rFonts w:ascii="Arial" w:hAnsi="Arial" w:cs="Arial"/>
          <w:sz w:val="20"/>
          <w:szCs w:val="20"/>
        </w:rPr>
        <w:t>Preperation</w:t>
      </w:r>
      <w:proofErr w:type="spellEnd"/>
    </w:p>
    <w:p w:rsidR="000F0EA4" w:rsidRPr="00EF2E7A" w:rsidRDefault="000F0EA4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Vortex </w:t>
      </w:r>
      <w:proofErr w:type="spellStart"/>
      <w:r w:rsidRPr="00EF2E7A">
        <w:rPr>
          <w:rFonts w:ascii="Arial" w:hAnsi="Arial" w:cs="Arial"/>
          <w:sz w:val="20"/>
          <w:szCs w:val="20"/>
        </w:rPr>
        <w:t>NATrol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sample for 5 seconds.</w:t>
      </w:r>
    </w:p>
    <w:p w:rsidR="00240E33" w:rsidRPr="00EF2E7A" w:rsidRDefault="000F0EA4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Open the cartridge lid.</w:t>
      </w:r>
    </w:p>
    <w:p w:rsidR="00873437" w:rsidRPr="00EF2E7A" w:rsidRDefault="000F0EA4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Inoculate a clean sterile swab, place the swab into the </w:t>
      </w:r>
    </w:p>
    <w:p w:rsidR="000F0EA4" w:rsidRPr="00EF2E7A" w:rsidRDefault="000F0EA4" w:rsidP="00EF2E7A">
      <w:pPr>
        <w:pStyle w:val="ListParagraph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cartridge and snap the shaft by pulling it to the right.</w:t>
      </w:r>
    </w:p>
    <w:p w:rsidR="000F0EA4" w:rsidRPr="00EF2E7A" w:rsidRDefault="000F0EA4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Close to cartridge lid.</w:t>
      </w:r>
    </w:p>
    <w:p w:rsidR="00BF7154" w:rsidRPr="00EF2E7A" w:rsidRDefault="00240E33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Internal Controls</w:t>
      </w:r>
    </w:p>
    <w:p w:rsidR="00240E33" w:rsidRPr="00EF2E7A" w:rsidRDefault="00240E33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Sample Processing Control (SPC)</w:t>
      </w:r>
    </w:p>
    <w:p w:rsidR="00240E33" w:rsidRPr="00EF2E7A" w:rsidRDefault="00240E33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Detect correct processing of sample</w:t>
      </w:r>
    </w:p>
    <w:p w:rsidR="00240E33" w:rsidRPr="00EF2E7A" w:rsidRDefault="00240E33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Detection of sample-associated inhibition</w:t>
      </w:r>
    </w:p>
    <w:p w:rsidR="00240E33" w:rsidRPr="00EF2E7A" w:rsidRDefault="00240E33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Ensures appropriate reaction conditions</w:t>
      </w:r>
    </w:p>
    <w:p w:rsidR="00240E33" w:rsidRPr="00EF2E7A" w:rsidRDefault="00240E33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Probe Check Control</w:t>
      </w:r>
    </w:p>
    <w:p w:rsidR="00240E33" w:rsidRPr="00EF2E7A" w:rsidRDefault="00240E33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Check of fluorescence </w:t>
      </w:r>
      <w:r w:rsidR="008A5CF2" w:rsidRPr="00EF2E7A">
        <w:rPr>
          <w:rFonts w:ascii="Arial" w:hAnsi="Arial" w:cs="Arial"/>
          <w:sz w:val="20"/>
          <w:szCs w:val="20"/>
        </w:rPr>
        <w:t>signal</w:t>
      </w:r>
    </w:p>
    <w:p w:rsidR="00873437" w:rsidRPr="00EF2E7A" w:rsidRDefault="00240E33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Monitors bead rehydration, reaction tube filling, probe </w:t>
      </w:r>
    </w:p>
    <w:p w:rsidR="00240E33" w:rsidRPr="00EF2E7A" w:rsidRDefault="008A5CF2" w:rsidP="00EF2E7A">
      <w:pPr>
        <w:pStyle w:val="ListParagraph"/>
        <w:spacing w:after="0" w:line="240" w:lineRule="auto"/>
        <w:ind w:left="216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integrity</w:t>
      </w:r>
      <w:r w:rsidR="00240E33" w:rsidRPr="00EF2E7A">
        <w:rPr>
          <w:rFonts w:ascii="Arial" w:hAnsi="Arial" w:cs="Arial"/>
          <w:sz w:val="20"/>
          <w:szCs w:val="20"/>
        </w:rPr>
        <w:t xml:space="preserve"> &amp; dye stability.</w:t>
      </w:r>
    </w:p>
    <w:p w:rsidR="00BF7154" w:rsidRPr="00EF2E7A" w:rsidRDefault="00240E33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Environmental Contamination Checks</w:t>
      </w:r>
    </w:p>
    <w:p w:rsidR="00240E33" w:rsidRPr="00EF2E7A" w:rsidRDefault="00240E33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Performed Every 30 Days</w:t>
      </w:r>
    </w:p>
    <w:p w:rsidR="00BF7154" w:rsidRPr="00EF2E7A" w:rsidRDefault="00240E33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Expected Results</w:t>
      </w:r>
    </w:p>
    <w:p w:rsidR="00240E33" w:rsidRPr="00EF2E7A" w:rsidRDefault="00240E33" w:rsidP="00EF2E7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6"/>
        <w:gridCol w:w="5554"/>
      </w:tblGrid>
      <w:tr w:rsidR="00240E33" w:rsidRPr="00EF2E7A" w:rsidTr="00A25E5B">
        <w:tc>
          <w:tcPr>
            <w:tcW w:w="203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E7A">
              <w:rPr>
                <w:rFonts w:ascii="Arial" w:hAnsi="Arial" w:cs="Arial"/>
                <w:b/>
                <w:sz w:val="20"/>
                <w:szCs w:val="20"/>
              </w:rPr>
              <w:t>Control</w:t>
            </w:r>
          </w:p>
        </w:tc>
        <w:tc>
          <w:tcPr>
            <w:tcW w:w="297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E7A">
              <w:rPr>
                <w:rFonts w:ascii="Arial" w:hAnsi="Arial" w:cs="Arial"/>
                <w:b/>
                <w:sz w:val="20"/>
                <w:szCs w:val="20"/>
              </w:rPr>
              <w:t>Expected Results</w:t>
            </w:r>
          </w:p>
        </w:tc>
      </w:tr>
      <w:tr w:rsidR="00240E33" w:rsidRPr="00EF2E7A" w:rsidTr="00A25E5B">
        <w:tc>
          <w:tcPr>
            <w:tcW w:w="203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External Positive</w:t>
            </w:r>
          </w:p>
        </w:tc>
        <w:tc>
          <w:tcPr>
            <w:tcW w:w="297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POSITIVE – target DETECTED</w:t>
            </w:r>
          </w:p>
        </w:tc>
      </w:tr>
      <w:tr w:rsidR="00240E33" w:rsidRPr="00EF2E7A" w:rsidTr="00A25E5B">
        <w:tc>
          <w:tcPr>
            <w:tcW w:w="203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External Negative</w:t>
            </w:r>
          </w:p>
        </w:tc>
        <w:tc>
          <w:tcPr>
            <w:tcW w:w="297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Negative – no target detected</w:t>
            </w:r>
          </w:p>
        </w:tc>
      </w:tr>
      <w:tr w:rsidR="00240E33" w:rsidRPr="00EF2E7A" w:rsidTr="008A5B20">
        <w:trPr>
          <w:trHeight w:val="665"/>
        </w:trPr>
        <w:tc>
          <w:tcPr>
            <w:tcW w:w="203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SPC</w:t>
            </w:r>
          </w:p>
        </w:tc>
        <w:tc>
          <w:tcPr>
            <w:tcW w:w="297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POSITIVE in a negative patient sample</w:t>
            </w:r>
          </w:p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Negative or POSITIVE in a POSITIVE patient sample</w:t>
            </w:r>
          </w:p>
        </w:tc>
      </w:tr>
      <w:tr w:rsidR="00240E33" w:rsidRPr="00EF2E7A" w:rsidTr="00A25E5B">
        <w:tc>
          <w:tcPr>
            <w:tcW w:w="203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PCC</w:t>
            </w:r>
          </w:p>
        </w:tc>
        <w:tc>
          <w:tcPr>
            <w:tcW w:w="297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Thresholds are preprogrammed by manufacturer</w:t>
            </w:r>
          </w:p>
        </w:tc>
      </w:tr>
      <w:tr w:rsidR="00240E33" w:rsidRPr="00EF2E7A" w:rsidTr="00A25E5B">
        <w:tc>
          <w:tcPr>
            <w:tcW w:w="203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Environmental Check</w:t>
            </w:r>
          </w:p>
        </w:tc>
        <w:tc>
          <w:tcPr>
            <w:tcW w:w="2970" w:type="pct"/>
            <w:vAlign w:val="center"/>
          </w:tcPr>
          <w:p w:rsidR="00240E33" w:rsidRPr="00EF2E7A" w:rsidRDefault="00240E33" w:rsidP="00EF2E7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Negative – no target detected</w:t>
            </w:r>
          </w:p>
        </w:tc>
      </w:tr>
    </w:tbl>
    <w:p w:rsidR="00240E33" w:rsidRPr="00EF2E7A" w:rsidRDefault="00240E33" w:rsidP="00EF2E7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8A5B20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TEST PROCEDURE</w:t>
      </w:r>
    </w:p>
    <w:p w:rsidR="008A5B20" w:rsidRPr="00EF2E7A" w:rsidRDefault="008A5B20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8A5B20" w:rsidRPr="00EF2E7A" w:rsidRDefault="008A5B20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Pre-analytical (performed when specimens are received in the lab)</w:t>
      </w:r>
    </w:p>
    <w:p w:rsidR="008A5B20" w:rsidRPr="00EF2E7A" w:rsidRDefault="008A5B20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Label Lim broth with appropriate specimen label.</w:t>
      </w:r>
    </w:p>
    <w:p w:rsidR="008A5B20" w:rsidRPr="00EF2E7A" w:rsidRDefault="008A5B20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Remove swab from the transport collection tube and place it into </w:t>
      </w:r>
    </w:p>
    <w:p w:rsidR="008A5B20" w:rsidRPr="00EF2E7A" w:rsidRDefault="008A5B20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the Lim broth.</w:t>
      </w:r>
    </w:p>
    <w:p w:rsidR="008A5B20" w:rsidRPr="00EF2E7A" w:rsidRDefault="008A5B20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Break the swab off leaving it in the Lim broth.</w:t>
      </w:r>
    </w:p>
    <w:p w:rsidR="008A5B20" w:rsidRPr="00EF2E7A" w:rsidRDefault="008A5B20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Place the inoculated Lim broth into the rack for overnight </w:t>
      </w:r>
    </w:p>
    <w:p w:rsidR="008A5B20" w:rsidRPr="00EF2E7A" w:rsidRDefault="008A5B20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incubation.</w:t>
      </w:r>
    </w:p>
    <w:p w:rsidR="00BF7154" w:rsidRPr="00EF2E7A" w:rsidRDefault="00240E33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Adding sample to the cartridge</w:t>
      </w:r>
    </w:p>
    <w:p w:rsidR="00240E33" w:rsidRPr="00EF2E7A" w:rsidRDefault="00240E33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Remove the cartridge from the box and open the lid.</w:t>
      </w:r>
    </w:p>
    <w:p w:rsidR="00873437" w:rsidRPr="00EF2E7A" w:rsidRDefault="00240E33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Invert the enriched LIM broth tube thre</w:t>
      </w:r>
      <w:r w:rsidR="00873437" w:rsidRPr="00EF2E7A">
        <w:rPr>
          <w:rFonts w:ascii="Arial" w:hAnsi="Arial" w:cs="Arial"/>
          <w:sz w:val="20"/>
          <w:szCs w:val="20"/>
        </w:rPr>
        <w:t>e times to sufficiently mix the</w:t>
      </w:r>
    </w:p>
    <w:p w:rsidR="00240E33" w:rsidRPr="00EF2E7A" w:rsidRDefault="00240E33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specimen.</w:t>
      </w:r>
    </w:p>
    <w:p w:rsidR="00240E33" w:rsidRPr="00EF2E7A" w:rsidRDefault="00240E33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lastRenderedPageBreak/>
        <w:t>Dip a clean single use disposable swab into the LIM broth.</w:t>
      </w:r>
    </w:p>
    <w:p w:rsidR="00873437" w:rsidRPr="00EF2E7A" w:rsidRDefault="00F964DF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Transfer the swab into sample</w:t>
      </w:r>
      <w:r w:rsidR="00F23A07" w:rsidRPr="00EF2E7A">
        <w:rPr>
          <w:rFonts w:ascii="Arial" w:hAnsi="Arial" w:cs="Arial"/>
          <w:sz w:val="20"/>
          <w:szCs w:val="20"/>
        </w:rPr>
        <w:t>(S)</w:t>
      </w:r>
      <w:r w:rsidRPr="00EF2E7A">
        <w:rPr>
          <w:rFonts w:ascii="Arial" w:hAnsi="Arial" w:cs="Arial"/>
          <w:sz w:val="20"/>
          <w:szCs w:val="20"/>
        </w:rPr>
        <w:t xml:space="preserve"> chamber of the </w:t>
      </w:r>
      <w:proofErr w:type="spellStart"/>
      <w:r w:rsidRPr="00EF2E7A">
        <w:rPr>
          <w:rFonts w:ascii="Arial" w:hAnsi="Arial" w:cs="Arial"/>
          <w:sz w:val="20"/>
          <w:szCs w:val="20"/>
        </w:rPr>
        <w:t>Xpert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GBS LB </w:t>
      </w:r>
    </w:p>
    <w:p w:rsidR="00240E33" w:rsidRPr="00EF2E7A" w:rsidRDefault="00F964DF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cartridge.</w:t>
      </w:r>
    </w:p>
    <w:p w:rsidR="00F964DF" w:rsidRPr="00EF2E7A" w:rsidRDefault="00F964DF" w:rsidP="00EF2E7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91075" cy="170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37" w:rsidRPr="00EF2E7A" w:rsidRDefault="00F964DF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Raise the swab so that approximately 1” of it is still within the </w:t>
      </w:r>
    </w:p>
    <w:p w:rsidR="00F964DF" w:rsidRPr="00EF2E7A" w:rsidRDefault="00F964DF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sample chamber.</w:t>
      </w:r>
    </w:p>
    <w:p w:rsidR="00F964DF" w:rsidRPr="00EF2E7A" w:rsidRDefault="00F964DF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Break the swab by snapping the shaft to the right.</w:t>
      </w:r>
    </w:p>
    <w:p w:rsidR="00F77BAD" w:rsidRPr="00EF2E7A" w:rsidRDefault="00F964DF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Close the cartridge and load it onto the GeneXpert instrument.</w:t>
      </w:r>
    </w:p>
    <w:p w:rsidR="00921962" w:rsidRPr="00EF2E7A" w:rsidRDefault="00921962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Starting the test</w:t>
      </w:r>
    </w:p>
    <w:p w:rsidR="00921962" w:rsidRPr="00EF2E7A" w:rsidRDefault="0092196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Log into Windows operating system (if not open).</w:t>
      </w:r>
    </w:p>
    <w:p w:rsidR="0073150B" w:rsidRPr="00EF2E7A" w:rsidRDefault="0073150B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You will need to use your SOFT login and password.</w:t>
      </w:r>
    </w:p>
    <w:p w:rsidR="0073150B" w:rsidRPr="00EF2E7A" w:rsidRDefault="0092196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Log on to the System software </w:t>
      </w:r>
    </w:p>
    <w:p w:rsidR="00921962" w:rsidRPr="00EF2E7A" w:rsidRDefault="0073150B" w:rsidP="00EF2E7A">
      <w:pPr>
        <w:pStyle w:val="ListParagraph"/>
        <w:numPr>
          <w:ilvl w:val="3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You will use </w:t>
      </w:r>
      <w:r w:rsidR="00921962" w:rsidRPr="00EF2E7A">
        <w:rPr>
          <w:rFonts w:ascii="Arial" w:hAnsi="Arial" w:cs="Arial"/>
          <w:sz w:val="20"/>
          <w:szCs w:val="20"/>
        </w:rPr>
        <w:t xml:space="preserve">your individual </w:t>
      </w:r>
      <w:r w:rsidRPr="00EF2E7A">
        <w:rPr>
          <w:rFonts w:ascii="Arial" w:hAnsi="Arial" w:cs="Arial"/>
          <w:sz w:val="20"/>
          <w:szCs w:val="20"/>
        </w:rPr>
        <w:t>login information for the Cepheid</w:t>
      </w:r>
    </w:p>
    <w:p w:rsidR="0073150B" w:rsidRPr="00EF2E7A" w:rsidRDefault="0092196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In the GeneXpert System window, click </w:t>
      </w:r>
      <w:r w:rsidRPr="00EF2E7A">
        <w:rPr>
          <w:rFonts w:ascii="Arial" w:hAnsi="Arial" w:cs="Arial"/>
          <w:b/>
          <w:sz w:val="20"/>
          <w:szCs w:val="20"/>
        </w:rPr>
        <w:t xml:space="preserve">Orders </w:t>
      </w:r>
      <w:r w:rsidRPr="00EF2E7A">
        <w:rPr>
          <w:rFonts w:ascii="Arial" w:hAnsi="Arial" w:cs="Arial"/>
          <w:sz w:val="20"/>
          <w:szCs w:val="20"/>
        </w:rPr>
        <w:t xml:space="preserve">followed by </w:t>
      </w:r>
    </w:p>
    <w:p w:rsidR="00921962" w:rsidRPr="00EF2E7A" w:rsidRDefault="00921962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Order Test</w:t>
      </w:r>
      <w:r w:rsidRPr="00EF2E7A">
        <w:rPr>
          <w:rFonts w:ascii="Arial" w:hAnsi="Arial" w:cs="Arial"/>
          <w:sz w:val="20"/>
          <w:szCs w:val="20"/>
        </w:rPr>
        <w:t>.</w:t>
      </w:r>
    </w:p>
    <w:p w:rsidR="0073150B" w:rsidRPr="00EF2E7A" w:rsidRDefault="0092196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Scan (or type) in the patient ID, Sample ID and Scan the barcode </w:t>
      </w:r>
    </w:p>
    <w:p w:rsidR="00921962" w:rsidRPr="00EF2E7A" w:rsidRDefault="00921962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on the </w:t>
      </w:r>
      <w:proofErr w:type="spellStart"/>
      <w:r w:rsidRPr="00EF2E7A">
        <w:rPr>
          <w:rFonts w:ascii="Arial" w:hAnsi="Arial" w:cs="Arial"/>
          <w:sz w:val="20"/>
          <w:szCs w:val="20"/>
        </w:rPr>
        <w:t>Xpert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GBS LB Assay cartridge.</w:t>
      </w:r>
    </w:p>
    <w:p w:rsidR="00921962" w:rsidRPr="00EF2E7A" w:rsidRDefault="00921962" w:rsidP="00EF2E7A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921962" w:rsidRPr="00EF2E7A" w:rsidRDefault="00921962" w:rsidP="00EF2E7A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i/>
          <w:sz w:val="20"/>
          <w:szCs w:val="20"/>
          <w:u w:val="single"/>
        </w:rPr>
        <w:t>[</w:t>
      </w:r>
      <w:r w:rsidRPr="00EF2E7A">
        <w:rPr>
          <w:rFonts w:ascii="Arial" w:hAnsi="Arial" w:cs="Arial"/>
          <w:i/>
          <w:sz w:val="20"/>
          <w:szCs w:val="20"/>
        </w:rPr>
        <w:t>NOTES: If</w:t>
      </w:r>
      <w:r w:rsidRPr="00EF2E7A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typing,</w:t>
      </w:r>
      <w:r w:rsidRPr="00EF2E7A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make</w:t>
      </w:r>
      <w:r w:rsidRPr="00EF2E7A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sure</w:t>
      </w:r>
      <w:r w:rsidRPr="00EF2E7A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the</w:t>
      </w:r>
      <w:r w:rsidRPr="00EF2E7A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Sample</w:t>
      </w:r>
      <w:r w:rsidRPr="00EF2E7A">
        <w:rPr>
          <w:rFonts w:ascii="Arial" w:hAnsi="Arial" w:cs="Arial"/>
          <w:i/>
          <w:spacing w:val="-12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ID</w:t>
      </w:r>
      <w:r w:rsidRPr="00EF2E7A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is</w:t>
      </w:r>
      <w:r w:rsidRPr="00EF2E7A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typed</w:t>
      </w:r>
      <w:r w:rsidRPr="00EF2E7A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pacing w:val="-4"/>
          <w:sz w:val="20"/>
          <w:szCs w:val="20"/>
        </w:rPr>
        <w:t>correctly.</w:t>
      </w:r>
      <w:r w:rsidRPr="00EF2E7A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The</w:t>
      </w:r>
      <w:r w:rsidRPr="00EF2E7A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Sample</w:t>
      </w:r>
      <w:r w:rsidRPr="00EF2E7A">
        <w:rPr>
          <w:rFonts w:ascii="Arial" w:hAnsi="Arial" w:cs="Arial"/>
          <w:i/>
          <w:spacing w:val="-12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ID</w:t>
      </w:r>
      <w:r w:rsidRPr="00EF2E7A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is</w:t>
      </w:r>
      <w:r w:rsidRPr="00EF2E7A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shown on</w:t>
      </w:r>
      <w:r w:rsidRPr="00EF2E7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the</w:t>
      </w:r>
      <w:r w:rsidRPr="00EF2E7A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left</w:t>
      </w:r>
      <w:r w:rsidRPr="00EF2E7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side</w:t>
      </w:r>
      <w:r w:rsidRPr="00EF2E7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of</w:t>
      </w:r>
      <w:r w:rsidRPr="00EF2E7A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the</w:t>
      </w:r>
      <w:r w:rsidRPr="00EF2E7A">
        <w:rPr>
          <w:rFonts w:ascii="Arial" w:hAnsi="Arial" w:cs="Arial"/>
          <w:i/>
          <w:spacing w:val="-12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pacing w:val="-7"/>
          <w:sz w:val="20"/>
          <w:szCs w:val="20"/>
        </w:rPr>
        <w:t>View</w:t>
      </w:r>
      <w:r w:rsidRPr="00EF2E7A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Results</w:t>
      </w:r>
      <w:r w:rsidRPr="00EF2E7A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window</w:t>
      </w:r>
      <w:r w:rsidRPr="00EF2E7A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and</w:t>
      </w:r>
      <w:r w:rsidRPr="00EF2E7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is</w:t>
      </w:r>
      <w:r w:rsidRPr="00EF2E7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associated</w:t>
      </w:r>
      <w:r w:rsidRPr="00EF2E7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with</w:t>
      </w:r>
      <w:r w:rsidRPr="00EF2E7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the</w:t>
      </w:r>
      <w:r w:rsidRPr="00EF2E7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test</w:t>
      </w:r>
      <w:r w:rsidRPr="00EF2E7A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result. Using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the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barcode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information;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the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software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automatically fills</w:t>
      </w:r>
      <w:r w:rsidRPr="00EF2E7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the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boxes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for</w:t>
      </w:r>
      <w:r w:rsidRPr="00EF2E7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the</w:t>
      </w:r>
      <w:r w:rsidRPr="00EF2E7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following</w:t>
      </w:r>
      <w:r w:rsidRPr="00EF2E7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fields:</w:t>
      </w:r>
      <w:r w:rsidRPr="00EF2E7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Reagent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Lot</w:t>
      </w:r>
      <w:r w:rsidRPr="00EF2E7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ID,</w:t>
      </w:r>
      <w:r w:rsidRPr="00EF2E7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Cartridge</w:t>
      </w:r>
      <w:r w:rsidRPr="00EF2E7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SN,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Expiration</w:t>
      </w:r>
      <w:r w:rsidRPr="00EF2E7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Date,</w:t>
      </w:r>
      <w:r w:rsidRPr="00EF2E7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and</w:t>
      </w:r>
      <w:r w:rsidRPr="00EF2E7A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z w:val="20"/>
          <w:szCs w:val="20"/>
        </w:rPr>
        <w:t>Selected</w:t>
      </w:r>
      <w:r w:rsidRPr="00EF2E7A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EF2E7A">
        <w:rPr>
          <w:rFonts w:ascii="Arial" w:hAnsi="Arial" w:cs="Arial"/>
          <w:i/>
          <w:spacing w:val="-3"/>
          <w:sz w:val="20"/>
          <w:szCs w:val="20"/>
        </w:rPr>
        <w:t>Assay.]</w:t>
      </w:r>
    </w:p>
    <w:p w:rsidR="00921962" w:rsidRPr="00EF2E7A" w:rsidRDefault="00921962" w:rsidP="00EF2E7A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921962" w:rsidRPr="00EF2E7A" w:rsidRDefault="0092196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Click </w:t>
      </w:r>
      <w:r w:rsidRPr="00EF2E7A">
        <w:rPr>
          <w:rFonts w:ascii="Arial" w:hAnsi="Arial" w:cs="Arial"/>
          <w:b/>
          <w:sz w:val="20"/>
          <w:szCs w:val="20"/>
        </w:rPr>
        <w:t>Submit</w:t>
      </w:r>
      <w:r w:rsidRPr="00EF2E7A">
        <w:rPr>
          <w:rFonts w:ascii="Arial" w:hAnsi="Arial" w:cs="Arial"/>
          <w:sz w:val="20"/>
          <w:szCs w:val="20"/>
        </w:rPr>
        <w:t xml:space="preserve"> if Auto-submit is not enabled.  </w:t>
      </w:r>
    </w:p>
    <w:p w:rsidR="0073150B" w:rsidRPr="00EF2E7A" w:rsidRDefault="00921962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After clicking Submit, you will be asked to place the cartridge </w:t>
      </w:r>
    </w:p>
    <w:p w:rsidR="00921962" w:rsidRPr="00EF2E7A" w:rsidRDefault="00921962" w:rsidP="00EF2E7A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on the conveyor belt.  After placing the cartridge</w:t>
      </w:r>
      <w:r w:rsidR="00E3091A" w:rsidRPr="00EF2E7A">
        <w:rPr>
          <w:rFonts w:ascii="Arial" w:hAnsi="Arial" w:cs="Arial"/>
          <w:sz w:val="20"/>
          <w:szCs w:val="20"/>
        </w:rPr>
        <w:t xml:space="preserve">, click OK to continue.  The cartridge will be automatically loaded, the rest will </w:t>
      </w:r>
      <w:proofErr w:type="gramStart"/>
      <w:r w:rsidR="00E3091A" w:rsidRPr="00EF2E7A">
        <w:rPr>
          <w:rFonts w:ascii="Arial" w:hAnsi="Arial" w:cs="Arial"/>
          <w:sz w:val="20"/>
          <w:szCs w:val="20"/>
        </w:rPr>
        <w:t>run</w:t>
      </w:r>
      <w:proofErr w:type="gramEnd"/>
      <w:r w:rsidR="00E3091A" w:rsidRPr="00EF2E7A">
        <w:rPr>
          <w:rFonts w:ascii="Arial" w:hAnsi="Arial" w:cs="Arial"/>
          <w:sz w:val="20"/>
          <w:szCs w:val="20"/>
        </w:rPr>
        <w:t xml:space="preserve"> and the used cartridge will be placed onto the waste shelf for disposal.</w:t>
      </w:r>
    </w:p>
    <w:p w:rsidR="00E3091A" w:rsidRPr="00EF2E7A" w:rsidRDefault="00E3091A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Retest Procedure</w:t>
      </w:r>
    </w:p>
    <w:p w:rsidR="00F23A07" w:rsidRPr="00EF2E7A" w:rsidRDefault="00F23A07" w:rsidP="00EF2E7A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Note: Repeat testing will be performed on tests that result as INVALID, NO RESULT, or ERROR.</w:t>
      </w:r>
    </w:p>
    <w:p w:rsidR="00E3091A" w:rsidRPr="00EF2E7A" w:rsidRDefault="00E3091A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Mix the leftover patient specimen by inverting 3 times.</w:t>
      </w:r>
    </w:p>
    <w:p w:rsidR="00E3091A" w:rsidRPr="00EF2E7A" w:rsidRDefault="00E3091A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Insert a single use disposable swab into the Lim broth.</w:t>
      </w:r>
    </w:p>
    <w:p w:rsidR="00873437" w:rsidRPr="00EF2E7A" w:rsidRDefault="00E3091A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Insert the swab into the S chamber of the </w:t>
      </w:r>
      <w:proofErr w:type="spellStart"/>
      <w:r w:rsidRPr="00EF2E7A">
        <w:rPr>
          <w:rFonts w:ascii="Arial" w:hAnsi="Arial" w:cs="Arial"/>
          <w:sz w:val="20"/>
          <w:szCs w:val="20"/>
        </w:rPr>
        <w:t>Xpert</w:t>
      </w:r>
      <w:proofErr w:type="spellEnd"/>
      <w:r w:rsidRPr="00EF2E7A">
        <w:rPr>
          <w:rFonts w:ascii="Arial" w:hAnsi="Arial" w:cs="Arial"/>
          <w:sz w:val="20"/>
          <w:szCs w:val="20"/>
        </w:rPr>
        <w:t xml:space="preserve"> GBS LB cartridge </w:t>
      </w:r>
    </w:p>
    <w:p w:rsidR="00E3091A" w:rsidRPr="00EF2E7A" w:rsidRDefault="00E3091A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and rerun the rest.</w:t>
      </w:r>
    </w:p>
    <w:p w:rsidR="002475F1" w:rsidRPr="00EF2E7A" w:rsidRDefault="002475F1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If the re-te</w:t>
      </w:r>
      <w:r w:rsidR="0043587A" w:rsidRPr="00EF2E7A">
        <w:rPr>
          <w:rFonts w:ascii="Arial" w:hAnsi="Arial" w:cs="Arial"/>
          <w:sz w:val="20"/>
          <w:szCs w:val="20"/>
        </w:rPr>
        <w:t>sting is not successful, result</w:t>
      </w:r>
      <w:r w:rsidRPr="00EF2E7A">
        <w:rPr>
          <w:rFonts w:ascii="Arial" w:hAnsi="Arial" w:cs="Arial"/>
          <w:sz w:val="20"/>
          <w:szCs w:val="20"/>
        </w:rPr>
        <w:t xml:space="preserve"> the GBSPC order as </w:t>
      </w:r>
      <w:r w:rsidRPr="00EF2E7A">
        <w:rPr>
          <w:rFonts w:ascii="Arial" w:hAnsi="Arial" w:cs="Arial"/>
          <w:sz w:val="20"/>
          <w:szCs w:val="20"/>
        </w:rPr>
        <w:tab/>
        <w:t>Indeterminate and reflex the order to a CXGRB.</w:t>
      </w:r>
    </w:p>
    <w:p w:rsidR="000637C2" w:rsidRPr="00EF2E7A" w:rsidRDefault="0043587A" w:rsidP="00EF2E7A">
      <w:pPr>
        <w:pStyle w:val="ListParagraph"/>
        <w:numPr>
          <w:ilvl w:val="2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Inoculate a BAP using the incubated LIM broth and incubate </w:t>
      </w:r>
      <w:r w:rsidRPr="00EF2E7A">
        <w:rPr>
          <w:rFonts w:ascii="Arial" w:hAnsi="Arial" w:cs="Arial"/>
          <w:sz w:val="20"/>
          <w:szCs w:val="20"/>
        </w:rPr>
        <w:tab/>
        <w:t>overnight.</w:t>
      </w:r>
    </w:p>
    <w:p w:rsidR="008A5CF2" w:rsidRDefault="008A5CF2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</w:p>
    <w:p w:rsidR="00F212D1" w:rsidRDefault="00F212D1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</w:p>
    <w:p w:rsidR="00F212D1" w:rsidRDefault="00F212D1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</w:p>
    <w:p w:rsidR="00F212D1" w:rsidRDefault="00F212D1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</w:p>
    <w:p w:rsidR="00F212D1" w:rsidRDefault="00F212D1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</w:p>
    <w:p w:rsidR="00F212D1" w:rsidRPr="00EF2E7A" w:rsidRDefault="00F212D1" w:rsidP="00EF2E7A">
      <w:pPr>
        <w:pStyle w:val="ListParagraph"/>
        <w:spacing w:after="0" w:line="240" w:lineRule="auto"/>
        <w:ind w:left="1440" w:firstLine="720"/>
        <w:rPr>
          <w:rFonts w:ascii="Arial" w:hAnsi="Arial" w:cs="Arial"/>
          <w:sz w:val="20"/>
          <w:szCs w:val="20"/>
        </w:rPr>
      </w:pPr>
    </w:p>
    <w:p w:rsidR="00E3091A" w:rsidRPr="00EF2E7A" w:rsidRDefault="00E3091A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lastRenderedPageBreak/>
        <w:t>INTERPRETATION</w:t>
      </w:r>
    </w:p>
    <w:p w:rsidR="00F23A07" w:rsidRPr="00EF2E7A" w:rsidRDefault="00F23A07" w:rsidP="00EF2E7A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873437" w:rsidRPr="00EF2E7A" w:rsidRDefault="00E3091A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The results are interpreted automaticall</w:t>
      </w:r>
      <w:r w:rsidR="008A5CF2" w:rsidRPr="00EF2E7A">
        <w:rPr>
          <w:rFonts w:ascii="Arial" w:hAnsi="Arial" w:cs="Arial"/>
          <w:sz w:val="20"/>
          <w:szCs w:val="20"/>
        </w:rPr>
        <w:t>y</w:t>
      </w:r>
      <w:r w:rsidRPr="00EF2E7A">
        <w:rPr>
          <w:rFonts w:ascii="Arial" w:hAnsi="Arial" w:cs="Arial"/>
          <w:sz w:val="20"/>
          <w:szCs w:val="20"/>
        </w:rPr>
        <w:t xml:space="preserve"> by the GeneXpert Instrument </w:t>
      </w:r>
    </w:p>
    <w:p w:rsidR="00151124" w:rsidRPr="00EF2E7A" w:rsidRDefault="00E3091A" w:rsidP="00EF2E7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System and are shown in the View Results window.  The possible results and interpretations are show below:</w:t>
      </w:r>
    </w:p>
    <w:p w:rsidR="00151124" w:rsidRPr="00EF2E7A" w:rsidRDefault="00151124" w:rsidP="00EF2E7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8190"/>
      </w:tblGrid>
      <w:tr w:rsidR="00E3091A" w:rsidRPr="00EF2E7A" w:rsidTr="00CB0450">
        <w:trPr>
          <w:trHeight w:val="251"/>
        </w:trPr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</w:tcPr>
          <w:p w:rsidR="00E3091A" w:rsidRPr="00EF2E7A" w:rsidRDefault="00E3091A" w:rsidP="00EF2E7A">
            <w:pPr>
              <w:pStyle w:val="TableParagraph"/>
              <w:ind w:left="20" w:right="110"/>
              <w:jc w:val="center"/>
              <w:rPr>
                <w:b/>
                <w:sz w:val="20"/>
                <w:szCs w:val="20"/>
              </w:rPr>
            </w:pPr>
            <w:r w:rsidRPr="00EF2E7A">
              <w:rPr>
                <w:b/>
                <w:sz w:val="20"/>
                <w:szCs w:val="20"/>
              </w:rPr>
              <w:t>Result</w:t>
            </w:r>
          </w:p>
        </w:tc>
        <w:tc>
          <w:tcPr>
            <w:tcW w:w="8190" w:type="dxa"/>
            <w:tcBorders>
              <w:left w:val="single" w:sz="12" w:space="0" w:color="000000"/>
              <w:bottom w:val="single" w:sz="12" w:space="0" w:color="000000"/>
            </w:tcBorders>
          </w:tcPr>
          <w:p w:rsidR="00E3091A" w:rsidRPr="00EF2E7A" w:rsidRDefault="00E3091A" w:rsidP="00EF2E7A">
            <w:pPr>
              <w:pStyle w:val="TableParagraph"/>
              <w:ind w:left="-20"/>
              <w:jc w:val="center"/>
              <w:rPr>
                <w:b/>
                <w:sz w:val="20"/>
                <w:szCs w:val="20"/>
              </w:rPr>
            </w:pPr>
            <w:r w:rsidRPr="00EF2E7A">
              <w:rPr>
                <w:b/>
                <w:sz w:val="20"/>
                <w:szCs w:val="20"/>
              </w:rPr>
              <w:t>Interpretation</w:t>
            </w:r>
          </w:p>
        </w:tc>
      </w:tr>
      <w:tr w:rsidR="00E3091A" w:rsidRPr="00EF2E7A" w:rsidTr="00CB0450">
        <w:trPr>
          <w:trHeight w:val="699"/>
        </w:trPr>
        <w:tc>
          <w:tcPr>
            <w:tcW w:w="1890" w:type="dxa"/>
            <w:tcBorders>
              <w:top w:val="single" w:sz="12" w:space="0" w:color="000000"/>
              <w:right w:val="single" w:sz="12" w:space="0" w:color="000000"/>
            </w:tcBorders>
          </w:tcPr>
          <w:p w:rsidR="00E3091A" w:rsidRPr="00EF2E7A" w:rsidRDefault="008A5CF2" w:rsidP="00EF2E7A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  <w:r w:rsidRPr="00EF2E7A">
              <w:rPr>
                <w:b/>
                <w:sz w:val="20"/>
                <w:szCs w:val="20"/>
              </w:rPr>
              <w:t>GBS NEGATIVE</w:t>
            </w:r>
            <w:r w:rsidR="00CB0450" w:rsidRPr="00EF2E7A">
              <w:rPr>
                <w:b/>
                <w:sz w:val="20"/>
                <w:szCs w:val="20"/>
              </w:rPr>
              <w:t>*</w:t>
            </w:r>
          </w:p>
          <w:p w:rsidR="00E3091A" w:rsidRPr="00EF2E7A" w:rsidRDefault="00E3091A" w:rsidP="00EF2E7A">
            <w:pPr>
              <w:pStyle w:val="TableParagraph"/>
              <w:spacing w:before="73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</w:tcBorders>
          </w:tcPr>
          <w:p w:rsidR="00E3091A" w:rsidRPr="00EF2E7A" w:rsidRDefault="00E3091A" w:rsidP="00EF2E7A">
            <w:pPr>
              <w:pStyle w:val="TableParagraph"/>
              <w:tabs>
                <w:tab w:val="left" w:pos="321"/>
              </w:tabs>
              <w:spacing w:before="72"/>
              <w:ind w:right="170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GBS Target Nucleic Acid Is Not Detected</w:t>
            </w:r>
          </w:p>
          <w:p w:rsidR="00E3091A" w:rsidRPr="00EF2E7A" w:rsidRDefault="00E3091A" w:rsidP="00EF2E7A">
            <w:pPr>
              <w:pStyle w:val="TableParagraph"/>
              <w:tabs>
                <w:tab w:val="left" w:pos="321"/>
              </w:tabs>
              <w:spacing w:before="72"/>
              <w:ind w:right="170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SPC – PASS</w:t>
            </w:r>
          </w:p>
          <w:p w:rsidR="00E3091A" w:rsidRPr="00EF2E7A" w:rsidRDefault="00E3091A" w:rsidP="00EF2E7A">
            <w:pPr>
              <w:pStyle w:val="TableParagraph"/>
              <w:tabs>
                <w:tab w:val="left" w:pos="321"/>
              </w:tabs>
              <w:spacing w:before="72"/>
              <w:ind w:right="170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IC – PASS</w:t>
            </w:r>
          </w:p>
          <w:p w:rsidR="00E3091A" w:rsidRPr="00EF2E7A" w:rsidRDefault="00E3091A" w:rsidP="00EF2E7A">
            <w:pPr>
              <w:pStyle w:val="TableParagraph"/>
              <w:tabs>
                <w:tab w:val="left" w:pos="321"/>
              </w:tabs>
              <w:spacing w:before="72"/>
              <w:ind w:right="170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Probe Check - PASS</w:t>
            </w:r>
          </w:p>
        </w:tc>
      </w:tr>
      <w:tr w:rsidR="00E3091A" w:rsidRPr="00EF2E7A" w:rsidTr="00CB0450">
        <w:trPr>
          <w:trHeight w:val="1363"/>
        </w:trPr>
        <w:tc>
          <w:tcPr>
            <w:tcW w:w="1890" w:type="dxa"/>
            <w:tcBorders>
              <w:right w:val="single" w:sz="12" w:space="0" w:color="000000"/>
            </w:tcBorders>
          </w:tcPr>
          <w:p w:rsidR="00E3091A" w:rsidRPr="00EF2E7A" w:rsidRDefault="008A5CF2" w:rsidP="00EF2E7A">
            <w:pPr>
              <w:pStyle w:val="TableParagraph"/>
              <w:spacing w:before="23"/>
              <w:rPr>
                <w:b/>
                <w:sz w:val="20"/>
                <w:szCs w:val="20"/>
              </w:rPr>
            </w:pPr>
            <w:r w:rsidRPr="00EF2E7A">
              <w:rPr>
                <w:b/>
                <w:sz w:val="20"/>
                <w:szCs w:val="20"/>
              </w:rPr>
              <w:t>GBS POSITIVE</w:t>
            </w:r>
            <w:r w:rsidR="00CB0450" w:rsidRPr="00EF2E7A">
              <w:rPr>
                <w:b/>
                <w:sz w:val="20"/>
                <w:szCs w:val="20"/>
              </w:rPr>
              <w:t>*</w:t>
            </w:r>
          </w:p>
          <w:p w:rsidR="00E3091A" w:rsidRPr="00EF2E7A" w:rsidRDefault="00E3091A" w:rsidP="00EF2E7A">
            <w:pPr>
              <w:pStyle w:val="TableParagraph"/>
              <w:spacing w:before="73"/>
              <w:ind w:right="574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000000"/>
            </w:tcBorders>
          </w:tcPr>
          <w:p w:rsidR="00E3091A" w:rsidRPr="00EF2E7A" w:rsidRDefault="00E3091A" w:rsidP="00EF2E7A">
            <w:pPr>
              <w:pStyle w:val="TableParagraph"/>
              <w:tabs>
                <w:tab w:val="left" w:pos="321"/>
              </w:tabs>
              <w:spacing w:before="51"/>
              <w:ind w:right="162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GBS Target Nucleic Acid Is Detected</w:t>
            </w:r>
          </w:p>
          <w:p w:rsidR="00E3091A" w:rsidRPr="00EF2E7A" w:rsidRDefault="00E3091A" w:rsidP="00EF2E7A">
            <w:pPr>
              <w:pStyle w:val="TableParagraph"/>
              <w:tabs>
                <w:tab w:val="left" w:pos="321"/>
              </w:tabs>
              <w:spacing w:before="51"/>
              <w:ind w:left="105" w:right="162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SPC – NOT APPLICABLE</w:t>
            </w:r>
          </w:p>
          <w:p w:rsidR="00E3091A" w:rsidRPr="00EF2E7A" w:rsidRDefault="00E3091A" w:rsidP="00EF2E7A">
            <w:pPr>
              <w:pStyle w:val="TableParagraph"/>
              <w:tabs>
                <w:tab w:val="left" w:pos="321"/>
              </w:tabs>
              <w:spacing w:before="51"/>
              <w:ind w:left="105" w:right="162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IC – NOT APPLICABLE</w:t>
            </w:r>
          </w:p>
          <w:p w:rsidR="00E3091A" w:rsidRPr="00EF2E7A" w:rsidRDefault="00E3091A" w:rsidP="00EF2E7A">
            <w:pPr>
              <w:pStyle w:val="TableParagraph"/>
              <w:tabs>
                <w:tab w:val="left" w:pos="321"/>
              </w:tabs>
              <w:spacing w:before="51"/>
              <w:ind w:left="105" w:right="162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Probe Check - PASS</w:t>
            </w:r>
          </w:p>
        </w:tc>
      </w:tr>
      <w:tr w:rsidR="00E3091A" w:rsidRPr="00EF2E7A" w:rsidTr="00CB0450">
        <w:trPr>
          <w:trHeight w:val="959"/>
        </w:trPr>
        <w:tc>
          <w:tcPr>
            <w:tcW w:w="1890" w:type="dxa"/>
            <w:tcBorders>
              <w:right w:val="single" w:sz="12" w:space="0" w:color="000000"/>
            </w:tcBorders>
          </w:tcPr>
          <w:p w:rsidR="00E3091A" w:rsidRPr="00EF2E7A" w:rsidRDefault="00E3091A" w:rsidP="00EF2E7A">
            <w:pPr>
              <w:pStyle w:val="TableParagraph"/>
              <w:spacing w:before="23"/>
              <w:rPr>
                <w:b/>
                <w:sz w:val="20"/>
                <w:szCs w:val="20"/>
              </w:rPr>
            </w:pPr>
            <w:r w:rsidRPr="00EF2E7A">
              <w:rPr>
                <w:b/>
                <w:sz w:val="20"/>
                <w:szCs w:val="20"/>
              </w:rPr>
              <w:t>INVALID</w:t>
            </w:r>
            <w:r w:rsidR="00F23A07" w:rsidRPr="00EF2E7A">
              <w:rPr>
                <w:b/>
                <w:sz w:val="20"/>
                <w:szCs w:val="20"/>
              </w:rPr>
              <w:t>*</w:t>
            </w:r>
          </w:p>
          <w:p w:rsidR="00E3091A" w:rsidRPr="00EF2E7A" w:rsidRDefault="00E3091A" w:rsidP="00EF2E7A">
            <w:pPr>
              <w:pStyle w:val="TableParagraph"/>
              <w:spacing w:before="73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000000"/>
            </w:tcBorders>
          </w:tcPr>
          <w:p w:rsidR="00E3091A" w:rsidRPr="00EF2E7A" w:rsidRDefault="0030776B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GBS Target Nucleic Acid Presence or Absence Cannot Be Determine</w:t>
            </w:r>
          </w:p>
          <w:p w:rsidR="0030776B" w:rsidRPr="00EF2E7A" w:rsidRDefault="0030776B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SPC – FAIL</w:t>
            </w:r>
          </w:p>
          <w:p w:rsidR="0030776B" w:rsidRPr="00EF2E7A" w:rsidRDefault="0030776B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IC – FAIL</w:t>
            </w:r>
          </w:p>
          <w:p w:rsidR="0030776B" w:rsidRPr="00EF2E7A" w:rsidRDefault="0030776B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Probe Check - PASS</w:t>
            </w:r>
          </w:p>
          <w:p w:rsidR="0030776B" w:rsidRPr="00EF2E7A" w:rsidRDefault="0030776B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</w:p>
        </w:tc>
      </w:tr>
      <w:tr w:rsidR="00E3091A" w:rsidRPr="00EF2E7A" w:rsidTr="00CB0450">
        <w:trPr>
          <w:trHeight w:val="959"/>
        </w:trPr>
        <w:tc>
          <w:tcPr>
            <w:tcW w:w="1890" w:type="dxa"/>
            <w:tcBorders>
              <w:right w:val="single" w:sz="12" w:space="0" w:color="000000"/>
            </w:tcBorders>
          </w:tcPr>
          <w:p w:rsidR="00E3091A" w:rsidRPr="00EF2E7A" w:rsidRDefault="00E3091A" w:rsidP="00EF2E7A">
            <w:pPr>
              <w:pStyle w:val="TableParagraph"/>
              <w:spacing w:before="17"/>
              <w:rPr>
                <w:b/>
                <w:sz w:val="20"/>
                <w:szCs w:val="20"/>
              </w:rPr>
            </w:pPr>
            <w:r w:rsidRPr="00EF2E7A">
              <w:rPr>
                <w:b/>
                <w:sz w:val="20"/>
                <w:szCs w:val="20"/>
              </w:rPr>
              <w:t>ERROR</w:t>
            </w:r>
            <w:r w:rsidR="00F23A07" w:rsidRPr="00EF2E7A">
              <w:rPr>
                <w:b/>
                <w:sz w:val="20"/>
                <w:szCs w:val="20"/>
              </w:rPr>
              <w:t>*</w:t>
            </w:r>
          </w:p>
          <w:p w:rsidR="00E3091A" w:rsidRPr="00EF2E7A" w:rsidRDefault="00E3091A" w:rsidP="00EF2E7A">
            <w:pPr>
              <w:pStyle w:val="TableParagraph"/>
              <w:spacing w:before="70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000000"/>
            </w:tcBorders>
          </w:tcPr>
          <w:p w:rsidR="00E3091A" w:rsidRPr="00EF2E7A" w:rsidRDefault="008A5CF2" w:rsidP="00EF2E7A">
            <w:pPr>
              <w:pStyle w:val="TableParagraph"/>
              <w:ind w:left="105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Presence or Absence of GBS Target Nucleic Acid Cannot Be Determined.</w:t>
            </w:r>
          </w:p>
          <w:p w:rsidR="008A5CF2" w:rsidRPr="00EF2E7A" w:rsidRDefault="008A5CF2" w:rsidP="00EF2E7A">
            <w:pPr>
              <w:pStyle w:val="TableParagraph"/>
              <w:ind w:left="105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(System component failed, maximum pressure was reached, or probe check failed)</w:t>
            </w:r>
          </w:p>
          <w:p w:rsidR="00E3091A" w:rsidRPr="00EF2E7A" w:rsidRDefault="008A5CF2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GBS – NO RESULT</w:t>
            </w:r>
          </w:p>
          <w:p w:rsidR="008A5CF2" w:rsidRPr="00EF2E7A" w:rsidRDefault="008A5CF2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SPC – NOT RESULT</w:t>
            </w:r>
          </w:p>
          <w:p w:rsidR="008A5CF2" w:rsidRPr="00EF2E7A" w:rsidRDefault="008A5CF2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IC – NO RESULT</w:t>
            </w:r>
          </w:p>
          <w:p w:rsidR="008A5CF2" w:rsidRPr="00EF2E7A" w:rsidRDefault="008A5CF2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Probe Check – Fail (If PC Passed, error caused by system component failure)</w:t>
            </w:r>
          </w:p>
        </w:tc>
      </w:tr>
      <w:tr w:rsidR="00E3091A" w:rsidRPr="00EF2E7A" w:rsidTr="00F212D1">
        <w:trPr>
          <w:trHeight w:val="1835"/>
        </w:trPr>
        <w:tc>
          <w:tcPr>
            <w:tcW w:w="1890" w:type="dxa"/>
            <w:tcBorders>
              <w:right w:val="single" w:sz="12" w:space="0" w:color="000000"/>
            </w:tcBorders>
          </w:tcPr>
          <w:p w:rsidR="00E3091A" w:rsidRPr="00EF2E7A" w:rsidRDefault="00E3091A" w:rsidP="00EF2E7A">
            <w:pPr>
              <w:pStyle w:val="TableParagraph"/>
              <w:spacing w:before="25"/>
              <w:rPr>
                <w:b/>
                <w:sz w:val="20"/>
                <w:szCs w:val="20"/>
              </w:rPr>
            </w:pPr>
            <w:r w:rsidRPr="00EF2E7A">
              <w:rPr>
                <w:b/>
                <w:sz w:val="20"/>
                <w:szCs w:val="20"/>
              </w:rPr>
              <w:t>NO RESULT</w:t>
            </w:r>
            <w:r w:rsidR="00F23A07" w:rsidRPr="00EF2E7A">
              <w:rPr>
                <w:b/>
                <w:sz w:val="20"/>
                <w:szCs w:val="20"/>
              </w:rPr>
              <w:t>*</w:t>
            </w:r>
          </w:p>
          <w:p w:rsidR="00E3091A" w:rsidRPr="00EF2E7A" w:rsidRDefault="00E3091A" w:rsidP="00EF2E7A">
            <w:pPr>
              <w:pStyle w:val="TableParagraph"/>
              <w:spacing w:before="74"/>
              <w:rPr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000000"/>
            </w:tcBorders>
          </w:tcPr>
          <w:p w:rsidR="00E3091A" w:rsidRPr="00EF2E7A" w:rsidRDefault="008A5CF2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Presence or Absence of GBS Target Nucleic Acid Cannot Be Determined.</w:t>
            </w:r>
          </w:p>
          <w:p w:rsidR="00912F62" w:rsidRPr="00EF2E7A" w:rsidRDefault="008A5CF2" w:rsidP="00EF2E7A">
            <w:pPr>
              <w:pStyle w:val="TableParagraph"/>
              <w:tabs>
                <w:tab w:val="left" w:pos="321"/>
              </w:tabs>
              <w:spacing w:before="53"/>
              <w:rPr>
                <w:sz w:val="20"/>
                <w:szCs w:val="20"/>
              </w:rPr>
            </w:pPr>
            <w:r w:rsidRPr="00EF2E7A">
              <w:rPr>
                <w:sz w:val="20"/>
                <w:szCs w:val="20"/>
              </w:rPr>
              <w:t>(Operator stopped the test, a power failure occurred, or problems were detected in the cartridge)</w:t>
            </w:r>
          </w:p>
          <w:p w:rsidR="00912F62" w:rsidRPr="00EF2E7A" w:rsidRDefault="00912F62" w:rsidP="00EF2E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GBS – NO RESULT</w:t>
            </w:r>
          </w:p>
          <w:p w:rsidR="00912F62" w:rsidRPr="00EF2E7A" w:rsidRDefault="00912F62" w:rsidP="00EF2E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SPC – NO RESULT</w:t>
            </w:r>
          </w:p>
          <w:p w:rsidR="00912F62" w:rsidRPr="00EF2E7A" w:rsidRDefault="00912F62" w:rsidP="00EF2E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IC – NO RESULT</w:t>
            </w:r>
          </w:p>
          <w:p w:rsidR="00912F62" w:rsidRPr="00EF2E7A" w:rsidRDefault="00912F62" w:rsidP="00EF2E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E7A">
              <w:rPr>
                <w:rFonts w:ascii="Arial" w:hAnsi="Arial" w:cs="Arial"/>
                <w:sz w:val="20"/>
                <w:szCs w:val="20"/>
              </w:rPr>
              <w:t>Probe Check: Not Applicable</w:t>
            </w:r>
          </w:p>
        </w:tc>
      </w:tr>
    </w:tbl>
    <w:p w:rsidR="00EF2E7A" w:rsidRPr="00F212D1" w:rsidRDefault="00F23A07" w:rsidP="00F212D1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*Refer to example graphs in the Package Insert for more information</w:t>
      </w:r>
      <w:r w:rsidR="00CB0450" w:rsidRPr="00EF2E7A">
        <w:rPr>
          <w:rFonts w:ascii="Arial" w:hAnsi="Arial" w:cs="Arial"/>
          <w:sz w:val="20"/>
          <w:szCs w:val="20"/>
        </w:rPr>
        <w:t>.</w:t>
      </w:r>
    </w:p>
    <w:p w:rsidR="00EF2E7A" w:rsidRPr="00EF2E7A" w:rsidRDefault="00EF2E7A" w:rsidP="00EF2E7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0637C2" w:rsidRPr="00EF2E7A" w:rsidRDefault="000637C2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ADDITIONAL TESTING</w:t>
      </w:r>
    </w:p>
    <w:p w:rsidR="00D91DA3" w:rsidRPr="00EF2E7A" w:rsidRDefault="000637C2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LIM broths will be saved for 7 days, in case a susceptibility is </w:t>
      </w:r>
      <w:r w:rsidR="00D746B7" w:rsidRPr="00EF2E7A">
        <w:rPr>
          <w:rFonts w:ascii="Arial" w:hAnsi="Arial" w:cs="Arial"/>
          <w:sz w:val="20"/>
          <w:szCs w:val="20"/>
        </w:rPr>
        <w:t>needed.</w:t>
      </w:r>
    </w:p>
    <w:p w:rsidR="00D91DA3" w:rsidRPr="00EF2E7A" w:rsidRDefault="000637C2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When a susceptibility</w:t>
      </w:r>
      <w:r w:rsidR="00D746B7" w:rsidRPr="00EF2E7A">
        <w:rPr>
          <w:rFonts w:ascii="Arial" w:hAnsi="Arial" w:cs="Arial"/>
          <w:sz w:val="20"/>
          <w:szCs w:val="20"/>
        </w:rPr>
        <w:t xml:space="preserve"> is requested, order a </w:t>
      </w:r>
      <w:r w:rsidR="00D91DA3" w:rsidRPr="00EF2E7A">
        <w:rPr>
          <w:rFonts w:ascii="Arial" w:hAnsi="Arial" w:cs="Arial"/>
          <w:sz w:val="20"/>
          <w:szCs w:val="20"/>
        </w:rPr>
        <w:t>“</w:t>
      </w:r>
      <w:r w:rsidR="00D746B7" w:rsidRPr="00EF2E7A">
        <w:rPr>
          <w:rFonts w:ascii="Arial" w:hAnsi="Arial" w:cs="Arial"/>
          <w:sz w:val="20"/>
          <w:szCs w:val="20"/>
        </w:rPr>
        <w:t>CX</w:t>
      </w:r>
      <w:r w:rsidR="004234B6">
        <w:rPr>
          <w:rFonts w:ascii="Arial" w:hAnsi="Arial" w:cs="Arial"/>
          <w:sz w:val="20"/>
          <w:szCs w:val="20"/>
        </w:rPr>
        <w:t>GRB</w:t>
      </w:r>
      <w:r w:rsidR="00D91DA3" w:rsidRPr="00EF2E7A">
        <w:rPr>
          <w:rFonts w:ascii="Arial" w:hAnsi="Arial" w:cs="Arial"/>
          <w:sz w:val="20"/>
          <w:szCs w:val="20"/>
        </w:rPr>
        <w:t>”</w:t>
      </w:r>
      <w:r w:rsidR="00D746B7" w:rsidRPr="00EF2E7A">
        <w:rPr>
          <w:rFonts w:ascii="Arial" w:hAnsi="Arial" w:cs="Arial"/>
          <w:sz w:val="20"/>
          <w:szCs w:val="20"/>
        </w:rPr>
        <w:t xml:space="preserve"> and sub the LIM </w:t>
      </w:r>
    </w:p>
    <w:p w:rsidR="000637C2" w:rsidRPr="00EF2E7A" w:rsidRDefault="00D746B7" w:rsidP="00EF2E7A">
      <w:pPr>
        <w:pStyle w:val="ListParagraph"/>
        <w:spacing w:after="0" w:line="240" w:lineRule="auto"/>
        <w:ind w:left="0" w:firstLine="144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broth to a BAP and incubate overnight.</w:t>
      </w:r>
    </w:p>
    <w:p w:rsidR="0037194C" w:rsidRPr="00EF2E7A" w:rsidRDefault="00D746B7" w:rsidP="006A424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After overnight incubation, confirm that Group B Streptococcus is present </w:t>
      </w:r>
      <w:r w:rsidR="0037194C" w:rsidRPr="00EF2E7A">
        <w:rPr>
          <w:rFonts w:ascii="Arial" w:hAnsi="Arial" w:cs="Arial"/>
          <w:sz w:val="20"/>
          <w:szCs w:val="20"/>
        </w:rPr>
        <w:t>using the</w:t>
      </w:r>
      <w:r w:rsidR="00EF2E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194C" w:rsidRPr="00EF2E7A">
        <w:rPr>
          <w:rFonts w:ascii="Arial" w:hAnsi="Arial" w:cs="Arial"/>
          <w:bCs/>
          <w:sz w:val="20"/>
          <w:szCs w:val="20"/>
        </w:rPr>
        <w:t>PathoDx</w:t>
      </w:r>
      <w:proofErr w:type="spellEnd"/>
      <w:r w:rsidR="0037194C" w:rsidRPr="00EF2E7A">
        <w:rPr>
          <w:rFonts w:ascii="Arial" w:hAnsi="Arial" w:cs="Arial"/>
          <w:sz w:val="20"/>
          <w:szCs w:val="20"/>
        </w:rPr>
        <w:t xml:space="preserve"> </w:t>
      </w:r>
      <w:r w:rsidR="0037194C" w:rsidRPr="00EF2E7A">
        <w:rPr>
          <w:rFonts w:ascii="Arial" w:hAnsi="Arial" w:cs="Arial"/>
          <w:bCs/>
          <w:sz w:val="20"/>
          <w:szCs w:val="20"/>
        </w:rPr>
        <w:t xml:space="preserve">Strep Grouping kit.  </w:t>
      </w:r>
    </w:p>
    <w:p w:rsidR="00D746B7" w:rsidRPr="00EF2E7A" w:rsidRDefault="0037194C" w:rsidP="00EF2E7A">
      <w:pPr>
        <w:pStyle w:val="ListParagraph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bCs/>
          <w:sz w:val="20"/>
          <w:szCs w:val="20"/>
        </w:rPr>
        <w:tab/>
      </w:r>
      <w:r w:rsidRPr="00EF2E7A">
        <w:rPr>
          <w:rFonts w:ascii="Arial" w:hAnsi="Arial" w:cs="Arial"/>
          <w:b/>
          <w:bCs/>
          <w:sz w:val="20"/>
          <w:szCs w:val="20"/>
          <w:u w:val="single"/>
        </w:rPr>
        <w:t xml:space="preserve">NOTE: </w:t>
      </w:r>
      <w:r w:rsidRPr="00EF2E7A">
        <w:rPr>
          <w:rFonts w:ascii="Arial" w:hAnsi="Arial" w:cs="Arial"/>
          <w:bCs/>
          <w:sz w:val="20"/>
          <w:szCs w:val="20"/>
        </w:rPr>
        <w:t>Isolation may be necessary before testing due to growth of vaginal/rectal flora</w:t>
      </w:r>
    </w:p>
    <w:p w:rsidR="00464B4C" w:rsidRPr="00EF2E7A" w:rsidRDefault="0037194C" w:rsidP="006A424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bCs/>
          <w:sz w:val="20"/>
          <w:szCs w:val="20"/>
        </w:rPr>
        <w:t>After confirming the presence of Group B Streptococcus, set up a Kirby-Bauer susceptibility.</w:t>
      </w:r>
      <w:r w:rsidR="004234B6">
        <w:rPr>
          <w:rFonts w:ascii="Arial" w:hAnsi="Arial" w:cs="Arial"/>
          <w:bCs/>
          <w:sz w:val="20"/>
          <w:szCs w:val="20"/>
        </w:rPr>
        <w:t xml:space="preserve"> Refer to </w:t>
      </w:r>
      <w:r w:rsidR="004234B6" w:rsidRPr="002423F2">
        <w:rPr>
          <w:rFonts w:ascii="Arial" w:hAnsi="Arial" w:cs="Arial"/>
          <w:bCs/>
          <w:i/>
          <w:color w:val="244061" w:themeColor="accent1" w:themeShade="80"/>
          <w:sz w:val="20"/>
          <w:szCs w:val="20"/>
          <w:u w:val="single"/>
        </w:rPr>
        <w:t>Procedure</w:t>
      </w:r>
      <w:r w:rsidR="004234B6" w:rsidRPr="002423F2">
        <w:rPr>
          <w:rFonts w:ascii="Arial" w:hAnsi="Arial" w:cs="Arial"/>
          <w:bCs/>
          <w:i/>
          <w:color w:val="244061" w:themeColor="accent1" w:themeShade="80"/>
          <w:sz w:val="20"/>
          <w:szCs w:val="20"/>
        </w:rPr>
        <w:t xml:space="preserve">: </w:t>
      </w:r>
      <w:r w:rsidR="004234B6" w:rsidRPr="002423F2">
        <w:rPr>
          <w:rFonts w:ascii="Arial" w:eastAsia="Times New Roman" w:hAnsi="Arial" w:cs="Arial"/>
          <w:i/>
          <w:color w:val="244061" w:themeColor="accent1" w:themeShade="80"/>
          <w:sz w:val="20"/>
          <w:szCs w:val="20"/>
        </w:rPr>
        <w:t>GROUP B STREPTOCOCCUS SCREENING</w:t>
      </w:r>
      <w:r w:rsidR="004234B6" w:rsidRPr="002423F2">
        <w:rPr>
          <w:rFonts w:ascii="Arial" w:eastAsia="Times New Roman" w:hAnsi="Arial" w:cs="Arial"/>
          <w:b/>
          <w:color w:val="244061" w:themeColor="accent1" w:themeShade="80"/>
          <w:sz w:val="20"/>
          <w:szCs w:val="20"/>
        </w:rPr>
        <w:t xml:space="preserve"> </w:t>
      </w:r>
      <w:r w:rsidR="004234B6">
        <w:rPr>
          <w:rFonts w:ascii="Arial" w:eastAsia="Times New Roman" w:hAnsi="Arial" w:cs="Arial"/>
          <w:sz w:val="20"/>
          <w:szCs w:val="20"/>
        </w:rPr>
        <w:t xml:space="preserve">for required </w:t>
      </w:r>
      <w:r w:rsidR="00631927">
        <w:rPr>
          <w:rFonts w:ascii="Arial" w:eastAsia="Times New Roman" w:hAnsi="Arial" w:cs="Arial"/>
          <w:sz w:val="20"/>
          <w:szCs w:val="20"/>
        </w:rPr>
        <w:t>antibiotics.</w:t>
      </w:r>
    </w:p>
    <w:p w:rsidR="00464B4C" w:rsidRPr="00EF2E7A" w:rsidRDefault="002475F1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bCs/>
          <w:sz w:val="20"/>
          <w:szCs w:val="20"/>
        </w:rPr>
        <w:t xml:space="preserve">If Group B Strep </w:t>
      </w:r>
      <w:r w:rsidR="00464B4C" w:rsidRPr="00EF2E7A">
        <w:rPr>
          <w:rFonts w:ascii="Arial" w:hAnsi="Arial" w:cs="Arial"/>
          <w:bCs/>
          <w:sz w:val="20"/>
          <w:szCs w:val="20"/>
        </w:rPr>
        <w:t xml:space="preserve">is not isolated in the culture, result the order with the </w:t>
      </w:r>
    </w:p>
    <w:p w:rsidR="002475F1" w:rsidRDefault="00464B4C" w:rsidP="00F212D1">
      <w:pPr>
        <w:pStyle w:val="ListParagraph"/>
        <w:spacing w:after="0" w:line="240" w:lineRule="auto"/>
        <w:ind w:left="1440" w:hanging="720"/>
        <w:rPr>
          <w:rFonts w:ascii="Arial" w:hAnsi="Arial" w:cs="Arial"/>
          <w:bCs/>
          <w:sz w:val="20"/>
          <w:szCs w:val="20"/>
        </w:rPr>
      </w:pPr>
      <w:r w:rsidRPr="00EF2E7A">
        <w:rPr>
          <w:rFonts w:ascii="Arial" w:hAnsi="Arial" w:cs="Arial"/>
          <w:bCs/>
          <w:sz w:val="20"/>
          <w:szCs w:val="20"/>
        </w:rPr>
        <w:tab/>
        <w:t xml:space="preserve">comment, “Susceptibilities unable to be performed.  Organism is non-viable”.  Make a notification call to the requesting provider and document </w:t>
      </w:r>
      <w:r w:rsidRPr="00EF2E7A">
        <w:rPr>
          <w:rFonts w:ascii="Arial" w:hAnsi="Arial" w:cs="Arial"/>
          <w:bCs/>
          <w:sz w:val="20"/>
          <w:szCs w:val="20"/>
        </w:rPr>
        <w:tab/>
        <w:t xml:space="preserve">that the call was made in the order.  </w:t>
      </w:r>
    </w:p>
    <w:p w:rsidR="006A4242" w:rsidRPr="006A4242" w:rsidRDefault="006A4242" w:rsidP="006A424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7154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lastRenderedPageBreak/>
        <w:t>LIMITATIONS OF TEST</w:t>
      </w:r>
    </w:p>
    <w:p w:rsidR="00F77BAD" w:rsidRPr="00EF2E7A" w:rsidRDefault="00F77BAD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BF7154" w:rsidRPr="006A4242" w:rsidRDefault="001B1558" w:rsidP="006A424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Erroneous test results can occur due to improper specimen collection, </w:t>
      </w:r>
      <w:r w:rsidRPr="006A4242">
        <w:rPr>
          <w:rFonts w:ascii="Arial" w:hAnsi="Arial" w:cs="Arial"/>
          <w:sz w:val="20"/>
          <w:szCs w:val="20"/>
        </w:rPr>
        <w:t xml:space="preserve">technical error, sample mix-up, or because of a low </w:t>
      </w:r>
      <w:r w:rsidR="00F23A07" w:rsidRPr="006A4242">
        <w:rPr>
          <w:rFonts w:ascii="Arial" w:hAnsi="Arial" w:cs="Arial"/>
          <w:sz w:val="20"/>
          <w:szCs w:val="20"/>
        </w:rPr>
        <w:t>n</w:t>
      </w:r>
      <w:r w:rsidRPr="006A4242">
        <w:rPr>
          <w:rFonts w:ascii="Arial" w:hAnsi="Arial" w:cs="Arial"/>
          <w:sz w:val="20"/>
          <w:szCs w:val="20"/>
        </w:rPr>
        <w:t xml:space="preserve">umber of organisms in the specimen.  Swabbing </w:t>
      </w:r>
      <w:r w:rsidR="00F23A07" w:rsidRPr="006A4242">
        <w:rPr>
          <w:rFonts w:ascii="Arial" w:hAnsi="Arial" w:cs="Arial"/>
          <w:sz w:val="20"/>
          <w:szCs w:val="20"/>
        </w:rPr>
        <w:t>both the lower vagina and rectum</w:t>
      </w:r>
      <w:r w:rsidRPr="006A4242">
        <w:rPr>
          <w:rFonts w:ascii="Arial" w:hAnsi="Arial" w:cs="Arial"/>
          <w:sz w:val="20"/>
          <w:szCs w:val="20"/>
        </w:rPr>
        <w:t xml:space="preserve"> increases the yield compared to sampling the cervix or vagina without also swabbing the rectum.</w:t>
      </w:r>
    </w:p>
    <w:p w:rsidR="001B1558" w:rsidRPr="006A4242" w:rsidRDefault="001B1558" w:rsidP="006A424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The performance of the assay was evaluated using the procedures </w:t>
      </w:r>
      <w:r w:rsidRPr="006A4242">
        <w:rPr>
          <w:rFonts w:ascii="Arial" w:hAnsi="Arial" w:cs="Arial"/>
          <w:sz w:val="20"/>
          <w:szCs w:val="20"/>
        </w:rPr>
        <w:t>provided in the package insert only.  Modifications to these procedures may alter the test performance.</w:t>
      </w:r>
    </w:p>
    <w:p w:rsidR="001B1558" w:rsidRPr="00EF2E7A" w:rsidRDefault="001B1558" w:rsidP="00EF2E7A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This assay has been validated with Lim broth medium only.</w:t>
      </w:r>
    </w:p>
    <w:p w:rsidR="001B1558" w:rsidRPr="006A4242" w:rsidRDefault="001B1558" w:rsidP="006A424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Mutations in primer or probe binding regions may affect detection of new </w:t>
      </w:r>
      <w:r w:rsidRPr="006A4242">
        <w:rPr>
          <w:rFonts w:ascii="Arial" w:hAnsi="Arial" w:cs="Arial"/>
          <w:sz w:val="20"/>
          <w:szCs w:val="20"/>
        </w:rPr>
        <w:t>or unk</w:t>
      </w:r>
      <w:r w:rsidR="00F23A07" w:rsidRPr="006A4242">
        <w:rPr>
          <w:rFonts w:ascii="Arial" w:hAnsi="Arial" w:cs="Arial"/>
          <w:sz w:val="20"/>
          <w:szCs w:val="20"/>
        </w:rPr>
        <w:t>n</w:t>
      </w:r>
      <w:r w:rsidRPr="006A4242">
        <w:rPr>
          <w:rFonts w:ascii="Arial" w:hAnsi="Arial" w:cs="Arial"/>
          <w:sz w:val="20"/>
          <w:szCs w:val="20"/>
        </w:rPr>
        <w:t>own GBS variants results in a false negative result.</w:t>
      </w:r>
    </w:p>
    <w:p w:rsidR="001B1558" w:rsidRPr="006A4242" w:rsidRDefault="001B1558" w:rsidP="006A424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Positive results do not definitively indicate the presence of viable </w:t>
      </w:r>
      <w:r w:rsidRPr="006A4242">
        <w:rPr>
          <w:rFonts w:ascii="Arial" w:hAnsi="Arial" w:cs="Arial"/>
          <w:sz w:val="20"/>
          <w:szCs w:val="20"/>
        </w:rPr>
        <w:t>organisms.</w:t>
      </w:r>
    </w:p>
    <w:p w:rsidR="00CB0450" w:rsidRPr="006A4242" w:rsidRDefault="001B1558" w:rsidP="006A4242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Patients who have used topical or systemic antibiotic treatment in the </w:t>
      </w:r>
      <w:r w:rsidRPr="006A4242">
        <w:rPr>
          <w:rFonts w:ascii="Arial" w:hAnsi="Arial" w:cs="Arial"/>
          <w:sz w:val="20"/>
          <w:szCs w:val="20"/>
        </w:rPr>
        <w:t>previous week as well as patients diagnosed with placent</w:t>
      </w:r>
      <w:r w:rsidR="00921962" w:rsidRPr="006A4242">
        <w:rPr>
          <w:rFonts w:ascii="Arial" w:hAnsi="Arial" w:cs="Arial"/>
          <w:sz w:val="20"/>
          <w:szCs w:val="20"/>
        </w:rPr>
        <w:t>a</w:t>
      </w:r>
      <w:r w:rsidRPr="006A4242">
        <w:rPr>
          <w:rFonts w:ascii="Arial" w:hAnsi="Arial" w:cs="Arial"/>
          <w:sz w:val="20"/>
          <w:szCs w:val="20"/>
        </w:rPr>
        <w:t xml:space="preserve"> previa should not </w:t>
      </w:r>
      <w:r w:rsidR="00921962" w:rsidRPr="006A4242">
        <w:rPr>
          <w:rFonts w:ascii="Arial" w:hAnsi="Arial" w:cs="Arial"/>
          <w:sz w:val="20"/>
          <w:szCs w:val="20"/>
        </w:rPr>
        <w:t>be tested.</w:t>
      </w:r>
    </w:p>
    <w:p w:rsidR="00CB0450" w:rsidRPr="00EF2E7A" w:rsidRDefault="00CB0450" w:rsidP="00EF2E7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873437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TECHNICAL SUPPORT</w:t>
      </w:r>
    </w:p>
    <w:p w:rsidR="00873437" w:rsidRPr="00EF2E7A" w:rsidRDefault="00873437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873437" w:rsidRPr="00EF2E7A" w:rsidRDefault="00873437" w:rsidP="00EF2E7A">
      <w:pPr>
        <w:pStyle w:val="ListParagraph"/>
        <w:numPr>
          <w:ilvl w:val="1"/>
          <w:numId w:val="15"/>
        </w:numPr>
        <w:spacing w:before="78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1(888) 838-3222 or </w:t>
      </w:r>
      <w:hyperlink r:id="rId9">
        <w:r w:rsidRPr="00EF2E7A">
          <w:rPr>
            <w:rFonts w:ascii="Arial" w:hAnsi="Arial" w:cs="Arial"/>
            <w:sz w:val="20"/>
            <w:szCs w:val="20"/>
          </w:rPr>
          <w:t>techsupport@cepheid.com</w:t>
        </w:r>
      </w:hyperlink>
    </w:p>
    <w:p w:rsidR="000F470F" w:rsidRPr="00EF2E7A" w:rsidRDefault="00873437" w:rsidP="00EF2E7A">
      <w:pPr>
        <w:pStyle w:val="ListParagraph"/>
        <w:numPr>
          <w:ilvl w:val="1"/>
          <w:numId w:val="15"/>
        </w:numPr>
        <w:spacing w:before="78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 xml:space="preserve">Before contacting Cepheid Technical Support, collect the following </w:t>
      </w:r>
    </w:p>
    <w:p w:rsidR="000F470F" w:rsidRPr="00EF2E7A" w:rsidRDefault="00873437" w:rsidP="00EF2E7A">
      <w:pPr>
        <w:pStyle w:val="ListParagraph"/>
        <w:spacing w:before="78"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information:</w:t>
      </w:r>
      <w:r w:rsidR="000F470F" w:rsidRPr="00EF2E7A">
        <w:rPr>
          <w:rFonts w:ascii="Arial" w:hAnsi="Arial" w:cs="Arial"/>
          <w:sz w:val="20"/>
          <w:szCs w:val="20"/>
        </w:rPr>
        <w:t xml:space="preserve"> </w:t>
      </w:r>
    </w:p>
    <w:p w:rsidR="000F470F" w:rsidRPr="00EF2E7A" w:rsidRDefault="000F470F" w:rsidP="00EF2E7A">
      <w:pPr>
        <w:pStyle w:val="ListParagraph"/>
        <w:numPr>
          <w:ilvl w:val="2"/>
          <w:numId w:val="15"/>
        </w:numPr>
        <w:spacing w:before="78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Product</w:t>
      </w:r>
      <w:r w:rsidRPr="00EF2E7A">
        <w:rPr>
          <w:rFonts w:ascii="Arial" w:hAnsi="Arial" w:cs="Arial"/>
          <w:spacing w:val="-11"/>
          <w:sz w:val="20"/>
          <w:szCs w:val="20"/>
        </w:rPr>
        <w:t xml:space="preserve"> </w:t>
      </w:r>
      <w:r w:rsidRPr="00EF2E7A">
        <w:rPr>
          <w:rFonts w:ascii="Arial" w:hAnsi="Arial" w:cs="Arial"/>
          <w:sz w:val="20"/>
          <w:szCs w:val="20"/>
        </w:rPr>
        <w:t>name</w:t>
      </w:r>
    </w:p>
    <w:p w:rsidR="000F470F" w:rsidRPr="00EF2E7A" w:rsidRDefault="000F470F" w:rsidP="00EF2E7A">
      <w:pPr>
        <w:pStyle w:val="ListParagraph"/>
        <w:numPr>
          <w:ilvl w:val="2"/>
          <w:numId w:val="15"/>
        </w:numPr>
        <w:spacing w:before="78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Lot number</w:t>
      </w:r>
    </w:p>
    <w:p w:rsidR="000F470F" w:rsidRPr="00EF2E7A" w:rsidRDefault="000F470F" w:rsidP="00EF2E7A">
      <w:pPr>
        <w:pStyle w:val="ListParagraph"/>
        <w:numPr>
          <w:ilvl w:val="2"/>
          <w:numId w:val="15"/>
        </w:numPr>
        <w:spacing w:before="78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Serial number of the instrument</w:t>
      </w:r>
    </w:p>
    <w:p w:rsidR="000F470F" w:rsidRPr="00EF2E7A" w:rsidRDefault="000F470F" w:rsidP="00EF2E7A">
      <w:pPr>
        <w:pStyle w:val="ListParagraph"/>
        <w:numPr>
          <w:ilvl w:val="2"/>
          <w:numId w:val="15"/>
        </w:numPr>
        <w:spacing w:before="78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Error messages (if any)</w:t>
      </w:r>
    </w:p>
    <w:p w:rsidR="000F470F" w:rsidRPr="00EF2E7A" w:rsidRDefault="000F470F" w:rsidP="00EF2E7A">
      <w:pPr>
        <w:pStyle w:val="ListParagraph"/>
        <w:numPr>
          <w:ilvl w:val="2"/>
          <w:numId w:val="15"/>
        </w:numPr>
        <w:spacing w:before="78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Software version and (if applicable) Computer Service Tag number</w:t>
      </w:r>
    </w:p>
    <w:p w:rsidR="000F470F" w:rsidRPr="00EF2E7A" w:rsidRDefault="000F470F" w:rsidP="00EF2E7A">
      <w:pPr>
        <w:pStyle w:val="ListParagraph"/>
        <w:widowControl w:val="0"/>
        <w:numPr>
          <w:ilvl w:val="1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Restarting the System:</w:t>
      </w:r>
    </w:p>
    <w:p w:rsidR="000F470F" w:rsidRPr="00EF2E7A" w:rsidRDefault="000F470F" w:rsidP="00EF2E7A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Make sure instrument is not processing samples</w:t>
      </w:r>
    </w:p>
    <w:p w:rsidR="000F470F" w:rsidRPr="00EF2E7A" w:rsidRDefault="000F470F" w:rsidP="00EF2E7A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Remove all cartridges from modules</w:t>
      </w:r>
    </w:p>
    <w:p w:rsidR="000F470F" w:rsidRPr="00EF2E7A" w:rsidRDefault="000F470F" w:rsidP="00EF2E7A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Quit GeneXpert Software</w:t>
      </w:r>
    </w:p>
    <w:p w:rsidR="000F470F" w:rsidRPr="00EF2E7A" w:rsidRDefault="000F470F" w:rsidP="00EF2E7A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Turn off the computer</w:t>
      </w:r>
    </w:p>
    <w:p w:rsidR="000F470F" w:rsidRPr="00EF2E7A" w:rsidRDefault="000F470F" w:rsidP="00EF2E7A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Turn off the instrument</w:t>
      </w:r>
    </w:p>
    <w:p w:rsidR="000F470F" w:rsidRPr="00EF2E7A" w:rsidRDefault="000F470F" w:rsidP="00EF2E7A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Wait 2 minutes</w:t>
      </w:r>
    </w:p>
    <w:p w:rsidR="000F470F" w:rsidRPr="00EF2E7A" w:rsidRDefault="000F470F" w:rsidP="00EF2E7A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Turn on the instrument</w:t>
      </w:r>
    </w:p>
    <w:p w:rsidR="000F470F" w:rsidRPr="00EF2E7A" w:rsidRDefault="000F470F" w:rsidP="00EF2E7A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Wait 2 minutes</w:t>
      </w:r>
    </w:p>
    <w:p w:rsidR="00BF7154" w:rsidRPr="00EF2E7A" w:rsidRDefault="000F470F" w:rsidP="00EF2E7A">
      <w:pPr>
        <w:pStyle w:val="ListParagraph"/>
        <w:widowControl w:val="0"/>
        <w:numPr>
          <w:ilvl w:val="2"/>
          <w:numId w:val="15"/>
        </w:numPr>
        <w:autoSpaceDE w:val="0"/>
        <w:autoSpaceDN w:val="0"/>
        <w:spacing w:before="93" w:after="0" w:line="240" w:lineRule="auto"/>
        <w:rPr>
          <w:rFonts w:ascii="Arial" w:hAnsi="Arial" w:cs="Arial"/>
          <w:sz w:val="20"/>
          <w:szCs w:val="20"/>
        </w:rPr>
      </w:pPr>
      <w:r w:rsidRPr="00EF2E7A">
        <w:rPr>
          <w:rFonts w:ascii="Arial" w:hAnsi="Arial" w:cs="Arial"/>
          <w:sz w:val="20"/>
          <w:szCs w:val="20"/>
        </w:rPr>
        <w:t>Turn on the GeneXpert Software.</w:t>
      </w:r>
    </w:p>
    <w:p w:rsidR="000F470F" w:rsidRPr="00EF2E7A" w:rsidRDefault="000F470F" w:rsidP="00EF2E7A">
      <w:pPr>
        <w:pStyle w:val="ListParagraph"/>
        <w:widowControl w:val="0"/>
        <w:autoSpaceDE w:val="0"/>
        <w:autoSpaceDN w:val="0"/>
        <w:spacing w:before="93"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0F470F" w:rsidRPr="00EF2E7A" w:rsidRDefault="00BF7154" w:rsidP="00EF2E7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2E7A">
        <w:rPr>
          <w:rFonts w:ascii="Arial" w:hAnsi="Arial" w:cs="Arial"/>
          <w:b/>
          <w:sz w:val="20"/>
          <w:szCs w:val="20"/>
        </w:rPr>
        <w:t>REFERENCES</w:t>
      </w:r>
      <w:r w:rsidR="000F470F" w:rsidRPr="00EF2E7A">
        <w:rPr>
          <w:rFonts w:ascii="Arial" w:hAnsi="Arial" w:cs="Arial"/>
          <w:b/>
          <w:sz w:val="20"/>
          <w:szCs w:val="20"/>
        </w:rPr>
        <w:t xml:space="preserve"> </w:t>
      </w:r>
    </w:p>
    <w:p w:rsidR="000F470F" w:rsidRPr="00EF2E7A" w:rsidRDefault="000F470F" w:rsidP="00EF2E7A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BF7154" w:rsidRPr="006A4242" w:rsidRDefault="000F470F" w:rsidP="006A4242">
      <w:pPr>
        <w:pStyle w:val="ListParagraph"/>
        <w:widowControl w:val="0"/>
        <w:numPr>
          <w:ilvl w:val="1"/>
          <w:numId w:val="15"/>
        </w:numPr>
        <w:autoSpaceDE w:val="0"/>
        <w:autoSpaceDN w:val="0"/>
        <w:spacing w:before="80" w:after="0" w:line="240" w:lineRule="auto"/>
        <w:ind w:right="275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F2E7A">
        <w:rPr>
          <w:rFonts w:ascii="Arial" w:hAnsi="Arial" w:cs="Arial"/>
          <w:sz w:val="20"/>
          <w:szCs w:val="20"/>
        </w:rPr>
        <w:t>Xpert</w:t>
      </w:r>
      <w:proofErr w:type="spellEnd"/>
      <w:r w:rsidRPr="00EF2E7A">
        <w:rPr>
          <w:rFonts w:ascii="Arial" w:hAnsi="Arial" w:cs="Arial"/>
          <w:sz w:val="20"/>
          <w:szCs w:val="20"/>
          <w:vertAlign w:val="superscript"/>
        </w:rPr>
        <w:t>®</w:t>
      </w:r>
      <w:r w:rsidRPr="00EF2E7A">
        <w:rPr>
          <w:rFonts w:ascii="Arial" w:hAnsi="Arial" w:cs="Arial"/>
          <w:sz w:val="20"/>
          <w:szCs w:val="20"/>
        </w:rPr>
        <w:t xml:space="preserve"> GBS LB Package Insert. Document: 301-0576, Rev. B August </w:t>
      </w:r>
      <w:r w:rsidRPr="006A4242">
        <w:rPr>
          <w:rFonts w:ascii="Arial" w:hAnsi="Arial" w:cs="Arial"/>
          <w:sz w:val="20"/>
          <w:szCs w:val="20"/>
        </w:rPr>
        <w:t>2014</w:t>
      </w:r>
    </w:p>
    <w:sectPr w:rsidR="00BF7154" w:rsidRPr="006A4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BAD" w:rsidRDefault="00F77BAD" w:rsidP="004048B9">
      <w:pPr>
        <w:spacing w:after="0" w:line="240" w:lineRule="auto"/>
      </w:pPr>
      <w:r>
        <w:separator/>
      </w:r>
    </w:p>
  </w:endnote>
  <w:endnote w:type="continuationSeparator" w:id="0">
    <w:p w:rsidR="00F77BAD" w:rsidRDefault="00F77BAD" w:rsidP="0040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D1" w:rsidRDefault="00F21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75231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12D1" w:rsidRPr="00F212D1" w:rsidRDefault="00F212D1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2D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212D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212D1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212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212D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212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212D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212D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212D1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212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212D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212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61FF6" w:rsidRDefault="00061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D1" w:rsidRDefault="00F21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BAD" w:rsidRDefault="00F77BAD" w:rsidP="004048B9">
      <w:pPr>
        <w:spacing w:after="0" w:line="240" w:lineRule="auto"/>
      </w:pPr>
      <w:r>
        <w:separator/>
      </w:r>
    </w:p>
  </w:footnote>
  <w:footnote w:type="continuationSeparator" w:id="0">
    <w:p w:rsidR="00F77BAD" w:rsidRDefault="00F77BAD" w:rsidP="0040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D1" w:rsidRDefault="00F21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FF6" w:rsidRPr="00B30152" w:rsidRDefault="00B30152" w:rsidP="006A4242">
    <w:pPr>
      <w:snapToGrid w:val="0"/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 w:rsidRPr="00B30152">
      <w:rPr>
        <w:rFonts w:ascii="Arial" w:eastAsia="Times New Roman" w:hAnsi="Arial" w:cs="Arial"/>
        <w:sz w:val="20"/>
        <w:szCs w:val="20"/>
      </w:rPr>
      <w:t>11/07/2018</w:t>
    </w:r>
  </w:p>
  <w:p w:rsidR="00061FF6" w:rsidRDefault="00061FF6">
    <w:pPr>
      <w:pStyle w:val="Header"/>
    </w:pPr>
  </w:p>
  <w:p w:rsidR="00061FF6" w:rsidRDefault="00061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D1" w:rsidRDefault="00F21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6352"/>
    <w:multiLevelType w:val="hybridMultilevel"/>
    <w:tmpl w:val="4AFE4164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D436B5F"/>
    <w:multiLevelType w:val="hybridMultilevel"/>
    <w:tmpl w:val="4BF2DE50"/>
    <w:lvl w:ilvl="0" w:tplc="2A9E3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B709E"/>
    <w:multiLevelType w:val="hybridMultilevel"/>
    <w:tmpl w:val="4D48591C"/>
    <w:lvl w:ilvl="0" w:tplc="05281986">
      <w:numFmt w:val="bullet"/>
      <w:lvlText w:val="•"/>
      <w:lvlJc w:val="left"/>
      <w:pPr>
        <w:ind w:left="321" w:hanging="216"/>
      </w:pPr>
      <w:rPr>
        <w:rFonts w:ascii="Arial" w:eastAsia="Arial" w:hAnsi="Arial" w:cs="Arial" w:hint="default"/>
        <w:spacing w:val="-7"/>
        <w:w w:val="100"/>
        <w:sz w:val="18"/>
        <w:szCs w:val="18"/>
      </w:rPr>
    </w:lvl>
    <w:lvl w:ilvl="1" w:tplc="7F0A143C">
      <w:numFmt w:val="bullet"/>
      <w:lvlText w:val="•"/>
      <w:lvlJc w:val="left"/>
      <w:pPr>
        <w:ind w:left="1000" w:hanging="216"/>
      </w:pPr>
      <w:rPr>
        <w:rFonts w:hint="default"/>
      </w:rPr>
    </w:lvl>
    <w:lvl w:ilvl="2" w:tplc="A0B48B56">
      <w:numFmt w:val="bullet"/>
      <w:lvlText w:val="•"/>
      <w:lvlJc w:val="left"/>
      <w:pPr>
        <w:ind w:left="1681" w:hanging="216"/>
      </w:pPr>
      <w:rPr>
        <w:rFonts w:hint="default"/>
      </w:rPr>
    </w:lvl>
    <w:lvl w:ilvl="3" w:tplc="C9AC61CA">
      <w:numFmt w:val="bullet"/>
      <w:lvlText w:val="•"/>
      <w:lvlJc w:val="left"/>
      <w:pPr>
        <w:ind w:left="2362" w:hanging="216"/>
      </w:pPr>
      <w:rPr>
        <w:rFonts w:hint="default"/>
      </w:rPr>
    </w:lvl>
    <w:lvl w:ilvl="4" w:tplc="DFEE5258">
      <w:numFmt w:val="bullet"/>
      <w:lvlText w:val="•"/>
      <w:lvlJc w:val="left"/>
      <w:pPr>
        <w:ind w:left="3043" w:hanging="216"/>
      </w:pPr>
      <w:rPr>
        <w:rFonts w:hint="default"/>
      </w:rPr>
    </w:lvl>
    <w:lvl w:ilvl="5" w:tplc="955C7494">
      <w:numFmt w:val="bullet"/>
      <w:lvlText w:val="•"/>
      <w:lvlJc w:val="left"/>
      <w:pPr>
        <w:ind w:left="3724" w:hanging="216"/>
      </w:pPr>
      <w:rPr>
        <w:rFonts w:hint="default"/>
      </w:rPr>
    </w:lvl>
    <w:lvl w:ilvl="6" w:tplc="BD0056B2">
      <w:numFmt w:val="bullet"/>
      <w:lvlText w:val="•"/>
      <w:lvlJc w:val="left"/>
      <w:pPr>
        <w:ind w:left="4405" w:hanging="216"/>
      </w:pPr>
      <w:rPr>
        <w:rFonts w:hint="default"/>
      </w:rPr>
    </w:lvl>
    <w:lvl w:ilvl="7" w:tplc="54CED4D6">
      <w:numFmt w:val="bullet"/>
      <w:lvlText w:val="•"/>
      <w:lvlJc w:val="left"/>
      <w:pPr>
        <w:ind w:left="5086" w:hanging="216"/>
      </w:pPr>
      <w:rPr>
        <w:rFonts w:hint="default"/>
      </w:rPr>
    </w:lvl>
    <w:lvl w:ilvl="8" w:tplc="B80C5506">
      <w:numFmt w:val="bullet"/>
      <w:lvlText w:val="•"/>
      <w:lvlJc w:val="left"/>
      <w:pPr>
        <w:ind w:left="5767" w:hanging="216"/>
      </w:pPr>
      <w:rPr>
        <w:rFonts w:hint="default"/>
      </w:rPr>
    </w:lvl>
  </w:abstractNum>
  <w:abstractNum w:abstractNumId="3" w15:restartNumberingAfterBreak="0">
    <w:nsid w:val="148730AB"/>
    <w:multiLevelType w:val="hybridMultilevel"/>
    <w:tmpl w:val="BD8E6AE4"/>
    <w:lvl w:ilvl="0" w:tplc="3F54D3AE">
      <w:numFmt w:val="bullet"/>
      <w:lvlText w:val="•"/>
      <w:lvlJc w:val="left"/>
      <w:pPr>
        <w:ind w:left="321" w:hanging="216"/>
      </w:pPr>
      <w:rPr>
        <w:rFonts w:ascii="Arial" w:eastAsia="Arial" w:hAnsi="Arial" w:cs="Arial" w:hint="default"/>
        <w:spacing w:val="-14"/>
        <w:w w:val="100"/>
        <w:sz w:val="18"/>
        <w:szCs w:val="18"/>
      </w:rPr>
    </w:lvl>
    <w:lvl w:ilvl="1" w:tplc="5FEE8C6A">
      <w:numFmt w:val="bullet"/>
      <w:lvlText w:val="•"/>
      <w:lvlJc w:val="left"/>
      <w:pPr>
        <w:ind w:left="1000" w:hanging="216"/>
      </w:pPr>
      <w:rPr>
        <w:rFonts w:hint="default"/>
      </w:rPr>
    </w:lvl>
    <w:lvl w:ilvl="2" w:tplc="4CBC39EC">
      <w:numFmt w:val="bullet"/>
      <w:lvlText w:val="•"/>
      <w:lvlJc w:val="left"/>
      <w:pPr>
        <w:ind w:left="1681" w:hanging="216"/>
      </w:pPr>
      <w:rPr>
        <w:rFonts w:hint="default"/>
      </w:rPr>
    </w:lvl>
    <w:lvl w:ilvl="3" w:tplc="72C46D7C">
      <w:numFmt w:val="bullet"/>
      <w:lvlText w:val="•"/>
      <w:lvlJc w:val="left"/>
      <w:pPr>
        <w:ind w:left="2362" w:hanging="216"/>
      </w:pPr>
      <w:rPr>
        <w:rFonts w:hint="default"/>
      </w:rPr>
    </w:lvl>
    <w:lvl w:ilvl="4" w:tplc="AE5C8A66">
      <w:numFmt w:val="bullet"/>
      <w:lvlText w:val="•"/>
      <w:lvlJc w:val="left"/>
      <w:pPr>
        <w:ind w:left="3043" w:hanging="216"/>
      </w:pPr>
      <w:rPr>
        <w:rFonts w:hint="default"/>
      </w:rPr>
    </w:lvl>
    <w:lvl w:ilvl="5" w:tplc="123CE2CA">
      <w:numFmt w:val="bullet"/>
      <w:lvlText w:val="•"/>
      <w:lvlJc w:val="left"/>
      <w:pPr>
        <w:ind w:left="3724" w:hanging="216"/>
      </w:pPr>
      <w:rPr>
        <w:rFonts w:hint="default"/>
      </w:rPr>
    </w:lvl>
    <w:lvl w:ilvl="6" w:tplc="06C6263C">
      <w:numFmt w:val="bullet"/>
      <w:lvlText w:val="•"/>
      <w:lvlJc w:val="left"/>
      <w:pPr>
        <w:ind w:left="4405" w:hanging="216"/>
      </w:pPr>
      <w:rPr>
        <w:rFonts w:hint="default"/>
      </w:rPr>
    </w:lvl>
    <w:lvl w:ilvl="7" w:tplc="4B34748C">
      <w:numFmt w:val="bullet"/>
      <w:lvlText w:val="•"/>
      <w:lvlJc w:val="left"/>
      <w:pPr>
        <w:ind w:left="5086" w:hanging="216"/>
      </w:pPr>
      <w:rPr>
        <w:rFonts w:hint="default"/>
      </w:rPr>
    </w:lvl>
    <w:lvl w:ilvl="8" w:tplc="A4DCFF00">
      <w:numFmt w:val="bullet"/>
      <w:lvlText w:val="•"/>
      <w:lvlJc w:val="left"/>
      <w:pPr>
        <w:ind w:left="5767" w:hanging="216"/>
      </w:pPr>
      <w:rPr>
        <w:rFonts w:hint="default"/>
      </w:rPr>
    </w:lvl>
  </w:abstractNum>
  <w:abstractNum w:abstractNumId="4" w15:restartNumberingAfterBreak="0">
    <w:nsid w:val="3906676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48C7203"/>
    <w:multiLevelType w:val="multilevel"/>
    <w:tmpl w:val="7194BB1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48AF2761"/>
    <w:multiLevelType w:val="hybridMultilevel"/>
    <w:tmpl w:val="C138FF8A"/>
    <w:lvl w:ilvl="0" w:tplc="E196B80C">
      <w:numFmt w:val="bullet"/>
      <w:lvlText w:val="•"/>
      <w:lvlJc w:val="left"/>
      <w:pPr>
        <w:ind w:left="320" w:hanging="216"/>
      </w:pPr>
      <w:rPr>
        <w:rFonts w:ascii="Arial" w:eastAsia="Arial" w:hAnsi="Arial" w:cs="Arial" w:hint="default"/>
        <w:spacing w:val="-14"/>
        <w:w w:val="100"/>
        <w:sz w:val="18"/>
        <w:szCs w:val="18"/>
      </w:rPr>
    </w:lvl>
    <w:lvl w:ilvl="1" w:tplc="1804D3BA">
      <w:numFmt w:val="bullet"/>
      <w:lvlText w:val="•"/>
      <w:lvlJc w:val="left"/>
      <w:pPr>
        <w:ind w:left="1000" w:hanging="216"/>
      </w:pPr>
      <w:rPr>
        <w:rFonts w:hint="default"/>
      </w:rPr>
    </w:lvl>
    <w:lvl w:ilvl="2" w:tplc="456479BC">
      <w:numFmt w:val="bullet"/>
      <w:lvlText w:val="•"/>
      <w:lvlJc w:val="left"/>
      <w:pPr>
        <w:ind w:left="1681" w:hanging="216"/>
      </w:pPr>
      <w:rPr>
        <w:rFonts w:hint="default"/>
      </w:rPr>
    </w:lvl>
    <w:lvl w:ilvl="3" w:tplc="B53A19FE">
      <w:numFmt w:val="bullet"/>
      <w:lvlText w:val="•"/>
      <w:lvlJc w:val="left"/>
      <w:pPr>
        <w:ind w:left="2362" w:hanging="216"/>
      </w:pPr>
      <w:rPr>
        <w:rFonts w:hint="default"/>
      </w:rPr>
    </w:lvl>
    <w:lvl w:ilvl="4" w:tplc="761EE82E">
      <w:numFmt w:val="bullet"/>
      <w:lvlText w:val="•"/>
      <w:lvlJc w:val="left"/>
      <w:pPr>
        <w:ind w:left="3043" w:hanging="216"/>
      </w:pPr>
      <w:rPr>
        <w:rFonts w:hint="default"/>
      </w:rPr>
    </w:lvl>
    <w:lvl w:ilvl="5" w:tplc="F1DAF404">
      <w:numFmt w:val="bullet"/>
      <w:lvlText w:val="•"/>
      <w:lvlJc w:val="left"/>
      <w:pPr>
        <w:ind w:left="3724" w:hanging="216"/>
      </w:pPr>
      <w:rPr>
        <w:rFonts w:hint="default"/>
      </w:rPr>
    </w:lvl>
    <w:lvl w:ilvl="6" w:tplc="DBA28974">
      <w:numFmt w:val="bullet"/>
      <w:lvlText w:val="•"/>
      <w:lvlJc w:val="left"/>
      <w:pPr>
        <w:ind w:left="4405" w:hanging="216"/>
      </w:pPr>
      <w:rPr>
        <w:rFonts w:hint="default"/>
      </w:rPr>
    </w:lvl>
    <w:lvl w:ilvl="7" w:tplc="B01EE6F8">
      <w:numFmt w:val="bullet"/>
      <w:lvlText w:val="•"/>
      <w:lvlJc w:val="left"/>
      <w:pPr>
        <w:ind w:left="5086" w:hanging="216"/>
      </w:pPr>
      <w:rPr>
        <w:rFonts w:hint="default"/>
      </w:rPr>
    </w:lvl>
    <w:lvl w:ilvl="8" w:tplc="7604F0E8">
      <w:numFmt w:val="bullet"/>
      <w:lvlText w:val="•"/>
      <w:lvlJc w:val="left"/>
      <w:pPr>
        <w:ind w:left="5767" w:hanging="216"/>
      </w:pPr>
      <w:rPr>
        <w:rFonts w:hint="default"/>
      </w:rPr>
    </w:lvl>
  </w:abstractNum>
  <w:abstractNum w:abstractNumId="7" w15:restartNumberingAfterBreak="0">
    <w:nsid w:val="4BA35E92"/>
    <w:multiLevelType w:val="hybridMultilevel"/>
    <w:tmpl w:val="B8845910"/>
    <w:lvl w:ilvl="0" w:tplc="16DAF5D8">
      <w:numFmt w:val="bullet"/>
      <w:lvlText w:val="•"/>
      <w:lvlJc w:val="left"/>
      <w:pPr>
        <w:ind w:left="320" w:hanging="216"/>
      </w:pPr>
      <w:rPr>
        <w:rFonts w:ascii="Arial" w:eastAsia="Arial" w:hAnsi="Arial" w:cs="Arial" w:hint="default"/>
        <w:spacing w:val="-14"/>
        <w:w w:val="100"/>
        <w:sz w:val="18"/>
        <w:szCs w:val="18"/>
      </w:rPr>
    </w:lvl>
    <w:lvl w:ilvl="1" w:tplc="E5EACB2E">
      <w:numFmt w:val="bullet"/>
      <w:lvlText w:val="•"/>
      <w:lvlJc w:val="left"/>
      <w:pPr>
        <w:ind w:left="1000" w:hanging="216"/>
      </w:pPr>
      <w:rPr>
        <w:rFonts w:hint="default"/>
      </w:rPr>
    </w:lvl>
    <w:lvl w:ilvl="2" w:tplc="5ED229C2">
      <w:numFmt w:val="bullet"/>
      <w:lvlText w:val="•"/>
      <w:lvlJc w:val="left"/>
      <w:pPr>
        <w:ind w:left="1681" w:hanging="216"/>
      </w:pPr>
      <w:rPr>
        <w:rFonts w:hint="default"/>
      </w:rPr>
    </w:lvl>
    <w:lvl w:ilvl="3" w:tplc="83AA881A">
      <w:numFmt w:val="bullet"/>
      <w:lvlText w:val="•"/>
      <w:lvlJc w:val="left"/>
      <w:pPr>
        <w:ind w:left="2362" w:hanging="216"/>
      </w:pPr>
      <w:rPr>
        <w:rFonts w:hint="default"/>
      </w:rPr>
    </w:lvl>
    <w:lvl w:ilvl="4" w:tplc="B59E1D4A">
      <w:numFmt w:val="bullet"/>
      <w:lvlText w:val="•"/>
      <w:lvlJc w:val="left"/>
      <w:pPr>
        <w:ind w:left="3043" w:hanging="216"/>
      </w:pPr>
      <w:rPr>
        <w:rFonts w:hint="default"/>
      </w:rPr>
    </w:lvl>
    <w:lvl w:ilvl="5" w:tplc="220EEF38">
      <w:numFmt w:val="bullet"/>
      <w:lvlText w:val="•"/>
      <w:lvlJc w:val="left"/>
      <w:pPr>
        <w:ind w:left="3724" w:hanging="216"/>
      </w:pPr>
      <w:rPr>
        <w:rFonts w:hint="default"/>
      </w:rPr>
    </w:lvl>
    <w:lvl w:ilvl="6" w:tplc="F54E3C8E">
      <w:numFmt w:val="bullet"/>
      <w:lvlText w:val="•"/>
      <w:lvlJc w:val="left"/>
      <w:pPr>
        <w:ind w:left="4405" w:hanging="216"/>
      </w:pPr>
      <w:rPr>
        <w:rFonts w:hint="default"/>
      </w:rPr>
    </w:lvl>
    <w:lvl w:ilvl="7" w:tplc="A120C5DA">
      <w:numFmt w:val="bullet"/>
      <w:lvlText w:val="•"/>
      <w:lvlJc w:val="left"/>
      <w:pPr>
        <w:ind w:left="5086" w:hanging="216"/>
      </w:pPr>
      <w:rPr>
        <w:rFonts w:hint="default"/>
      </w:rPr>
    </w:lvl>
    <w:lvl w:ilvl="8" w:tplc="CC4C15C0">
      <w:numFmt w:val="bullet"/>
      <w:lvlText w:val="•"/>
      <w:lvlJc w:val="left"/>
      <w:pPr>
        <w:ind w:left="5767" w:hanging="216"/>
      </w:pPr>
      <w:rPr>
        <w:rFonts w:hint="default"/>
      </w:rPr>
    </w:lvl>
  </w:abstractNum>
  <w:abstractNum w:abstractNumId="8" w15:restartNumberingAfterBreak="0">
    <w:nsid w:val="4BEA0E66"/>
    <w:multiLevelType w:val="hybridMultilevel"/>
    <w:tmpl w:val="A762F80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D27EA"/>
    <w:multiLevelType w:val="hybridMultilevel"/>
    <w:tmpl w:val="EF9CD464"/>
    <w:lvl w:ilvl="0" w:tplc="7EFAA872">
      <w:numFmt w:val="bullet"/>
      <w:lvlText w:val="•"/>
      <w:lvlJc w:val="left"/>
      <w:pPr>
        <w:ind w:left="320" w:hanging="216"/>
      </w:pPr>
      <w:rPr>
        <w:rFonts w:ascii="Arial" w:eastAsia="Arial" w:hAnsi="Arial" w:cs="Arial" w:hint="default"/>
        <w:spacing w:val="-14"/>
        <w:w w:val="100"/>
        <w:sz w:val="18"/>
        <w:szCs w:val="18"/>
      </w:rPr>
    </w:lvl>
    <w:lvl w:ilvl="1" w:tplc="B87C2376">
      <w:numFmt w:val="bullet"/>
      <w:lvlText w:val="•"/>
      <w:lvlJc w:val="left"/>
      <w:pPr>
        <w:ind w:left="1000" w:hanging="216"/>
      </w:pPr>
      <w:rPr>
        <w:rFonts w:hint="default"/>
      </w:rPr>
    </w:lvl>
    <w:lvl w:ilvl="2" w:tplc="AC4C7F12">
      <w:numFmt w:val="bullet"/>
      <w:lvlText w:val="•"/>
      <w:lvlJc w:val="left"/>
      <w:pPr>
        <w:ind w:left="1681" w:hanging="216"/>
      </w:pPr>
      <w:rPr>
        <w:rFonts w:hint="default"/>
      </w:rPr>
    </w:lvl>
    <w:lvl w:ilvl="3" w:tplc="51A47AFA">
      <w:numFmt w:val="bullet"/>
      <w:lvlText w:val="•"/>
      <w:lvlJc w:val="left"/>
      <w:pPr>
        <w:ind w:left="2362" w:hanging="216"/>
      </w:pPr>
      <w:rPr>
        <w:rFonts w:hint="default"/>
      </w:rPr>
    </w:lvl>
    <w:lvl w:ilvl="4" w:tplc="449C85C6">
      <w:numFmt w:val="bullet"/>
      <w:lvlText w:val="•"/>
      <w:lvlJc w:val="left"/>
      <w:pPr>
        <w:ind w:left="3043" w:hanging="216"/>
      </w:pPr>
      <w:rPr>
        <w:rFonts w:hint="default"/>
      </w:rPr>
    </w:lvl>
    <w:lvl w:ilvl="5" w:tplc="78A2849A">
      <w:numFmt w:val="bullet"/>
      <w:lvlText w:val="•"/>
      <w:lvlJc w:val="left"/>
      <w:pPr>
        <w:ind w:left="3724" w:hanging="216"/>
      </w:pPr>
      <w:rPr>
        <w:rFonts w:hint="default"/>
      </w:rPr>
    </w:lvl>
    <w:lvl w:ilvl="6" w:tplc="ADF87458">
      <w:numFmt w:val="bullet"/>
      <w:lvlText w:val="•"/>
      <w:lvlJc w:val="left"/>
      <w:pPr>
        <w:ind w:left="4405" w:hanging="216"/>
      </w:pPr>
      <w:rPr>
        <w:rFonts w:hint="default"/>
      </w:rPr>
    </w:lvl>
    <w:lvl w:ilvl="7" w:tplc="BDB8EA08">
      <w:numFmt w:val="bullet"/>
      <w:lvlText w:val="•"/>
      <w:lvlJc w:val="left"/>
      <w:pPr>
        <w:ind w:left="5086" w:hanging="216"/>
      </w:pPr>
      <w:rPr>
        <w:rFonts w:hint="default"/>
      </w:rPr>
    </w:lvl>
    <w:lvl w:ilvl="8" w:tplc="BFE2B4EA">
      <w:numFmt w:val="bullet"/>
      <w:lvlText w:val="•"/>
      <w:lvlJc w:val="left"/>
      <w:pPr>
        <w:ind w:left="5767" w:hanging="216"/>
      </w:pPr>
      <w:rPr>
        <w:rFonts w:hint="default"/>
      </w:rPr>
    </w:lvl>
  </w:abstractNum>
  <w:abstractNum w:abstractNumId="10" w15:restartNumberingAfterBreak="0">
    <w:nsid w:val="5C5272B0"/>
    <w:multiLevelType w:val="hybridMultilevel"/>
    <w:tmpl w:val="610C7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C2597"/>
    <w:multiLevelType w:val="hybridMultilevel"/>
    <w:tmpl w:val="725005F0"/>
    <w:lvl w:ilvl="0" w:tplc="47AA99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520EC8"/>
    <w:multiLevelType w:val="hybridMultilevel"/>
    <w:tmpl w:val="9EBE4CD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73567184"/>
    <w:multiLevelType w:val="hybridMultilevel"/>
    <w:tmpl w:val="6DCA5652"/>
    <w:lvl w:ilvl="0" w:tplc="E006031A">
      <w:start w:val="1"/>
      <w:numFmt w:val="decimal"/>
      <w:lvlText w:val="%1."/>
      <w:lvlJc w:val="left"/>
      <w:pPr>
        <w:ind w:left="1271" w:hanging="432"/>
      </w:pPr>
      <w:rPr>
        <w:rFonts w:hint="default"/>
        <w:spacing w:val="-1"/>
        <w:w w:val="100"/>
        <w:sz w:val="24"/>
        <w:szCs w:val="24"/>
      </w:rPr>
    </w:lvl>
    <w:lvl w:ilvl="1" w:tplc="FAC892B6">
      <w:numFmt w:val="bullet"/>
      <w:lvlText w:val="•"/>
      <w:lvlJc w:val="left"/>
      <w:pPr>
        <w:ind w:left="2184" w:hanging="432"/>
      </w:pPr>
      <w:rPr>
        <w:rFonts w:hint="default"/>
      </w:rPr>
    </w:lvl>
    <w:lvl w:ilvl="2" w:tplc="C5C260F2">
      <w:numFmt w:val="bullet"/>
      <w:lvlText w:val="•"/>
      <w:lvlJc w:val="left"/>
      <w:pPr>
        <w:ind w:left="3088" w:hanging="432"/>
      </w:pPr>
      <w:rPr>
        <w:rFonts w:hint="default"/>
      </w:rPr>
    </w:lvl>
    <w:lvl w:ilvl="3" w:tplc="8408CDEA">
      <w:numFmt w:val="bullet"/>
      <w:lvlText w:val="•"/>
      <w:lvlJc w:val="left"/>
      <w:pPr>
        <w:ind w:left="3992" w:hanging="432"/>
      </w:pPr>
      <w:rPr>
        <w:rFonts w:hint="default"/>
      </w:rPr>
    </w:lvl>
    <w:lvl w:ilvl="4" w:tplc="06B24F56">
      <w:numFmt w:val="bullet"/>
      <w:lvlText w:val="•"/>
      <w:lvlJc w:val="left"/>
      <w:pPr>
        <w:ind w:left="4896" w:hanging="432"/>
      </w:pPr>
      <w:rPr>
        <w:rFonts w:hint="default"/>
      </w:rPr>
    </w:lvl>
    <w:lvl w:ilvl="5" w:tplc="0C9ABCBC">
      <w:numFmt w:val="bullet"/>
      <w:lvlText w:val="•"/>
      <w:lvlJc w:val="left"/>
      <w:pPr>
        <w:ind w:left="5800" w:hanging="432"/>
      </w:pPr>
      <w:rPr>
        <w:rFonts w:hint="default"/>
      </w:rPr>
    </w:lvl>
    <w:lvl w:ilvl="6" w:tplc="249CFA6A">
      <w:numFmt w:val="bullet"/>
      <w:lvlText w:val="•"/>
      <w:lvlJc w:val="left"/>
      <w:pPr>
        <w:ind w:left="6704" w:hanging="432"/>
      </w:pPr>
      <w:rPr>
        <w:rFonts w:hint="default"/>
      </w:rPr>
    </w:lvl>
    <w:lvl w:ilvl="7" w:tplc="4D46E3EC">
      <w:numFmt w:val="bullet"/>
      <w:lvlText w:val="•"/>
      <w:lvlJc w:val="left"/>
      <w:pPr>
        <w:ind w:left="7608" w:hanging="432"/>
      </w:pPr>
      <w:rPr>
        <w:rFonts w:hint="default"/>
      </w:rPr>
    </w:lvl>
    <w:lvl w:ilvl="8" w:tplc="59408578">
      <w:numFmt w:val="bullet"/>
      <w:lvlText w:val="•"/>
      <w:lvlJc w:val="left"/>
      <w:pPr>
        <w:ind w:left="8512" w:hanging="432"/>
      </w:pPr>
      <w:rPr>
        <w:rFonts w:hint="default"/>
      </w:rPr>
    </w:lvl>
  </w:abstractNum>
  <w:abstractNum w:abstractNumId="14" w15:restartNumberingAfterBreak="0">
    <w:nsid w:val="7BAE14C5"/>
    <w:multiLevelType w:val="hybridMultilevel"/>
    <w:tmpl w:val="7942659A"/>
    <w:lvl w:ilvl="0" w:tplc="C84C8B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9206A"/>
    <w:multiLevelType w:val="multilevel"/>
    <w:tmpl w:val="73B2D19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5"/>
  </w:num>
  <w:num w:numId="16">
    <w:abstractNumId w:val="8"/>
  </w:num>
  <w:num w:numId="17">
    <w:abstractNumId w:val="7"/>
  </w:num>
  <w:num w:numId="18">
    <w:abstractNumId w:val="6"/>
  </w:num>
  <w:num w:numId="19">
    <w:abstractNumId w:val="9"/>
  </w:num>
  <w:num w:numId="20">
    <w:abstractNumId w:val="2"/>
  </w:num>
  <w:num w:numId="21">
    <w:abstractNumId w:val="3"/>
  </w:num>
  <w:num w:numId="22">
    <w:abstractNumId w:val="0"/>
  </w:num>
  <w:num w:numId="23">
    <w:abstractNumId w:val="1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AD"/>
    <w:rsid w:val="000054C9"/>
    <w:rsid w:val="000169D5"/>
    <w:rsid w:val="00061FF6"/>
    <w:rsid w:val="000637C2"/>
    <w:rsid w:val="00096ED4"/>
    <w:rsid w:val="000E0575"/>
    <w:rsid w:val="000F0EA4"/>
    <w:rsid w:val="000F11B0"/>
    <w:rsid w:val="000F470F"/>
    <w:rsid w:val="000F7752"/>
    <w:rsid w:val="00151124"/>
    <w:rsid w:val="00186FE2"/>
    <w:rsid w:val="001B1558"/>
    <w:rsid w:val="00240E33"/>
    <w:rsid w:val="002423F2"/>
    <w:rsid w:val="002475F1"/>
    <w:rsid w:val="00261893"/>
    <w:rsid w:val="002A0675"/>
    <w:rsid w:val="0030776B"/>
    <w:rsid w:val="0037194C"/>
    <w:rsid w:val="004048B9"/>
    <w:rsid w:val="004234B6"/>
    <w:rsid w:val="0043587A"/>
    <w:rsid w:val="0046204E"/>
    <w:rsid w:val="00463B46"/>
    <w:rsid w:val="00464B4C"/>
    <w:rsid w:val="004775ED"/>
    <w:rsid w:val="004B50E6"/>
    <w:rsid w:val="004C2CE8"/>
    <w:rsid w:val="00631927"/>
    <w:rsid w:val="006A4242"/>
    <w:rsid w:val="0073150B"/>
    <w:rsid w:val="00746A9E"/>
    <w:rsid w:val="007617D2"/>
    <w:rsid w:val="007940D2"/>
    <w:rsid w:val="007D5135"/>
    <w:rsid w:val="00873437"/>
    <w:rsid w:val="008A5B20"/>
    <w:rsid w:val="008A5CF2"/>
    <w:rsid w:val="00912F62"/>
    <w:rsid w:val="00921962"/>
    <w:rsid w:val="00931685"/>
    <w:rsid w:val="00952A04"/>
    <w:rsid w:val="009E3B6E"/>
    <w:rsid w:val="00B30152"/>
    <w:rsid w:val="00BF7154"/>
    <w:rsid w:val="00CB0450"/>
    <w:rsid w:val="00CE706A"/>
    <w:rsid w:val="00D46FFD"/>
    <w:rsid w:val="00D746B7"/>
    <w:rsid w:val="00D91DA3"/>
    <w:rsid w:val="00E3091A"/>
    <w:rsid w:val="00EF2E7A"/>
    <w:rsid w:val="00F212D1"/>
    <w:rsid w:val="00F23A07"/>
    <w:rsid w:val="00F4342B"/>
    <w:rsid w:val="00F548A4"/>
    <w:rsid w:val="00F77BAD"/>
    <w:rsid w:val="00F964DF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46B9A8"/>
  <w15:docId w15:val="{3FB31F02-3041-4664-9A5B-E276F0AA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1B0"/>
  </w:style>
  <w:style w:type="paragraph" w:styleId="Heading1">
    <w:name w:val="heading 1"/>
    <w:basedOn w:val="Normal"/>
    <w:next w:val="Normal"/>
    <w:link w:val="Heading1Char"/>
    <w:uiPriority w:val="9"/>
    <w:qFormat/>
    <w:rsid w:val="000F11B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B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1B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1B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1B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1B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1B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1B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1B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1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1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1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1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0F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B9"/>
  </w:style>
  <w:style w:type="paragraph" w:styleId="Footer">
    <w:name w:val="footer"/>
    <w:basedOn w:val="Normal"/>
    <w:link w:val="FooterChar"/>
    <w:uiPriority w:val="99"/>
    <w:unhideWhenUsed/>
    <w:rsid w:val="00404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B9"/>
  </w:style>
  <w:style w:type="paragraph" w:styleId="BalloonText">
    <w:name w:val="Balloon Text"/>
    <w:basedOn w:val="Normal"/>
    <w:link w:val="BalloonTextChar"/>
    <w:uiPriority w:val="99"/>
    <w:semiHidden/>
    <w:unhideWhenUsed/>
    <w:rsid w:val="0040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3091A"/>
    <w:pPr>
      <w:widowControl w:val="0"/>
      <w:autoSpaceDE w:val="0"/>
      <w:autoSpaceDN w:val="0"/>
      <w:spacing w:before="26" w:after="0" w:line="240" w:lineRule="auto"/>
      <w:ind w:left="11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hsupport@cepheid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3095-3F76-42F0-ADD2-69D99C1C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Amanda</dc:creator>
  <cp:lastModifiedBy>Chargualaf, Tiffany L</cp:lastModifiedBy>
  <cp:revision>14</cp:revision>
  <cp:lastPrinted>2019-01-24T16:28:00Z</cp:lastPrinted>
  <dcterms:created xsi:type="dcterms:W3CDTF">2018-05-15T19:00:00Z</dcterms:created>
  <dcterms:modified xsi:type="dcterms:W3CDTF">2019-12-23T19:23:00Z</dcterms:modified>
</cp:coreProperties>
</file>