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9" w:type="dxa"/>
        <w:tblInd w:w="-14" w:type="dxa"/>
        <w:tblLayout w:type="fixed"/>
        <w:tblLook w:val="04A0" w:firstRow="1" w:lastRow="0" w:firstColumn="1" w:lastColumn="0" w:noHBand="0" w:noVBand="1"/>
      </w:tblPr>
      <w:tblGrid>
        <w:gridCol w:w="1393"/>
        <w:gridCol w:w="1946"/>
        <w:gridCol w:w="1294"/>
        <w:gridCol w:w="686"/>
        <w:gridCol w:w="2194"/>
        <w:gridCol w:w="1766"/>
      </w:tblGrid>
      <w:tr w:rsidR="00876E41" w14:paraId="0B7E0720" w14:textId="77777777" w:rsidTr="608393FD">
        <w:tc>
          <w:tcPr>
            <w:tcW w:w="9279" w:type="dxa"/>
            <w:gridSpan w:val="6"/>
            <w:shd w:val="clear" w:color="auto" w:fill="D9D9D9" w:themeFill="background1" w:themeFillShade="D9"/>
            <w:tcMar>
              <w:top w:w="58" w:type="dxa"/>
              <w:left w:w="29" w:type="dxa"/>
              <w:bottom w:w="58" w:type="dxa"/>
              <w:right w:w="29" w:type="dxa"/>
            </w:tcMar>
            <w:vAlign w:val="center"/>
          </w:tcPr>
          <w:p w14:paraId="0B7E071F" w14:textId="77777777" w:rsidR="00876E41" w:rsidRDefault="00C70572">
            <w:pPr>
              <w:pStyle w:val="Heading1"/>
              <w:outlineLvl w:val="0"/>
            </w:pPr>
            <w:r w:rsidRPr="00C70572">
              <w:t>High-Sensitivity Troponin I (TNIH)</w:t>
            </w:r>
          </w:p>
        </w:tc>
      </w:tr>
      <w:tr w:rsidR="00876E41" w14:paraId="0B7E0722" w14:textId="77777777" w:rsidTr="608393FD">
        <w:tc>
          <w:tcPr>
            <w:tcW w:w="9279" w:type="dxa"/>
            <w:gridSpan w:val="6"/>
            <w:shd w:val="clear" w:color="auto" w:fill="D9D9D9" w:themeFill="background1" w:themeFillShade="D9"/>
            <w:tcMar>
              <w:top w:w="58" w:type="dxa"/>
              <w:left w:w="29" w:type="dxa"/>
              <w:bottom w:w="58" w:type="dxa"/>
              <w:right w:w="29" w:type="dxa"/>
            </w:tcMar>
            <w:vAlign w:val="center"/>
          </w:tcPr>
          <w:p w14:paraId="0B7E0721" w14:textId="77777777" w:rsidR="00876E41" w:rsidRDefault="00860391" w:rsidP="00C70572">
            <w:pPr>
              <w:pStyle w:val="Heading1"/>
              <w:outlineLvl w:val="0"/>
            </w:pPr>
            <w:r w:rsidRPr="00860391">
              <w:t>ADVIA Centaur</w:t>
            </w:r>
            <w:r w:rsidRPr="00860391">
              <w:rPr>
                <w:vertAlign w:val="superscript"/>
              </w:rPr>
              <w:t>®</w:t>
            </w:r>
            <w:r w:rsidRPr="00860391">
              <w:t xml:space="preserve"> XP and ADVIA Centaur</w:t>
            </w:r>
            <w:r w:rsidRPr="00860391">
              <w:rPr>
                <w:vertAlign w:val="superscript"/>
              </w:rPr>
              <w:t>®</w:t>
            </w:r>
            <w:r w:rsidRPr="00860391">
              <w:t xml:space="preserve"> XPT Systems</w:t>
            </w:r>
          </w:p>
        </w:tc>
      </w:tr>
      <w:tr w:rsidR="00EE64A4" w14:paraId="0B7E0727" w14:textId="77777777" w:rsidTr="608393FD">
        <w:tc>
          <w:tcPr>
            <w:tcW w:w="5319" w:type="dxa"/>
            <w:gridSpan w:val="4"/>
            <w:tcMar>
              <w:top w:w="58" w:type="dxa"/>
              <w:left w:w="29" w:type="dxa"/>
              <w:bottom w:w="58" w:type="dxa"/>
              <w:right w:w="29" w:type="dxa"/>
            </w:tcMar>
            <w:vAlign w:val="center"/>
          </w:tcPr>
          <w:p w14:paraId="0B7E0724" w14:textId="3E66591C" w:rsidR="00EE64A4" w:rsidRDefault="00EE64A4">
            <w:pPr>
              <w:rPr>
                <w:rFonts w:cs="Arial"/>
              </w:rPr>
            </w:pPr>
            <w:r w:rsidRPr="608393FD">
              <w:rPr>
                <w:rFonts w:cs="Arial"/>
              </w:rPr>
              <w:t xml:space="preserve">Prepared </w:t>
            </w:r>
            <w:r w:rsidR="00223FF1" w:rsidRPr="608393FD">
              <w:rPr>
                <w:rFonts w:cs="Arial"/>
              </w:rPr>
              <w:t>by</w:t>
            </w:r>
            <w:r w:rsidRPr="608393FD">
              <w:rPr>
                <w:rFonts w:cs="Arial"/>
              </w:rPr>
              <w:t xml:space="preserve"> Debra Napert MT (ASCP)</w:t>
            </w:r>
          </w:p>
        </w:tc>
        <w:tc>
          <w:tcPr>
            <w:tcW w:w="2194" w:type="dxa"/>
            <w:tcBorders>
              <w:right w:val="nil"/>
            </w:tcBorders>
            <w:tcMar>
              <w:top w:w="58" w:type="dxa"/>
              <w:left w:w="29" w:type="dxa"/>
              <w:bottom w:w="58" w:type="dxa"/>
              <w:right w:w="29" w:type="dxa"/>
            </w:tcMar>
            <w:vAlign w:val="center"/>
          </w:tcPr>
          <w:p w14:paraId="0B7E0725" w14:textId="07D116D8" w:rsidR="00EE64A4" w:rsidRDefault="00EE64A4">
            <w:pPr>
              <w:rPr>
                <w:rFonts w:cs="Arial"/>
              </w:rPr>
            </w:pPr>
            <w:r>
              <w:rPr>
                <w:rFonts w:cs="Arial"/>
              </w:rPr>
              <w:t>Adopted Date:</w:t>
            </w:r>
            <w:r w:rsidR="009340B0">
              <w:rPr>
                <w:rFonts w:cs="Arial"/>
              </w:rPr>
              <w:t xml:space="preserve">    6/9/21</w:t>
            </w:r>
          </w:p>
        </w:tc>
        <w:tc>
          <w:tcPr>
            <w:tcW w:w="1766" w:type="dxa"/>
            <w:tcBorders>
              <w:left w:val="nil"/>
            </w:tcBorders>
            <w:tcMar>
              <w:top w:w="58" w:type="dxa"/>
              <w:left w:w="29" w:type="dxa"/>
              <w:bottom w:w="58" w:type="dxa"/>
              <w:right w:w="29" w:type="dxa"/>
            </w:tcMar>
            <w:vAlign w:val="center"/>
          </w:tcPr>
          <w:p w14:paraId="0B7E0726" w14:textId="77777777" w:rsidR="00EE64A4" w:rsidRDefault="00EE64A4">
            <w:pPr>
              <w:rPr>
                <w:rFonts w:cs="Arial"/>
              </w:rPr>
            </w:pPr>
          </w:p>
        </w:tc>
      </w:tr>
      <w:tr w:rsidR="00876E41" w14:paraId="0B7E072C" w14:textId="77777777" w:rsidTr="608393FD">
        <w:tc>
          <w:tcPr>
            <w:tcW w:w="1393" w:type="dxa"/>
            <w:tcBorders>
              <w:right w:val="nil"/>
            </w:tcBorders>
            <w:tcMar>
              <w:top w:w="58" w:type="dxa"/>
              <w:left w:w="29" w:type="dxa"/>
              <w:bottom w:w="58" w:type="dxa"/>
              <w:right w:w="29" w:type="dxa"/>
            </w:tcMar>
            <w:vAlign w:val="center"/>
          </w:tcPr>
          <w:p w14:paraId="0B7E0728" w14:textId="674EDD6F" w:rsidR="00876E41" w:rsidRDefault="005118FF">
            <w:pPr>
              <w:rPr>
                <w:rFonts w:cs="Arial"/>
              </w:rPr>
            </w:pPr>
            <w:r>
              <w:rPr>
                <w:rFonts w:cs="Arial"/>
              </w:rPr>
              <w:t>Approved by</w:t>
            </w:r>
          </w:p>
        </w:tc>
        <w:tc>
          <w:tcPr>
            <w:tcW w:w="3926" w:type="dxa"/>
            <w:gridSpan w:val="3"/>
            <w:tcBorders>
              <w:left w:val="nil"/>
            </w:tcBorders>
            <w:tcMar>
              <w:top w:w="58" w:type="dxa"/>
              <w:left w:w="29" w:type="dxa"/>
              <w:bottom w:w="58" w:type="dxa"/>
              <w:right w:w="29" w:type="dxa"/>
            </w:tcMar>
            <w:vAlign w:val="center"/>
          </w:tcPr>
          <w:p w14:paraId="0B7E0729" w14:textId="77777777" w:rsidR="00876E41" w:rsidRDefault="00876E41">
            <w:pPr>
              <w:rPr>
                <w:rFonts w:cs="Arial"/>
              </w:rPr>
            </w:pPr>
          </w:p>
        </w:tc>
        <w:tc>
          <w:tcPr>
            <w:tcW w:w="2194" w:type="dxa"/>
            <w:tcBorders>
              <w:right w:val="nil"/>
            </w:tcBorders>
            <w:tcMar>
              <w:top w:w="58" w:type="dxa"/>
              <w:left w:w="29" w:type="dxa"/>
              <w:bottom w:w="58" w:type="dxa"/>
              <w:right w:w="29" w:type="dxa"/>
            </w:tcMar>
            <w:vAlign w:val="center"/>
          </w:tcPr>
          <w:p w14:paraId="0B7E072A" w14:textId="77777777" w:rsidR="00876E41" w:rsidRDefault="005118FF">
            <w:pPr>
              <w:rPr>
                <w:rFonts w:cs="Arial"/>
              </w:rPr>
            </w:pPr>
            <w:r>
              <w:rPr>
                <w:rFonts w:cs="Arial"/>
              </w:rPr>
              <w:t>Date:</w:t>
            </w:r>
          </w:p>
        </w:tc>
        <w:tc>
          <w:tcPr>
            <w:tcW w:w="1766" w:type="dxa"/>
            <w:tcBorders>
              <w:left w:val="nil"/>
            </w:tcBorders>
            <w:tcMar>
              <w:top w:w="58" w:type="dxa"/>
              <w:left w:w="29" w:type="dxa"/>
              <w:bottom w:w="58" w:type="dxa"/>
              <w:right w:w="29" w:type="dxa"/>
            </w:tcMar>
            <w:vAlign w:val="center"/>
          </w:tcPr>
          <w:p w14:paraId="0B7E072B" w14:textId="77777777" w:rsidR="00876E41" w:rsidRDefault="00876E41">
            <w:pPr>
              <w:rPr>
                <w:rFonts w:cs="Arial"/>
              </w:rPr>
            </w:pPr>
          </w:p>
        </w:tc>
      </w:tr>
      <w:tr w:rsidR="00876E41" w14:paraId="0B7E0738" w14:textId="77777777" w:rsidTr="608393FD">
        <w:tc>
          <w:tcPr>
            <w:tcW w:w="9279" w:type="dxa"/>
            <w:gridSpan w:val="6"/>
            <w:tcBorders>
              <w:left w:val="nil"/>
              <w:bottom w:val="single" w:sz="4" w:space="0" w:color="auto"/>
              <w:right w:val="nil"/>
            </w:tcBorders>
            <w:tcMar>
              <w:top w:w="58" w:type="dxa"/>
              <w:left w:w="29" w:type="dxa"/>
              <w:bottom w:w="58" w:type="dxa"/>
              <w:right w:w="29" w:type="dxa"/>
            </w:tcMar>
          </w:tcPr>
          <w:p w14:paraId="0B7E0737" w14:textId="3FEDB54D" w:rsidR="00876E41" w:rsidRDefault="005118FF">
            <w:pPr>
              <w:spacing w:before="480" w:after="120"/>
              <w:rPr>
                <w:rFonts w:cs="Arial"/>
              </w:rPr>
            </w:pPr>
            <w:r>
              <w:br w:type="page"/>
              <w:t>The medical director or the director’s designee should review all copies of this procedure</w:t>
            </w:r>
            <w:r w:rsidR="00EE64A4">
              <w:t>.</w:t>
            </w:r>
          </w:p>
        </w:tc>
      </w:tr>
      <w:tr w:rsidR="00876E41" w14:paraId="0B7E073C" w14:textId="77777777" w:rsidTr="608393FD">
        <w:tc>
          <w:tcPr>
            <w:tcW w:w="3339" w:type="dxa"/>
            <w:gridSpan w:val="2"/>
            <w:shd w:val="clear" w:color="auto" w:fill="D9D9D9" w:themeFill="background1" w:themeFillShade="D9"/>
            <w:tcMar>
              <w:top w:w="58" w:type="dxa"/>
              <w:left w:w="29" w:type="dxa"/>
              <w:bottom w:w="58" w:type="dxa"/>
              <w:right w:w="29" w:type="dxa"/>
            </w:tcMar>
          </w:tcPr>
          <w:p w14:paraId="0B7E0739" w14:textId="77777777" w:rsidR="00876E41" w:rsidRDefault="005118FF">
            <w:pPr>
              <w:pStyle w:val="Heading1"/>
              <w:outlineLvl w:val="0"/>
            </w:pPr>
            <w:r>
              <w:t>Reviewer</w:t>
            </w:r>
          </w:p>
        </w:tc>
        <w:tc>
          <w:tcPr>
            <w:tcW w:w="1294" w:type="dxa"/>
            <w:shd w:val="clear" w:color="auto" w:fill="D9D9D9" w:themeFill="background1" w:themeFillShade="D9"/>
          </w:tcPr>
          <w:p w14:paraId="0B7E073A" w14:textId="77777777" w:rsidR="00876E41" w:rsidRDefault="005118FF">
            <w:pPr>
              <w:pStyle w:val="Heading1"/>
              <w:outlineLvl w:val="0"/>
            </w:pPr>
            <w:r>
              <w:t>Date</w:t>
            </w:r>
          </w:p>
        </w:tc>
        <w:tc>
          <w:tcPr>
            <w:tcW w:w="4646" w:type="dxa"/>
            <w:gridSpan w:val="3"/>
            <w:shd w:val="clear" w:color="auto" w:fill="D9D9D9" w:themeFill="background1" w:themeFillShade="D9"/>
          </w:tcPr>
          <w:p w14:paraId="0B7E073B" w14:textId="77777777" w:rsidR="00876E41" w:rsidRDefault="005118FF">
            <w:pPr>
              <w:pStyle w:val="Heading1"/>
              <w:outlineLvl w:val="0"/>
            </w:pPr>
            <w:r>
              <w:t>Comments</w:t>
            </w:r>
          </w:p>
        </w:tc>
      </w:tr>
      <w:tr w:rsidR="00876E41" w14:paraId="0B7E0740" w14:textId="77777777" w:rsidTr="608393FD">
        <w:tc>
          <w:tcPr>
            <w:tcW w:w="3339" w:type="dxa"/>
            <w:gridSpan w:val="2"/>
            <w:tcMar>
              <w:top w:w="58" w:type="dxa"/>
              <w:left w:w="29" w:type="dxa"/>
              <w:bottom w:w="58" w:type="dxa"/>
              <w:right w:w="29" w:type="dxa"/>
            </w:tcMar>
          </w:tcPr>
          <w:p w14:paraId="0B7E073D" w14:textId="77777777" w:rsidR="00876E41" w:rsidRDefault="00876E41">
            <w:pPr>
              <w:pStyle w:val="Heading1"/>
              <w:spacing w:after="120"/>
              <w:outlineLvl w:val="0"/>
              <w:rPr>
                <w:b w:val="0"/>
              </w:rPr>
            </w:pPr>
          </w:p>
        </w:tc>
        <w:tc>
          <w:tcPr>
            <w:tcW w:w="1294" w:type="dxa"/>
          </w:tcPr>
          <w:p w14:paraId="0B7E073E" w14:textId="77777777" w:rsidR="00876E41" w:rsidRDefault="00876E41">
            <w:pPr>
              <w:pStyle w:val="Heading1"/>
              <w:spacing w:after="120"/>
              <w:outlineLvl w:val="0"/>
              <w:rPr>
                <w:b w:val="0"/>
              </w:rPr>
            </w:pPr>
          </w:p>
        </w:tc>
        <w:tc>
          <w:tcPr>
            <w:tcW w:w="4646" w:type="dxa"/>
            <w:gridSpan w:val="3"/>
          </w:tcPr>
          <w:p w14:paraId="0B7E073F" w14:textId="77777777" w:rsidR="00876E41" w:rsidRDefault="00876E41">
            <w:pPr>
              <w:pStyle w:val="Heading1"/>
              <w:spacing w:after="120"/>
              <w:outlineLvl w:val="0"/>
              <w:rPr>
                <w:b w:val="0"/>
              </w:rPr>
            </w:pPr>
          </w:p>
        </w:tc>
      </w:tr>
      <w:tr w:rsidR="00876E41" w14:paraId="0B7E0744" w14:textId="77777777" w:rsidTr="608393FD">
        <w:tc>
          <w:tcPr>
            <w:tcW w:w="3339" w:type="dxa"/>
            <w:gridSpan w:val="2"/>
            <w:tcMar>
              <w:top w:w="58" w:type="dxa"/>
              <w:left w:w="29" w:type="dxa"/>
              <w:bottom w:w="58" w:type="dxa"/>
              <w:right w:w="29" w:type="dxa"/>
            </w:tcMar>
          </w:tcPr>
          <w:p w14:paraId="0B7E0741" w14:textId="77777777" w:rsidR="00876E41" w:rsidRDefault="00876E41">
            <w:pPr>
              <w:pStyle w:val="Heading1"/>
              <w:spacing w:after="120"/>
              <w:outlineLvl w:val="0"/>
              <w:rPr>
                <w:b w:val="0"/>
              </w:rPr>
            </w:pPr>
          </w:p>
        </w:tc>
        <w:tc>
          <w:tcPr>
            <w:tcW w:w="1294" w:type="dxa"/>
          </w:tcPr>
          <w:p w14:paraId="0B7E0742" w14:textId="77777777" w:rsidR="00876E41" w:rsidRDefault="00876E41">
            <w:pPr>
              <w:pStyle w:val="Heading1"/>
              <w:spacing w:after="120"/>
              <w:outlineLvl w:val="0"/>
              <w:rPr>
                <w:b w:val="0"/>
              </w:rPr>
            </w:pPr>
          </w:p>
        </w:tc>
        <w:tc>
          <w:tcPr>
            <w:tcW w:w="4646" w:type="dxa"/>
            <w:gridSpan w:val="3"/>
          </w:tcPr>
          <w:p w14:paraId="0B7E0743" w14:textId="77777777" w:rsidR="00876E41" w:rsidRDefault="00876E41">
            <w:pPr>
              <w:pStyle w:val="Heading1"/>
              <w:spacing w:after="120"/>
              <w:outlineLvl w:val="0"/>
              <w:rPr>
                <w:b w:val="0"/>
              </w:rPr>
            </w:pPr>
          </w:p>
        </w:tc>
      </w:tr>
      <w:tr w:rsidR="00876E41" w14:paraId="0B7E0748" w14:textId="77777777" w:rsidTr="608393FD">
        <w:tc>
          <w:tcPr>
            <w:tcW w:w="3339" w:type="dxa"/>
            <w:gridSpan w:val="2"/>
            <w:tcMar>
              <w:top w:w="58" w:type="dxa"/>
              <w:left w:w="29" w:type="dxa"/>
              <w:bottom w:w="58" w:type="dxa"/>
              <w:right w:w="29" w:type="dxa"/>
            </w:tcMar>
          </w:tcPr>
          <w:p w14:paraId="0B7E0745" w14:textId="77777777" w:rsidR="00876E41" w:rsidRDefault="00876E41">
            <w:pPr>
              <w:pStyle w:val="Heading1"/>
              <w:spacing w:after="120"/>
              <w:outlineLvl w:val="0"/>
              <w:rPr>
                <w:b w:val="0"/>
              </w:rPr>
            </w:pPr>
          </w:p>
        </w:tc>
        <w:tc>
          <w:tcPr>
            <w:tcW w:w="1294" w:type="dxa"/>
          </w:tcPr>
          <w:p w14:paraId="0B7E0746" w14:textId="77777777" w:rsidR="00876E41" w:rsidRDefault="00876E41">
            <w:pPr>
              <w:pStyle w:val="Heading1"/>
              <w:spacing w:after="120"/>
              <w:outlineLvl w:val="0"/>
              <w:rPr>
                <w:b w:val="0"/>
              </w:rPr>
            </w:pPr>
          </w:p>
        </w:tc>
        <w:tc>
          <w:tcPr>
            <w:tcW w:w="4646" w:type="dxa"/>
            <w:gridSpan w:val="3"/>
          </w:tcPr>
          <w:p w14:paraId="0B7E0747" w14:textId="77777777" w:rsidR="00876E41" w:rsidRDefault="00876E41">
            <w:pPr>
              <w:pStyle w:val="Heading1"/>
              <w:spacing w:after="120"/>
              <w:outlineLvl w:val="0"/>
              <w:rPr>
                <w:b w:val="0"/>
              </w:rPr>
            </w:pPr>
          </w:p>
        </w:tc>
      </w:tr>
      <w:tr w:rsidR="00876E41" w14:paraId="0B7E074C" w14:textId="77777777" w:rsidTr="608393FD">
        <w:tc>
          <w:tcPr>
            <w:tcW w:w="3339" w:type="dxa"/>
            <w:gridSpan w:val="2"/>
            <w:tcMar>
              <w:top w:w="58" w:type="dxa"/>
              <w:left w:w="29" w:type="dxa"/>
              <w:bottom w:w="58" w:type="dxa"/>
              <w:right w:w="29" w:type="dxa"/>
            </w:tcMar>
          </w:tcPr>
          <w:p w14:paraId="0B7E0749" w14:textId="77777777" w:rsidR="00876E41" w:rsidRDefault="00876E41">
            <w:pPr>
              <w:pStyle w:val="Heading1"/>
              <w:spacing w:after="120"/>
              <w:outlineLvl w:val="0"/>
              <w:rPr>
                <w:b w:val="0"/>
              </w:rPr>
            </w:pPr>
          </w:p>
        </w:tc>
        <w:tc>
          <w:tcPr>
            <w:tcW w:w="1294" w:type="dxa"/>
          </w:tcPr>
          <w:p w14:paraId="0B7E074A" w14:textId="77777777" w:rsidR="00876E41" w:rsidRDefault="00876E41">
            <w:pPr>
              <w:pStyle w:val="Heading1"/>
              <w:spacing w:after="120"/>
              <w:outlineLvl w:val="0"/>
              <w:rPr>
                <w:b w:val="0"/>
              </w:rPr>
            </w:pPr>
          </w:p>
        </w:tc>
        <w:tc>
          <w:tcPr>
            <w:tcW w:w="4646" w:type="dxa"/>
            <w:gridSpan w:val="3"/>
          </w:tcPr>
          <w:p w14:paraId="0B7E074B" w14:textId="77777777" w:rsidR="00876E41" w:rsidRDefault="00876E41">
            <w:pPr>
              <w:pStyle w:val="Heading1"/>
              <w:spacing w:after="120"/>
              <w:outlineLvl w:val="0"/>
              <w:rPr>
                <w:b w:val="0"/>
              </w:rPr>
            </w:pPr>
          </w:p>
        </w:tc>
      </w:tr>
      <w:tr w:rsidR="00876E41" w14:paraId="0B7E0750" w14:textId="77777777" w:rsidTr="608393FD">
        <w:tc>
          <w:tcPr>
            <w:tcW w:w="3339" w:type="dxa"/>
            <w:gridSpan w:val="2"/>
            <w:tcMar>
              <w:top w:w="58" w:type="dxa"/>
              <w:left w:w="29" w:type="dxa"/>
              <w:bottom w:w="58" w:type="dxa"/>
              <w:right w:w="29" w:type="dxa"/>
            </w:tcMar>
          </w:tcPr>
          <w:p w14:paraId="0B7E074D" w14:textId="77777777" w:rsidR="00876E41" w:rsidRDefault="00876E41">
            <w:pPr>
              <w:pStyle w:val="Heading1"/>
              <w:spacing w:after="120"/>
              <w:outlineLvl w:val="0"/>
              <w:rPr>
                <w:b w:val="0"/>
              </w:rPr>
            </w:pPr>
          </w:p>
        </w:tc>
        <w:tc>
          <w:tcPr>
            <w:tcW w:w="1294" w:type="dxa"/>
          </w:tcPr>
          <w:p w14:paraId="0B7E074E" w14:textId="77777777" w:rsidR="00876E41" w:rsidRDefault="00876E41">
            <w:pPr>
              <w:pStyle w:val="Heading1"/>
              <w:spacing w:after="120"/>
              <w:outlineLvl w:val="0"/>
              <w:rPr>
                <w:b w:val="0"/>
              </w:rPr>
            </w:pPr>
          </w:p>
        </w:tc>
        <w:tc>
          <w:tcPr>
            <w:tcW w:w="4646" w:type="dxa"/>
            <w:gridSpan w:val="3"/>
          </w:tcPr>
          <w:p w14:paraId="0B7E074F" w14:textId="77777777" w:rsidR="00876E41" w:rsidRDefault="00876E41">
            <w:pPr>
              <w:pStyle w:val="Heading1"/>
              <w:spacing w:after="120"/>
              <w:outlineLvl w:val="0"/>
              <w:rPr>
                <w:b w:val="0"/>
              </w:rPr>
            </w:pPr>
          </w:p>
        </w:tc>
      </w:tr>
      <w:tr w:rsidR="00876E41" w14:paraId="0B7E0754" w14:textId="77777777" w:rsidTr="608393FD">
        <w:tc>
          <w:tcPr>
            <w:tcW w:w="3339" w:type="dxa"/>
            <w:gridSpan w:val="2"/>
            <w:tcMar>
              <w:top w:w="58" w:type="dxa"/>
              <w:left w:w="29" w:type="dxa"/>
              <w:bottom w:w="58" w:type="dxa"/>
              <w:right w:w="29" w:type="dxa"/>
            </w:tcMar>
          </w:tcPr>
          <w:p w14:paraId="0B7E0751" w14:textId="77777777" w:rsidR="00876E41" w:rsidRDefault="00876E41">
            <w:pPr>
              <w:pStyle w:val="Heading1"/>
              <w:spacing w:after="120"/>
              <w:outlineLvl w:val="0"/>
              <w:rPr>
                <w:b w:val="0"/>
              </w:rPr>
            </w:pPr>
          </w:p>
        </w:tc>
        <w:tc>
          <w:tcPr>
            <w:tcW w:w="1294" w:type="dxa"/>
          </w:tcPr>
          <w:p w14:paraId="0B7E0752" w14:textId="77777777" w:rsidR="00876E41" w:rsidRDefault="00876E41">
            <w:pPr>
              <w:pStyle w:val="Heading1"/>
              <w:spacing w:after="120"/>
              <w:outlineLvl w:val="0"/>
              <w:rPr>
                <w:b w:val="0"/>
              </w:rPr>
            </w:pPr>
          </w:p>
        </w:tc>
        <w:tc>
          <w:tcPr>
            <w:tcW w:w="4646" w:type="dxa"/>
            <w:gridSpan w:val="3"/>
          </w:tcPr>
          <w:p w14:paraId="0B7E0753" w14:textId="77777777" w:rsidR="00876E41" w:rsidRDefault="00876E41">
            <w:pPr>
              <w:pStyle w:val="Heading1"/>
              <w:spacing w:after="120"/>
              <w:outlineLvl w:val="0"/>
              <w:rPr>
                <w:b w:val="0"/>
              </w:rPr>
            </w:pPr>
          </w:p>
        </w:tc>
      </w:tr>
      <w:tr w:rsidR="00876E41" w14:paraId="0B7E0764" w14:textId="77777777" w:rsidTr="608393FD">
        <w:tc>
          <w:tcPr>
            <w:tcW w:w="3339" w:type="dxa"/>
            <w:gridSpan w:val="2"/>
            <w:tcMar>
              <w:top w:w="58" w:type="dxa"/>
              <w:left w:w="29" w:type="dxa"/>
              <w:bottom w:w="58" w:type="dxa"/>
              <w:right w:w="29" w:type="dxa"/>
            </w:tcMar>
          </w:tcPr>
          <w:p w14:paraId="0B7E0761" w14:textId="77777777" w:rsidR="00876E41" w:rsidRDefault="00876E41">
            <w:pPr>
              <w:pStyle w:val="Heading1"/>
              <w:spacing w:after="120"/>
              <w:outlineLvl w:val="0"/>
              <w:rPr>
                <w:b w:val="0"/>
              </w:rPr>
            </w:pPr>
          </w:p>
        </w:tc>
        <w:tc>
          <w:tcPr>
            <w:tcW w:w="1294" w:type="dxa"/>
          </w:tcPr>
          <w:p w14:paraId="0B7E0762" w14:textId="77777777" w:rsidR="00876E41" w:rsidRDefault="00876E41">
            <w:pPr>
              <w:pStyle w:val="Heading1"/>
              <w:spacing w:after="120"/>
              <w:outlineLvl w:val="0"/>
              <w:rPr>
                <w:b w:val="0"/>
              </w:rPr>
            </w:pPr>
          </w:p>
        </w:tc>
        <w:tc>
          <w:tcPr>
            <w:tcW w:w="4646" w:type="dxa"/>
            <w:gridSpan w:val="3"/>
          </w:tcPr>
          <w:p w14:paraId="0B7E0763" w14:textId="77777777" w:rsidR="00876E41" w:rsidRDefault="00876E41">
            <w:pPr>
              <w:pStyle w:val="Heading1"/>
              <w:spacing w:after="120"/>
              <w:outlineLvl w:val="0"/>
              <w:rPr>
                <w:b w:val="0"/>
              </w:rPr>
            </w:pPr>
          </w:p>
        </w:tc>
      </w:tr>
      <w:tr w:rsidR="00876E41" w14:paraId="0B7E0768" w14:textId="77777777" w:rsidTr="608393FD">
        <w:trPr>
          <w:trHeight w:val="301"/>
        </w:trPr>
        <w:tc>
          <w:tcPr>
            <w:tcW w:w="3339" w:type="dxa"/>
            <w:gridSpan w:val="2"/>
            <w:tcMar>
              <w:top w:w="58" w:type="dxa"/>
              <w:left w:w="29" w:type="dxa"/>
              <w:bottom w:w="58" w:type="dxa"/>
              <w:right w:w="29" w:type="dxa"/>
            </w:tcMar>
          </w:tcPr>
          <w:p w14:paraId="0B7E0765" w14:textId="5C672795" w:rsidR="00876E41" w:rsidRDefault="00EE64A4" w:rsidP="00EE64A4">
            <w:pPr>
              <w:pStyle w:val="Heading1"/>
              <w:outlineLvl w:val="0"/>
              <w:rPr>
                <w:b w:val="0"/>
              </w:rPr>
            </w:pPr>
            <w:r>
              <w:rPr>
                <w:b w:val="0"/>
              </w:rPr>
              <w:t>Revisions</w:t>
            </w:r>
          </w:p>
        </w:tc>
        <w:tc>
          <w:tcPr>
            <w:tcW w:w="1294" w:type="dxa"/>
          </w:tcPr>
          <w:p w14:paraId="0B7E0766" w14:textId="77777777" w:rsidR="00876E41" w:rsidRDefault="00876E41">
            <w:pPr>
              <w:pStyle w:val="Heading1"/>
              <w:spacing w:after="120"/>
              <w:outlineLvl w:val="0"/>
              <w:rPr>
                <w:b w:val="0"/>
              </w:rPr>
            </w:pPr>
          </w:p>
        </w:tc>
        <w:tc>
          <w:tcPr>
            <w:tcW w:w="4646" w:type="dxa"/>
            <w:gridSpan w:val="3"/>
          </w:tcPr>
          <w:p w14:paraId="0B7E0767" w14:textId="0F26A2BE" w:rsidR="00876E41" w:rsidRDefault="00876E41">
            <w:pPr>
              <w:pStyle w:val="Heading1"/>
              <w:spacing w:after="120"/>
              <w:outlineLvl w:val="0"/>
              <w:rPr>
                <w:b w:val="0"/>
              </w:rPr>
            </w:pPr>
          </w:p>
        </w:tc>
      </w:tr>
      <w:tr w:rsidR="00876E41" w14:paraId="0B7E076C" w14:textId="77777777" w:rsidTr="608393FD">
        <w:tc>
          <w:tcPr>
            <w:tcW w:w="3339" w:type="dxa"/>
            <w:gridSpan w:val="2"/>
            <w:tcMar>
              <w:top w:w="58" w:type="dxa"/>
              <w:left w:w="29" w:type="dxa"/>
              <w:bottom w:w="58" w:type="dxa"/>
              <w:right w:w="29" w:type="dxa"/>
            </w:tcMar>
          </w:tcPr>
          <w:p w14:paraId="0B7E0769" w14:textId="77777777" w:rsidR="00876E41" w:rsidRDefault="00876E41">
            <w:pPr>
              <w:pStyle w:val="Heading1"/>
              <w:spacing w:after="120"/>
              <w:outlineLvl w:val="0"/>
              <w:rPr>
                <w:b w:val="0"/>
              </w:rPr>
            </w:pPr>
          </w:p>
        </w:tc>
        <w:tc>
          <w:tcPr>
            <w:tcW w:w="1294" w:type="dxa"/>
          </w:tcPr>
          <w:p w14:paraId="0B7E076A" w14:textId="77777777" w:rsidR="00876E41" w:rsidRDefault="00876E41">
            <w:pPr>
              <w:pStyle w:val="Heading1"/>
              <w:spacing w:after="120"/>
              <w:outlineLvl w:val="0"/>
              <w:rPr>
                <w:b w:val="0"/>
              </w:rPr>
            </w:pPr>
          </w:p>
        </w:tc>
        <w:tc>
          <w:tcPr>
            <w:tcW w:w="4646" w:type="dxa"/>
            <w:gridSpan w:val="3"/>
          </w:tcPr>
          <w:p w14:paraId="0B7E076B" w14:textId="77777777" w:rsidR="00876E41" w:rsidRDefault="00876E41">
            <w:pPr>
              <w:pStyle w:val="Heading1"/>
              <w:spacing w:after="120"/>
              <w:outlineLvl w:val="0"/>
              <w:rPr>
                <w:b w:val="0"/>
              </w:rPr>
            </w:pPr>
          </w:p>
        </w:tc>
      </w:tr>
      <w:tr w:rsidR="00876E41" w14:paraId="0B7E0770" w14:textId="77777777" w:rsidTr="608393FD">
        <w:tc>
          <w:tcPr>
            <w:tcW w:w="3339" w:type="dxa"/>
            <w:gridSpan w:val="2"/>
            <w:tcMar>
              <w:top w:w="58" w:type="dxa"/>
              <w:left w:w="29" w:type="dxa"/>
              <w:bottom w:w="58" w:type="dxa"/>
              <w:right w:w="29" w:type="dxa"/>
            </w:tcMar>
          </w:tcPr>
          <w:p w14:paraId="0B7E076D" w14:textId="77777777" w:rsidR="00876E41" w:rsidRDefault="00876E41">
            <w:pPr>
              <w:pStyle w:val="Heading1"/>
              <w:spacing w:after="120"/>
              <w:outlineLvl w:val="0"/>
              <w:rPr>
                <w:b w:val="0"/>
              </w:rPr>
            </w:pPr>
          </w:p>
        </w:tc>
        <w:tc>
          <w:tcPr>
            <w:tcW w:w="1294" w:type="dxa"/>
          </w:tcPr>
          <w:p w14:paraId="0B7E076E" w14:textId="77777777" w:rsidR="00876E41" w:rsidRDefault="00876E41">
            <w:pPr>
              <w:pStyle w:val="Heading1"/>
              <w:spacing w:after="120"/>
              <w:outlineLvl w:val="0"/>
              <w:rPr>
                <w:b w:val="0"/>
              </w:rPr>
            </w:pPr>
          </w:p>
        </w:tc>
        <w:tc>
          <w:tcPr>
            <w:tcW w:w="4646" w:type="dxa"/>
            <w:gridSpan w:val="3"/>
          </w:tcPr>
          <w:p w14:paraId="0B7E076F" w14:textId="77777777" w:rsidR="00876E41" w:rsidRDefault="00876E41">
            <w:pPr>
              <w:pStyle w:val="Heading1"/>
              <w:spacing w:after="120"/>
              <w:outlineLvl w:val="0"/>
              <w:rPr>
                <w:b w:val="0"/>
              </w:rPr>
            </w:pPr>
          </w:p>
        </w:tc>
      </w:tr>
      <w:tr w:rsidR="00876E41" w14:paraId="0B7E0774" w14:textId="77777777" w:rsidTr="608393FD">
        <w:tc>
          <w:tcPr>
            <w:tcW w:w="3339" w:type="dxa"/>
            <w:gridSpan w:val="2"/>
            <w:tcMar>
              <w:top w:w="58" w:type="dxa"/>
              <w:left w:w="29" w:type="dxa"/>
              <w:bottom w:w="58" w:type="dxa"/>
              <w:right w:w="29" w:type="dxa"/>
            </w:tcMar>
          </w:tcPr>
          <w:p w14:paraId="0B7E0771" w14:textId="77777777" w:rsidR="00876E41" w:rsidRDefault="00876E41">
            <w:pPr>
              <w:pStyle w:val="Heading1"/>
              <w:spacing w:after="120"/>
              <w:outlineLvl w:val="0"/>
              <w:rPr>
                <w:b w:val="0"/>
              </w:rPr>
            </w:pPr>
          </w:p>
        </w:tc>
        <w:tc>
          <w:tcPr>
            <w:tcW w:w="1294" w:type="dxa"/>
          </w:tcPr>
          <w:p w14:paraId="0B7E0772" w14:textId="77777777" w:rsidR="00876E41" w:rsidRDefault="00876E41">
            <w:pPr>
              <w:pStyle w:val="Heading1"/>
              <w:spacing w:after="120"/>
              <w:outlineLvl w:val="0"/>
              <w:rPr>
                <w:b w:val="0"/>
              </w:rPr>
            </w:pPr>
          </w:p>
        </w:tc>
        <w:tc>
          <w:tcPr>
            <w:tcW w:w="4646" w:type="dxa"/>
            <w:gridSpan w:val="3"/>
          </w:tcPr>
          <w:p w14:paraId="0B7E0773" w14:textId="77777777" w:rsidR="00876E41" w:rsidRDefault="00876E41">
            <w:pPr>
              <w:pStyle w:val="Heading1"/>
              <w:spacing w:after="120"/>
              <w:outlineLvl w:val="0"/>
              <w:rPr>
                <w:b w:val="0"/>
              </w:rPr>
            </w:pPr>
          </w:p>
        </w:tc>
      </w:tr>
      <w:tr w:rsidR="00876E41" w14:paraId="0B7E0778" w14:textId="77777777" w:rsidTr="608393FD">
        <w:tc>
          <w:tcPr>
            <w:tcW w:w="3339" w:type="dxa"/>
            <w:gridSpan w:val="2"/>
            <w:tcMar>
              <w:top w:w="58" w:type="dxa"/>
              <w:left w:w="29" w:type="dxa"/>
              <w:bottom w:w="58" w:type="dxa"/>
              <w:right w:w="29" w:type="dxa"/>
            </w:tcMar>
          </w:tcPr>
          <w:p w14:paraId="0B7E0775" w14:textId="77777777" w:rsidR="00876E41" w:rsidRDefault="00876E41">
            <w:pPr>
              <w:pStyle w:val="Heading1"/>
              <w:spacing w:after="120"/>
              <w:outlineLvl w:val="0"/>
              <w:rPr>
                <w:b w:val="0"/>
              </w:rPr>
            </w:pPr>
          </w:p>
        </w:tc>
        <w:tc>
          <w:tcPr>
            <w:tcW w:w="1294" w:type="dxa"/>
          </w:tcPr>
          <w:p w14:paraId="0B7E0776" w14:textId="77777777" w:rsidR="00876E41" w:rsidRDefault="00876E41">
            <w:pPr>
              <w:pStyle w:val="Heading1"/>
              <w:spacing w:after="120"/>
              <w:outlineLvl w:val="0"/>
              <w:rPr>
                <w:b w:val="0"/>
              </w:rPr>
            </w:pPr>
          </w:p>
        </w:tc>
        <w:tc>
          <w:tcPr>
            <w:tcW w:w="4646" w:type="dxa"/>
            <w:gridSpan w:val="3"/>
          </w:tcPr>
          <w:p w14:paraId="0B7E0777" w14:textId="77777777" w:rsidR="00876E41" w:rsidRDefault="00876E41">
            <w:pPr>
              <w:pStyle w:val="Heading1"/>
              <w:spacing w:after="120"/>
              <w:outlineLvl w:val="0"/>
              <w:rPr>
                <w:b w:val="0"/>
              </w:rPr>
            </w:pPr>
          </w:p>
        </w:tc>
      </w:tr>
    </w:tbl>
    <w:p w14:paraId="7A061F10" w14:textId="77777777" w:rsidR="00CB0373" w:rsidRDefault="00CB0373" w:rsidP="000C7B8F">
      <w:pPr>
        <w:ind w:left="1440" w:firstLine="720"/>
      </w:pPr>
    </w:p>
    <w:p w14:paraId="2EE516D6" w14:textId="77777777" w:rsidR="00CB0373" w:rsidRDefault="00CB0373" w:rsidP="000C7B8F">
      <w:pPr>
        <w:ind w:left="1440" w:firstLine="720"/>
      </w:pPr>
    </w:p>
    <w:p w14:paraId="7DF21EA8" w14:textId="77777777" w:rsidR="00CB0373" w:rsidRDefault="00CB0373" w:rsidP="000C7B8F">
      <w:pPr>
        <w:ind w:left="1440" w:firstLine="720"/>
      </w:pPr>
    </w:p>
    <w:p w14:paraId="1CF3757F" w14:textId="4C8F15B5" w:rsidR="000C7B8F" w:rsidRDefault="000C7B8F" w:rsidP="00CB0373">
      <w:pPr>
        <w:ind w:left="2160" w:firstLine="720"/>
      </w:pPr>
      <w:r>
        <w:t>Lifespan AMC – Department of Pathology</w:t>
      </w:r>
    </w:p>
    <w:p w14:paraId="28409234" w14:textId="77777777" w:rsidR="00CB0373" w:rsidRDefault="00CB0373" w:rsidP="00CB0373">
      <w:pPr>
        <w:ind w:left="2160" w:firstLine="720"/>
      </w:pPr>
    </w:p>
    <w:p w14:paraId="42EF3D36" w14:textId="77777777" w:rsidR="000C7B8F" w:rsidRPr="00F078D7" w:rsidRDefault="000C7B8F" w:rsidP="000C7B8F">
      <w:pPr>
        <w:tabs>
          <w:tab w:val="center" w:pos="4320"/>
          <w:tab w:val="right" w:pos="8640"/>
        </w:tabs>
        <w:spacing w:after="0"/>
        <w:jc w:val="center"/>
        <w:rPr>
          <w:rFonts w:cs="Arial"/>
          <w:b/>
          <w:sz w:val="18"/>
          <w:szCs w:val="18"/>
        </w:rPr>
      </w:pPr>
      <w:bookmarkStart w:id="0" w:name="_Hlk24538110"/>
      <w:r w:rsidRPr="00F078D7">
        <w:rPr>
          <w:rFonts w:cs="Arial"/>
          <w:sz w:val="18"/>
          <w:szCs w:val="18"/>
        </w:rPr>
        <w:t>The Miriam Hospital ___</w:t>
      </w:r>
      <w:r w:rsidRPr="00F078D7">
        <w:rPr>
          <w:rFonts w:cs="Arial"/>
          <w:sz w:val="18"/>
          <w:szCs w:val="18"/>
        </w:rPr>
        <w:tab/>
      </w:r>
      <w:r w:rsidRPr="00F078D7">
        <w:rPr>
          <w:rFonts w:cs="Arial"/>
          <w:sz w:val="18"/>
          <w:szCs w:val="18"/>
        </w:rPr>
        <w:tab/>
        <w:t>___ Rhode Island Hospital</w:t>
      </w:r>
    </w:p>
    <w:p w14:paraId="6F0C23AB" w14:textId="77777777" w:rsidR="000C7B8F" w:rsidRPr="00F078D7" w:rsidRDefault="000C7B8F" w:rsidP="000C7B8F">
      <w:pPr>
        <w:tabs>
          <w:tab w:val="center" w:pos="4320"/>
          <w:tab w:val="right" w:pos="8640"/>
        </w:tabs>
        <w:spacing w:after="0"/>
        <w:jc w:val="center"/>
        <w:rPr>
          <w:rFonts w:cs="Arial"/>
          <w:b/>
          <w:sz w:val="18"/>
          <w:szCs w:val="18"/>
        </w:rPr>
      </w:pPr>
      <w:r w:rsidRPr="00F078D7">
        <w:rPr>
          <w:rFonts w:cs="Arial"/>
          <w:sz w:val="18"/>
          <w:szCs w:val="18"/>
        </w:rPr>
        <w:t>164 Summit Avenue</w:t>
      </w:r>
      <w:r w:rsidRPr="00F078D7">
        <w:rPr>
          <w:rFonts w:cs="Arial"/>
          <w:sz w:val="18"/>
          <w:szCs w:val="18"/>
        </w:rPr>
        <w:tab/>
      </w:r>
      <w:r w:rsidRPr="00F078D7">
        <w:rPr>
          <w:rFonts w:cs="Arial"/>
          <w:sz w:val="18"/>
          <w:szCs w:val="18"/>
        </w:rPr>
        <w:tab/>
        <w:t>593 Eddy Street</w:t>
      </w:r>
    </w:p>
    <w:p w14:paraId="3FC15C45" w14:textId="77777777" w:rsidR="000C7B8F" w:rsidRPr="00F078D7" w:rsidRDefault="000C7B8F" w:rsidP="000C7B8F">
      <w:pPr>
        <w:tabs>
          <w:tab w:val="center" w:pos="4320"/>
          <w:tab w:val="right" w:pos="8640"/>
        </w:tabs>
        <w:spacing w:after="0"/>
        <w:jc w:val="center"/>
        <w:rPr>
          <w:rFonts w:cs="Arial"/>
          <w:b/>
          <w:sz w:val="18"/>
          <w:szCs w:val="18"/>
        </w:rPr>
      </w:pPr>
      <w:r w:rsidRPr="00F078D7">
        <w:rPr>
          <w:rFonts w:cs="Arial"/>
          <w:sz w:val="18"/>
          <w:szCs w:val="18"/>
        </w:rPr>
        <w:t>Providence, Rhode Island 02906</w:t>
      </w:r>
      <w:r w:rsidRPr="00F078D7">
        <w:rPr>
          <w:rFonts w:cs="Arial"/>
          <w:sz w:val="18"/>
          <w:szCs w:val="18"/>
        </w:rPr>
        <w:tab/>
      </w:r>
      <w:r w:rsidRPr="00F078D7">
        <w:rPr>
          <w:rFonts w:cs="Arial"/>
          <w:sz w:val="18"/>
          <w:szCs w:val="18"/>
        </w:rPr>
        <w:tab/>
        <w:t>Providence, Rhode Island 02903</w:t>
      </w:r>
    </w:p>
    <w:bookmarkEnd w:id="0"/>
    <w:p w14:paraId="0B7E0781" w14:textId="77FD945C" w:rsidR="00876E41" w:rsidRDefault="00876E41"/>
    <w:p w14:paraId="52F82A54" w14:textId="1A1982F9" w:rsidR="00C3716B" w:rsidRDefault="00C3716B">
      <w:r>
        <w:br w:type="page"/>
      </w:r>
    </w:p>
    <w:p w14:paraId="5FC23D55" w14:textId="77777777" w:rsidR="000C7B8F" w:rsidRDefault="000C7B8F"/>
    <w:tbl>
      <w:tblPr>
        <w:tblStyle w:val="TableGrid"/>
        <w:tblW w:w="9576" w:type="dxa"/>
        <w:tblLayout w:type="fixed"/>
        <w:tblLook w:val="04A0" w:firstRow="1" w:lastRow="0" w:firstColumn="1" w:lastColumn="0" w:noHBand="0" w:noVBand="1"/>
      </w:tblPr>
      <w:tblGrid>
        <w:gridCol w:w="1460"/>
        <w:gridCol w:w="4163"/>
        <w:gridCol w:w="976"/>
        <w:gridCol w:w="2977"/>
      </w:tblGrid>
      <w:tr w:rsidR="00876E41" w14:paraId="0B7E0783" w14:textId="77777777" w:rsidTr="608393FD">
        <w:trPr>
          <w:cantSplit/>
        </w:trPr>
        <w:tc>
          <w:tcPr>
            <w:tcW w:w="9576" w:type="dxa"/>
            <w:gridSpan w:val="4"/>
            <w:tcBorders>
              <w:bottom w:val="single" w:sz="4" w:space="0" w:color="auto"/>
              <w:right w:val="single" w:sz="4" w:space="0" w:color="auto"/>
            </w:tcBorders>
            <w:shd w:val="clear" w:color="auto" w:fill="D9D9D9" w:themeFill="background1" w:themeFillShade="D9"/>
            <w:tcMar>
              <w:top w:w="58" w:type="dxa"/>
              <w:left w:w="43" w:type="dxa"/>
              <w:bottom w:w="58" w:type="dxa"/>
              <w:right w:w="43" w:type="dxa"/>
            </w:tcMar>
            <w:vAlign w:val="center"/>
          </w:tcPr>
          <w:p w14:paraId="0B7E0782" w14:textId="77777777" w:rsidR="00876E41" w:rsidRDefault="00C70572">
            <w:pPr>
              <w:pStyle w:val="Heading1"/>
              <w:outlineLvl w:val="0"/>
            </w:pPr>
            <w:r w:rsidRPr="00C70572">
              <w:t>High-Sensitivity Troponin I (TNIH)</w:t>
            </w:r>
          </w:p>
        </w:tc>
      </w:tr>
      <w:tr w:rsidR="00876E41" w14:paraId="0B7E0789" w14:textId="77777777" w:rsidTr="608393FD">
        <w:trPr>
          <w:cantSplit/>
        </w:trPr>
        <w:tc>
          <w:tcPr>
            <w:tcW w:w="1460" w:type="dxa"/>
            <w:tcBorders>
              <w:right w:val="nil"/>
            </w:tcBorders>
            <w:shd w:val="clear" w:color="auto" w:fill="D9D9D9" w:themeFill="background1" w:themeFillShade="D9"/>
            <w:tcMar>
              <w:top w:w="58" w:type="dxa"/>
              <w:left w:w="29" w:type="dxa"/>
              <w:bottom w:w="58" w:type="dxa"/>
              <w:right w:w="29" w:type="dxa"/>
            </w:tcMar>
            <w:vAlign w:val="center"/>
          </w:tcPr>
          <w:p w14:paraId="0B7E0784" w14:textId="77777777" w:rsidR="00876E41" w:rsidRDefault="005118FF">
            <w:pPr>
              <w:rPr>
                <w:rFonts w:cs="Arial"/>
                <w:b/>
              </w:rPr>
            </w:pPr>
            <w:r>
              <w:rPr>
                <w:rFonts w:cs="Arial"/>
                <w:b/>
              </w:rPr>
              <w:t>Attributes for:</w:t>
            </w:r>
          </w:p>
        </w:tc>
        <w:tc>
          <w:tcPr>
            <w:tcW w:w="4163" w:type="dxa"/>
            <w:tcBorders>
              <w:left w:val="nil"/>
              <w:right w:val="single" w:sz="4" w:space="0" w:color="auto"/>
            </w:tcBorders>
            <w:shd w:val="clear" w:color="auto" w:fill="D9D9D9" w:themeFill="background1" w:themeFillShade="D9"/>
            <w:tcMar>
              <w:top w:w="58" w:type="dxa"/>
              <w:left w:w="29" w:type="dxa"/>
              <w:bottom w:w="58" w:type="dxa"/>
              <w:right w:w="29" w:type="dxa"/>
            </w:tcMar>
            <w:vAlign w:val="center"/>
          </w:tcPr>
          <w:p w14:paraId="0B7E0785" w14:textId="77777777" w:rsidR="00876E41" w:rsidRDefault="00C70572">
            <w:r>
              <w:t>C</w:t>
            </w:r>
            <w:r w:rsidRPr="00C70572">
              <w:t>ardiac troponin I</w:t>
            </w:r>
          </w:p>
        </w:tc>
        <w:tc>
          <w:tcPr>
            <w:tcW w:w="976" w:type="dxa"/>
            <w:tcBorders>
              <w:left w:val="single" w:sz="4" w:space="0" w:color="auto"/>
              <w:right w:val="nil"/>
            </w:tcBorders>
            <w:shd w:val="clear" w:color="auto" w:fill="D9D9D9" w:themeFill="background1" w:themeFillShade="D9"/>
            <w:tcMar>
              <w:top w:w="58" w:type="dxa"/>
              <w:left w:w="29" w:type="dxa"/>
              <w:bottom w:w="58" w:type="dxa"/>
              <w:right w:w="29" w:type="dxa"/>
            </w:tcMar>
            <w:vAlign w:val="center"/>
          </w:tcPr>
          <w:p w14:paraId="0B7E0786" w14:textId="77777777" w:rsidR="00876E41" w:rsidRDefault="005118FF">
            <w:pPr>
              <w:rPr>
                <w:rFonts w:cs="Arial"/>
                <w:b/>
              </w:rPr>
            </w:pPr>
            <w:r>
              <w:rPr>
                <w:rFonts w:cs="Arial"/>
                <w:b/>
              </w:rPr>
              <w:t>Analyzer:</w:t>
            </w:r>
          </w:p>
        </w:tc>
        <w:tc>
          <w:tcPr>
            <w:tcW w:w="2977" w:type="dxa"/>
            <w:tcBorders>
              <w:left w:val="nil"/>
              <w:right w:val="single" w:sz="4" w:space="0" w:color="auto"/>
            </w:tcBorders>
            <w:shd w:val="clear" w:color="auto" w:fill="D9D9D9" w:themeFill="background1" w:themeFillShade="D9"/>
            <w:tcMar>
              <w:top w:w="58" w:type="dxa"/>
              <w:left w:w="29" w:type="dxa"/>
              <w:bottom w:w="58" w:type="dxa"/>
              <w:right w:w="29" w:type="dxa"/>
            </w:tcMar>
            <w:vAlign w:val="center"/>
          </w:tcPr>
          <w:p w14:paraId="0B7E0787" w14:textId="77777777" w:rsidR="00860391" w:rsidRPr="00314DD1" w:rsidRDefault="00860391" w:rsidP="00860391">
            <w:pPr>
              <w:rPr>
                <w:rFonts w:cs="Arial"/>
              </w:rPr>
            </w:pPr>
            <w:r w:rsidRPr="00314DD1">
              <w:rPr>
                <w:rFonts w:cs="Arial"/>
              </w:rPr>
              <w:t>ADVIA Centaur</w:t>
            </w:r>
            <w:r w:rsidRPr="00314DD1">
              <w:rPr>
                <w:rFonts w:cs="Arial"/>
                <w:vertAlign w:val="superscript"/>
              </w:rPr>
              <w:t>®</w:t>
            </w:r>
            <w:r w:rsidRPr="00314DD1">
              <w:rPr>
                <w:rFonts w:cs="Arial"/>
              </w:rPr>
              <w:t xml:space="preserve"> XP</w:t>
            </w:r>
          </w:p>
          <w:p w14:paraId="0B7E0788" w14:textId="77777777" w:rsidR="00876E41" w:rsidRDefault="00860391" w:rsidP="00860391">
            <w:pPr>
              <w:rPr>
                <w:rFonts w:cs="Arial"/>
              </w:rPr>
            </w:pPr>
            <w:r w:rsidRPr="00314DD1">
              <w:rPr>
                <w:rFonts w:cs="Arial"/>
              </w:rPr>
              <w:t>ADVIA Centaur</w:t>
            </w:r>
            <w:r w:rsidRPr="00314DD1">
              <w:rPr>
                <w:rFonts w:cs="Arial"/>
                <w:vertAlign w:val="superscript"/>
              </w:rPr>
              <w:t>®</w:t>
            </w:r>
            <w:r w:rsidRPr="00314DD1">
              <w:rPr>
                <w:rFonts w:cs="Arial"/>
              </w:rPr>
              <w:t xml:space="preserve"> XPT</w:t>
            </w:r>
          </w:p>
        </w:tc>
      </w:tr>
      <w:tr w:rsidR="00876E41" w14:paraId="0B7E0792"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91" w14:textId="77777777" w:rsidR="00876E41" w:rsidRDefault="005118FF">
            <w:pPr>
              <w:pStyle w:val="Heading1"/>
              <w:outlineLvl w:val="0"/>
              <w:rPr>
                <w:szCs w:val="24"/>
              </w:rPr>
            </w:pPr>
            <w:r>
              <w:rPr>
                <w:szCs w:val="24"/>
              </w:rPr>
              <w:t>Principles of the Procedure</w:t>
            </w:r>
          </w:p>
        </w:tc>
      </w:tr>
      <w:tr w:rsidR="00876E41" w14:paraId="0B7E0795" w14:textId="77777777" w:rsidTr="608393FD">
        <w:trPr>
          <w:cantSplit/>
        </w:trPr>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0B7E0793" w14:textId="77777777" w:rsidR="00C70572" w:rsidRDefault="00C70572" w:rsidP="00C70572">
            <w:pPr>
              <w:pStyle w:val="Paragraph"/>
            </w:pPr>
            <w:r>
              <w:t>The ADVIA Centaur TNIH is a 3-site sandwich immunoassay using direct chemiluminescent technology. The Solid Phase reagent consists of magnetic latex particles conjugated with streptavidin with two bound biotinylated capture monoclonal antibodies each recognizing a unique cTnI epitope.</w:t>
            </w:r>
          </w:p>
          <w:p w14:paraId="0B7E0794" w14:textId="77777777" w:rsidR="00876E41" w:rsidRDefault="00C70572" w:rsidP="00C70572">
            <w:pPr>
              <w:pStyle w:val="Paragraph"/>
            </w:pPr>
            <w:r>
              <w:t>The Lite Reagent comprises a conjugate with an architecture consisting of a proprietary acridinium ester and a recombinant anti-human cTnI sheep Fab covalently attached to bovine serum albumin (BSA) for chemiluminescent detection. The accumulated light signal is directly related to the sample cTnI concentration.</w:t>
            </w:r>
          </w:p>
        </w:tc>
      </w:tr>
      <w:tr w:rsidR="00876E41" w14:paraId="0B7E0797"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96" w14:textId="77777777" w:rsidR="00876E41" w:rsidRDefault="005118FF">
            <w:pPr>
              <w:pStyle w:val="Heading1"/>
              <w:outlineLvl w:val="0"/>
              <w:rPr>
                <w:szCs w:val="24"/>
              </w:rPr>
            </w:pPr>
            <w:r>
              <w:rPr>
                <w:szCs w:val="24"/>
              </w:rPr>
              <w:t>Intended Use</w:t>
            </w:r>
          </w:p>
        </w:tc>
      </w:tr>
      <w:tr w:rsidR="00876E41" w14:paraId="0B7E0799" w14:textId="77777777" w:rsidTr="608393FD">
        <w:trPr>
          <w:cantSplit/>
        </w:trPr>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0B7E0798" w14:textId="77777777" w:rsidR="00876E41" w:rsidRDefault="00C70572" w:rsidP="00C70572">
            <w:pPr>
              <w:pStyle w:val="Paragraph"/>
            </w:pPr>
            <w:r>
              <w:t>The ADVIA Centaur</w:t>
            </w:r>
            <w:r w:rsidRPr="00C70572">
              <w:rPr>
                <w:vertAlign w:val="superscript"/>
              </w:rPr>
              <w:t>®</w:t>
            </w:r>
            <w:r>
              <w:t xml:space="preserve"> High-Sensitivity Troponin I (TNIH) assay is for </w:t>
            </w:r>
            <w:r w:rsidRPr="00C70572">
              <w:rPr>
                <w:i/>
              </w:rPr>
              <w:t>in vitro</w:t>
            </w:r>
            <w:r>
              <w:t xml:space="preserve"> diagnostic use in the quantitative measurement of cardiac troponin I in human serum or plasma (lithium heparin) using the ADVIA Centaur XP and ADVIA Centaur XPT systems. The assay can be used to aid in the diagnosis of acute myocardial infarction (AMI).</w:t>
            </w:r>
          </w:p>
        </w:tc>
      </w:tr>
      <w:tr w:rsidR="00876E41" w14:paraId="0B7E079B"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9A" w14:textId="77777777" w:rsidR="00876E41" w:rsidRDefault="005118FF">
            <w:pPr>
              <w:pStyle w:val="Heading1"/>
              <w:outlineLvl w:val="0"/>
              <w:rPr>
                <w:szCs w:val="24"/>
              </w:rPr>
            </w:pPr>
            <w:r>
              <w:rPr>
                <w:szCs w:val="24"/>
              </w:rPr>
              <w:t>Specimen Types</w:t>
            </w:r>
          </w:p>
        </w:tc>
      </w:tr>
      <w:tr w:rsidR="00876E41" w:rsidRPr="00515FD9" w14:paraId="0B7E079D" w14:textId="77777777" w:rsidTr="608393FD">
        <w:trPr>
          <w:cantSplit/>
        </w:trPr>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1E2C134E" w14:textId="77777777" w:rsidR="00876E41" w:rsidRDefault="00C22BEB" w:rsidP="007E6174">
            <w:pPr>
              <w:pStyle w:val="Paragraph"/>
              <w:spacing w:after="0" w:line="360" w:lineRule="auto"/>
              <w:ind w:left="720"/>
              <w:rPr>
                <w:lang w:val="de-DE"/>
              </w:rPr>
            </w:pPr>
            <w:r w:rsidRPr="2A68337F">
              <w:rPr>
                <w:lang w:val="de-DE"/>
              </w:rPr>
              <w:t>P</w:t>
            </w:r>
            <w:r w:rsidR="00314DD1" w:rsidRPr="2A68337F">
              <w:rPr>
                <w:lang w:val="de-DE"/>
              </w:rPr>
              <w:t>lasma (</w:t>
            </w:r>
            <w:r w:rsidR="00A9424A">
              <w:rPr>
                <w:lang w:val="de-DE"/>
              </w:rPr>
              <w:t>L</w:t>
            </w:r>
            <w:r w:rsidR="006F2819" w:rsidRPr="2A68337F">
              <w:rPr>
                <w:lang w:val="de-DE"/>
              </w:rPr>
              <w:t xml:space="preserve">ithium </w:t>
            </w:r>
            <w:r w:rsidR="00A9424A">
              <w:rPr>
                <w:lang w:val="de-DE"/>
              </w:rPr>
              <w:t>H</w:t>
            </w:r>
            <w:r w:rsidR="006F2819" w:rsidRPr="2A68337F">
              <w:rPr>
                <w:lang w:val="de-DE"/>
              </w:rPr>
              <w:t>eparin</w:t>
            </w:r>
            <w:r w:rsidR="00314DD1" w:rsidRPr="2A68337F">
              <w:rPr>
                <w:lang w:val="de-DE"/>
              </w:rPr>
              <w:t>)</w:t>
            </w:r>
            <w:r w:rsidR="0006185F">
              <w:rPr>
                <w:lang w:val="de-DE"/>
              </w:rPr>
              <w:t xml:space="preserve"> </w:t>
            </w:r>
          </w:p>
          <w:p w14:paraId="0B7E079C" w14:textId="7B3B45D5" w:rsidR="00B76D85" w:rsidRPr="002E2B26" w:rsidRDefault="00B76D85" w:rsidP="0052267A">
            <w:pPr>
              <w:pStyle w:val="Paragraph"/>
              <w:ind w:left="720"/>
              <w:rPr>
                <w:lang w:val="de-DE"/>
              </w:rPr>
            </w:pPr>
            <w:r w:rsidRPr="608393FD">
              <w:rPr>
                <w:lang w:val="de-DE"/>
              </w:rPr>
              <w:t>Serum</w:t>
            </w:r>
            <w:r w:rsidR="005C5789" w:rsidRPr="608393FD">
              <w:rPr>
                <w:lang w:val="de-DE"/>
              </w:rPr>
              <w:t xml:space="preserve"> </w:t>
            </w:r>
            <w:r w:rsidR="00DF5062" w:rsidRPr="608393FD">
              <w:rPr>
                <w:lang w:val="de-DE"/>
              </w:rPr>
              <w:t xml:space="preserve">– refer to Limitations </w:t>
            </w:r>
            <w:r w:rsidR="00865D39" w:rsidRPr="608393FD">
              <w:rPr>
                <w:lang w:val="de-DE"/>
              </w:rPr>
              <w:t>– not validated by Lifespan Labs</w:t>
            </w:r>
          </w:p>
        </w:tc>
      </w:tr>
      <w:tr w:rsidR="00876E41" w14:paraId="0B7E079F"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9E" w14:textId="77777777" w:rsidR="00876E41" w:rsidRDefault="005118FF" w:rsidP="608393FD">
            <w:pPr>
              <w:pStyle w:val="Heading1"/>
              <w:outlineLvl w:val="0"/>
            </w:pPr>
            <w:r>
              <w:t>Specimen Stability</w:t>
            </w:r>
          </w:p>
        </w:tc>
      </w:tr>
      <w:tr w:rsidR="00876E41" w14:paraId="0B7E07AF" w14:textId="77777777" w:rsidTr="608393FD">
        <w:trPr>
          <w:cantSplit/>
        </w:trPr>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0B7E07A0" w14:textId="77777777" w:rsidR="00C70572" w:rsidRPr="001C3046" w:rsidRDefault="00C70572" w:rsidP="00C70572">
            <w:pPr>
              <w:pStyle w:val="Bullet"/>
            </w:pPr>
            <w:r w:rsidRPr="001C3046">
              <w:t>The use of a single sample type (either lithium-heparin plasma or serum) is recommended for troponin analysis when collecting serial samples from the same patient.</w:t>
            </w:r>
          </w:p>
          <w:p w14:paraId="0B7E07A1" w14:textId="05A5CA4B" w:rsidR="00C70572" w:rsidRDefault="00C70572" w:rsidP="00C70572">
            <w:pPr>
              <w:pStyle w:val="Bullet"/>
            </w:pPr>
            <w:r>
              <w:t>Allow blood specimens to clot com</w:t>
            </w:r>
            <w:r w:rsidR="00515FD9">
              <w:t>pletely before centrifugation.</w:t>
            </w:r>
          </w:p>
          <w:p w14:paraId="0B7E07A2" w14:textId="3B925726" w:rsidR="00C70572" w:rsidRDefault="00C70572" w:rsidP="00C70572">
            <w:pPr>
              <w:pStyle w:val="Bullet"/>
            </w:pPr>
            <w:r>
              <w:t xml:space="preserve">Keep tubes </w:t>
            </w:r>
            <w:r w:rsidR="4BCD806B">
              <w:t>always stoppered and upright</w:t>
            </w:r>
            <w:r>
              <w:t>.</w:t>
            </w:r>
          </w:p>
          <w:p w14:paraId="0B7E07A3" w14:textId="77777777" w:rsidR="00C70572" w:rsidRDefault="00C70572" w:rsidP="00C70572">
            <w:pPr>
              <w:pStyle w:val="Bullet"/>
            </w:pPr>
            <w:r>
              <w:t>Samples must be free of fibrin or other particulate matter. The presence of fibrin, red blood cells, or suspended particles may lead to inaccurate results. Serum samples that contain suspended fibrin particles or erythrocyte stroma must be re-centrifuged before testing.</w:t>
            </w:r>
          </w:p>
          <w:p w14:paraId="0B7E07A4" w14:textId="77777777" w:rsidR="00C70572" w:rsidRDefault="00C70572" w:rsidP="00C70572">
            <w:pPr>
              <w:pStyle w:val="Bullet"/>
            </w:pPr>
            <w:r>
              <w:t xml:space="preserve">If clotting time is increased due to thrombolytic or anticoagulant therapy, the use of plasma specimens will allow for faster sample processing and reduce the risk of micro-clots, </w:t>
            </w:r>
            <w:proofErr w:type="gramStart"/>
            <w:r>
              <w:t>fibrin</w:t>
            </w:r>
            <w:proofErr w:type="gramEnd"/>
            <w:r>
              <w:t xml:space="preserve"> or particulate matter.</w:t>
            </w:r>
          </w:p>
          <w:p w14:paraId="0B7E07A5" w14:textId="77777777" w:rsidR="00C70572" w:rsidRDefault="00C70572" w:rsidP="00C70572">
            <w:pPr>
              <w:pStyle w:val="Bullet"/>
            </w:pPr>
            <w:r>
              <w:t>For plasma specimens, avoid transferring white blood cells or platelets from the layer located just above the red blood cells.</w:t>
            </w:r>
          </w:p>
          <w:p w14:paraId="0B7E07A6" w14:textId="77777777" w:rsidR="00995B07" w:rsidRDefault="00C70572" w:rsidP="00C70572">
            <w:pPr>
              <w:pStyle w:val="Bullet"/>
            </w:pPr>
            <w:r>
              <w:t>If a fixed angle rotor is used for centrifugation, care should be taken to avoid re-suspending cellular material (platelets) upon removal from the centrifuge.</w:t>
            </w:r>
          </w:p>
          <w:p w14:paraId="0B7E07A7" w14:textId="77777777" w:rsidR="00C70572" w:rsidRDefault="00C70572" w:rsidP="00C70572">
            <w:pPr>
              <w:pStyle w:val="Bullet"/>
            </w:pPr>
            <w:r>
              <w:t>Samples are stable up to 8 hours when tightly capped and stored at room temperature.</w:t>
            </w:r>
          </w:p>
          <w:p w14:paraId="0B7E07A8" w14:textId="7DCB97A6" w:rsidR="00C70572" w:rsidRDefault="00C70572" w:rsidP="00C70572">
            <w:pPr>
              <w:pStyle w:val="Bullet"/>
            </w:pPr>
            <w:commentRangeStart w:id="1"/>
            <w:commentRangeStart w:id="2"/>
            <w:commentRangeStart w:id="3"/>
            <w:commentRangeStart w:id="4"/>
            <w:r>
              <w:t>Samples are stable up to</w:t>
            </w:r>
            <w:r w:rsidR="00147711">
              <w:t xml:space="preserve"> 7 days</w:t>
            </w:r>
            <w:r>
              <w:t xml:space="preserve"> when tightly capped and stored at 2–8°C.</w:t>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p>
          <w:p w14:paraId="0B7E07A9" w14:textId="77777777" w:rsidR="00C70572" w:rsidRDefault="00C70572" w:rsidP="00C70572">
            <w:pPr>
              <w:pStyle w:val="Bullet"/>
            </w:pPr>
            <w:r>
              <w:t>Samples can be frozen at or below -20°C for up to 40 days in non-frost-free freezer.</w:t>
            </w:r>
          </w:p>
          <w:p w14:paraId="0B7E07AA" w14:textId="77777777" w:rsidR="00C70572" w:rsidRDefault="00C70572" w:rsidP="00C70572">
            <w:pPr>
              <w:pStyle w:val="Bullet"/>
            </w:pPr>
            <w:r>
              <w:t>Samples can be frozen at or below -70°C for up to 1 year.</w:t>
            </w:r>
          </w:p>
          <w:p w14:paraId="0B7E07AB" w14:textId="77777777" w:rsidR="00C70572" w:rsidRDefault="00C70572" w:rsidP="00C70572">
            <w:pPr>
              <w:pStyle w:val="Bullet"/>
            </w:pPr>
            <w:r>
              <w:t>Freeze samples only once and mix thoroughly after thawing. Frozen samples must be centrifuged at 2200 x g for 10 minutes after thawing, before analysis.</w:t>
            </w:r>
          </w:p>
          <w:p w14:paraId="0B7E07AC" w14:textId="77777777" w:rsidR="00C70572" w:rsidRDefault="00C70572" w:rsidP="00C70572">
            <w:pPr>
              <w:pStyle w:val="Bullet"/>
            </w:pPr>
            <w:r>
              <w:t>Before placing samples on the system, ensure that samples have the following characteristics:</w:t>
            </w:r>
          </w:p>
          <w:p w14:paraId="0B7E07AD" w14:textId="77777777" w:rsidR="00C70572" w:rsidRDefault="00C70572" w:rsidP="00C70572">
            <w:pPr>
              <w:pStyle w:val="Bullet"/>
              <w:numPr>
                <w:ilvl w:val="1"/>
                <w:numId w:val="13"/>
              </w:numPr>
              <w:ind w:left="1094"/>
            </w:pPr>
            <w:r>
              <w:t>Samples must be free of fibrin or other particulate matter.</w:t>
            </w:r>
          </w:p>
          <w:p w14:paraId="0B7E07AE" w14:textId="77777777" w:rsidR="00C70572" w:rsidRDefault="00C70572" w:rsidP="00C70572">
            <w:pPr>
              <w:pStyle w:val="Bullet"/>
              <w:numPr>
                <w:ilvl w:val="1"/>
                <w:numId w:val="13"/>
              </w:numPr>
              <w:ind w:left="1094"/>
            </w:pPr>
            <w:r>
              <w:t>Samples should be free of bubbles.</w:t>
            </w:r>
          </w:p>
        </w:tc>
      </w:tr>
      <w:tr w:rsidR="00876E41" w14:paraId="0B7E07B1"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B0" w14:textId="77777777" w:rsidR="00876E41" w:rsidRDefault="005118FF">
            <w:pPr>
              <w:pStyle w:val="Heading1"/>
              <w:outlineLvl w:val="0"/>
              <w:rPr>
                <w:szCs w:val="24"/>
              </w:rPr>
            </w:pPr>
            <w:r>
              <w:rPr>
                <w:szCs w:val="24"/>
              </w:rPr>
              <w:lastRenderedPageBreak/>
              <w:t>Minimum Sample Volume</w:t>
            </w:r>
          </w:p>
        </w:tc>
      </w:tr>
      <w:tr w:rsidR="00876E41" w14:paraId="0B7E07B3" w14:textId="77777777" w:rsidTr="608393FD">
        <w:trPr>
          <w:cantSplit/>
        </w:trPr>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0B7E07B2" w14:textId="77777777" w:rsidR="00876E41" w:rsidRDefault="007501F3">
            <w:pPr>
              <w:pStyle w:val="Paragraph"/>
            </w:pPr>
            <w:r w:rsidRPr="0009339C">
              <w:t>10</w:t>
            </w:r>
            <w:r w:rsidR="002F6292">
              <w:t>0</w:t>
            </w:r>
            <w:r w:rsidRPr="0009339C">
              <w:t xml:space="preserve"> </w:t>
            </w:r>
            <w:proofErr w:type="spellStart"/>
            <w:r w:rsidRPr="0009339C">
              <w:t>μL</w:t>
            </w:r>
            <w:proofErr w:type="spellEnd"/>
          </w:p>
        </w:tc>
      </w:tr>
      <w:tr w:rsidR="00876E41" w14:paraId="0B7E07B5"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B4" w14:textId="77777777" w:rsidR="00876E41" w:rsidRDefault="005118FF">
            <w:pPr>
              <w:pStyle w:val="Heading1"/>
              <w:outlineLvl w:val="0"/>
              <w:rPr>
                <w:szCs w:val="24"/>
              </w:rPr>
            </w:pPr>
            <w:r>
              <w:rPr>
                <w:szCs w:val="24"/>
              </w:rPr>
              <w:t>Preparing the Reagents</w:t>
            </w:r>
          </w:p>
        </w:tc>
      </w:tr>
      <w:tr w:rsidR="00876E41" w14:paraId="0B7E07B7" w14:textId="77777777" w:rsidTr="608393FD">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0B7E07B6" w14:textId="74A66F3F" w:rsidR="00E57AA3" w:rsidRDefault="002F6292" w:rsidP="002F6292">
            <w:pPr>
              <w:pStyle w:val="Paragraph"/>
            </w:pPr>
            <w:r>
              <w:t xml:space="preserve">All ADVIA Centaur TNIH </w:t>
            </w:r>
            <w:proofErr w:type="spellStart"/>
            <w:r>
              <w:t>ReadyPack</w:t>
            </w:r>
            <w:proofErr w:type="spellEnd"/>
            <w:r>
              <w:t xml:space="preserve"> reagents are liquid and ready to use. Remove </w:t>
            </w:r>
            <w:proofErr w:type="gramStart"/>
            <w:r>
              <w:t>all of</w:t>
            </w:r>
            <w:proofErr w:type="gramEnd"/>
            <w:r>
              <w:t xml:space="preserve"> the reagents from the </w:t>
            </w:r>
            <w:r w:rsidR="79483A9A">
              <w:t>refrigerator and</w:t>
            </w:r>
            <w:r>
              <w:t xml:space="preserve"> mix all primary reagent packs by hand. Visually inspect the bottom of the reagent pack to ensure that all particles are dispersed and resuspended before loading it onto the system.</w:t>
            </w:r>
          </w:p>
        </w:tc>
      </w:tr>
      <w:tr w:rsidR="00876E41" w14:paraId="0B7E07B9"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B8" w14:textId="77777777" w:rsidR="00876E41" w:rsidRDefault="005118FF">
            <w:pPr>
              <w:pStyle w:val="Heading1"/>
              <w:outlineLvl w:val="0"/>
              <w:rPr>
                <w:szCs w:val="24"/>
              </w:rPr>
            </w:pPr>
            <w:r>
              <w:rPr>
                <w:szCs w:val="24"/>
              </w:rPr>
              <w:t>Storage and Stability</w:t>
            </w:r>
          </w:p>
        </w:tc>
      </w:tr>
      <w:tr w:rsidR="00876E41" w14:paraId="0B7E07BE" w14:textId="77777777" w:rsidTr="608393FD">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0B7E07BA" w14:textId="77777777" w:rsidR="002F6292" w:rsidRDefault="002F6292" w:rsidP="002F6292">
            <w:pPr>
              <w:pStyle w:val="Paragraph"/>
            </w:pPr>
            <w:r>
              <w:t>Store the reagents upright at 2–8°C. Protect reagent packs from heat and light sources. Reagent packs loaded on the system are protected from light.</w:t>
            </w:r>
          </w:p>
          <w:p w14:paraId="0B7E07BB" w14:textId="77777777" w:rsidR="007501F3" w:rsidRDefault="002F6292" w:rsidP="002F6292">
            <w:pPr>
              <w:pStyle w:val="Paragraph"/>
            </w:pPr>
            <w:r>
              <w:t>Reagents are stable at 2–8°C until the expiration date on the product.</w:t>
            </w:r>
          </w:p>
          <w:p w14:paraId="0B7E07BC" w14:textId="77777777" w:rsidR="002F6292" w:rsidRDefault="002F6292" w:rsidP="002F6292">
            <w:pPr>
              <w:pStyle w:val="Paragraph"/>
            </w:pPr>
            <w:r>
              <w:t xml:space="preserve">The ADVIA Centaur TNIH assay reagents are stable onboard the system for 28 days and are stable unopened until the expiration date on the product. Discard reagent packs at the end of the 28-day onboard stability interval. Do not use reagents beyond the expiration date. </w:t>
            </w:r>
          </w:p>
          <w:p w14:paraId="0B7E07BD" w14:textId="77777777" w:rsidR="002F6292" w:rsidRDefault="002F6292" w:rsidP="002F6292">
            <w:pPr>
              <w:pStyle w:val="Paragraph"/>
            </w:pPr>
            <w:r>
              <w:t xml:space="preserve">ADVIA Centaur TNIH Calibrators are stable on the system for 4 hours. </w:t>
            </w:r>
            <w:commentRangeStart w:id="5"/>
            <w:commentRangeStart w:id="6"/>
            <w:r>
              <w:t>Dispose</w:t>
            </w:r>
            <w:commentRangeEnd w:id="5"/>
            <w:r>
              <w:rPr>
                <w:rStyle w:val="CommentReference"/>
              </w:rPr>
              <w:commentReference w:id="5"/>
            </w:r>
            <w:commentRangeEnd w:id="6"/>
            <w:r>
              <w:rPr>
                <w:rStyle w:val="CommentReference"/>
              </w:rPr>
              <w:commentReference w:id="6"/>
            </w:r>
            <w:r>
              <w:t xml:space="preserve"> of any calibrator that remains in the sample cups after 4 hours. </w:t>
            </w:r>
          </w:p>
        </w:tc>
      </w:tr>
      <w:tr w:rsidR="00876E41" w14:paraId="0B7E07C2" w14:textId="77777777" w:rsidTr="608393FD">
        <w:trPr>
          <w:cantSplit/>
        </w:trPr>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4157CFA6" w14:textId="4E868C5E" w:rsidR="001A668B" w:rsidRDefault="000E3AF2" w:rsidP="608393FD">
            <w:pPr>
              <w:pStyle w:val="Heading1"/>
              <w:outlineLvl w:val="0"/>
              <w:rPr>
                <w:b w:val="0"/>
              </w:rPr>
            </w:pPr>
            <w:r w:rsidRPr="608393FD">
              <w:lastRenderedPageBreak/>
              <w:t xml:space="preserve">TNIH </w:t>
            </w:r>
            <w:r w:rsidRPr="608393FD">
              <w:rPr>
                <w:b w:val="0"/>
              </w:rPr>
              <w:t>CALIBRATOR</w:t>
            </w:r>
          </w:p>
          <w:p w14:paraId="6F7B7D53" w14:textId="2186898E" w:rsidR="00876E41" w:rsidRDefault="40513A92" w:rsidP="608393FD">
            <w:pPr>
              <w:pStyle w:val="Paragraph"/>
              <w:rPr>
                <w:b/>
                <w:bCs/>
              </w:rPr>
            </w:pPr>
            <w:r w:rsidRPr="608393FD">
              <w:rPr>
                <w:b/>
                <w:bCs/>
              </w:rPr>
              <w:t>Master Curve</w:t>
            </w:r>
          </w:p>
          <w:p w14:paraId="4D44E0FF" w14:textId="069B603A" w:rsidR="00876E41" w:rsidRDefault="40513A92" w:rsidP="608393FD">
            <w:pPr>
              <w:pStyle w:val="Paragraph"/>
            </w:pPr>
            <w:r w:rsidRPr="608393FD">
              <w:t xml:space="preserve">The ADVIA Centaur TNIH assay requires a Master Curve calibration when using a new lot number of </w:t>
            </w:r>
            <w:r w:rsidR="2855DA3B" w:rsidRPr="608393FD">
              <w:t>Lite Reagent and Solid Phase</w:t>
            </w:r>
            <w:r w:rsidRPr="608393FD">
              <w:t xml:space="preserve">. Use the barcode reader to </w:t>
            </w:r>
            <w:r w:rsidR="3009B268" w:rsidRPr="608393FD">
              <w:t>scan the</w:t>
            </w:r>
            <w:r w:rsidRPr="608393FD">
              <w:t xml:space="preserve"> </w:t>
            </w:r>
            <w:r w:rsidR="3009B268" w:rsidRPr="608393FD">
              <w:t xml:space="preserve">QR codes </w:t>
            </w:r>
            <w:r w:rsidR="07A1B06C" w:rsidRPr="608393FD">
              <w:t xml:space="preserve">from </w:t>
            </w:r>
            <w:r w:rsidRPr="608393FD">
              <w:t xml:space="preserve">the Master Curve </w:t>
            </w:r>
            <w:r w:rsidR="55AE696C" w:rsidRPr="608393FD">
              <w:t xml:space="preserve">card </w:t>
            </w:r>
            <w:r w:rsidR="1F99B407" w:rsidRPr="608393FD">
              <w:t>so the values will</w:t>
            </w:r>
            <w:r w:rsidR="55AE696C" w:rsidRPr="608393FD">
              <w:t xml:space="preserve"> </w:t>
            </w:r>
            <w:r w:rsidR="31C512EF" w:rsidRPr="608393FD">
              <w:t xml:space="preserve">automatically be </w:t>
            </w:r>
            <w:r w:rsidR="55AE696C" w:rsidRPr="608393FD">
              <w:t>enter</w:t>
            </w:r>
            <w:r w:rsidR="43A2F148" w:rsidRPr="608393FD">
              <w:t xml:space="preserve">ed </w:t>
            </w:r>
            <w:r w:rsidR="3656DD3D" w:rsidRPr="608393FD">
              <w:t>onto the system. T</w:t>
            </w:r>
            <w:r w:rsidR="3656DD3D" w:rsidRPr="608393FD">
              <w:rPr>
                <w:b/>
                <w:bCs/>
              </w:rPr>
              <w:t xml:space="preserve">he system must be in a </w:t>
            </w:r>
            <w:r w:rsidR="4D7CD810" w:rsidRPr="608393FD">
              <w:rPr>
                <w:b/>
                <w:bCs/>
              </w:rPr>
              <w:t>“R</w:t>
            </w:r>
            <w:r w:rsidR="3656DD3D" w:rsidRPr="608393FD">
              <w:rPr>
                <w:b/>
                <w:bCs/>
              </w:rPr>
              <w:t>eady</w:t>
            </w:r>
            <w:r w:rsidR="1CD4EA11" w:rsidRPr="608393FD">
              <w:rPr>
                <w:b/>
                <w:bCs/>
              </w:rPr>
              <w:t>”</w:t>
            </w:r>
            <w:r w:rsidR="3656DD3D" w:rsidRPr="608393FD">
              <w:rPr>
                <w:b/>
                <w:bCs/>
              </w:rPr>
              <w:t xml:space="preserve"> state to scan a new reagent lot </w:t>
            </w:r>
            <w:r w:rsidR="7FA7AD6D" w:rsidRPr="608393FD">
              <w:rPr>
                <w:b/>
                <w:bCs/>
              </w:rPr>
              <w:t>M</w:t>
            </w:r>
            <w:r w:rsidR="3656DD3D" w:rsidRPr="608393FD">
              <w:rPr>
                <w:b/>
                <w:bCs/>
              </w:rPr>
              <w:t xml:space="preserve">aster </w:t>
            </w:r>
            <w:r w:rsidR="1C586D53" w:rsidRPr="608393FD">
              <w:rPr>
                <w:b/>
                <w:bCs/>
              </w:rPr>
              <w:t>C</w:t>
            </w:r>
            <w:r w:rsidR="3656DD3D" w:rsidRPr="608393FD">
              <w:rPr>
                <w:b/>
                <w:bCs/>
              </w:rPr>
              <w:t>urve.</w:t>
            </w:r>
            <w:r w:rsidR="6BEA28E2" w:rsidRPr="608393FD">
              <w:t xml:space="preserve"> The Master Curve can be scanned in any screen on the workstation.</w:t>
            </w:r>
          </w:p>
          <w:p w14:paraId="663B5E0E" w14:textId="495DDEBF" w:rsidR="00876E41" w:rsidRDefault="6BEA28E2" w:rsidP="608393FD">
            <w:pPr>
              <w:pStyle w:val="Paragraph"/>
            </w:pPr>
            <w:r w:rsidRPr="608393FD">
              <w:t xml:space="preserve"> Once all QR codes are scanned, select </w:t>
            </w:r>
            <w:r w:rsidRPr="608393FD">
              <w:rPr>
                <w:b/>
                <w:bCs/>
              </w:rPr>
              <w:t>Save</w:t>
            </w:r>
            <w:r w:rsidRPr="608393FD">
              <w:t>.</w:t>
            </w:r>
            <w:r w:rsidR="3656DD3D" w:rsidRPr="608393FD">
              <w:t xml:space="preserve"> </w:t>
            </w:r>
          </w:p>
          <w:p w14:paraId="7E1C8380" w14:textId="7F2BF091" w:rsidR="00876E41" w:rsidRDefault="2297377B" w:rsidP="608393FD">
            <w:pPr>
              <w:pStyle w:val="Paragraph"/>
              <w:rPr>
                <w:rFonts w:eastAsia="Calibri"/>
                <w:b/>
                <w:bCs/>
              </w:rPr>
            </w:pPr>
            <w:r w:rsidRPr="608393FD">
              <w:rPr>
                <w:rFonts w:eastAsia="Calibri"/>
                <w:b/>
                <w:bCs/>
              </w:rPr>
              <w:t>Defining Calibrator Values</w:t>
            </w:r>
          </w:p>
          <w:p w14:paraId="34820511" w14:textId="12EF774A" w:rsidR="00876E41" w:rsidRDefault="2297377B" w:rsidP="608393FD">
            <w:pPr>
              <w:pStyle w:val="Paragraph"/>
              <w:rPr>
                <w:rFonts w:eastAsia="Calibri"/>
              </w:rPr>
            </w:pPr>
            <w:r w:rsidRPr="608393FD">
              <w:rPr>
                <w:rFonts w:eastAsia="Calibri"/>
              </w:rPr>
              <w:t xml:space="preserve">Use the barcode reader to enter the values from the Calibrator Assigned Value card onto the system. </w:t>
            </w:r>
            <w:r w:rsidR="68CC3357" w:rsidRPr="608393FD">
              <w:rPr>
                <w:rFonts w:eastAsia="Calibri"/>
              </w:rPr>
              <w:t xml:space="preserve">This can be done at any time, a “Ready” state is not necessary. </w:t>
            </w:r>
            <w:r w:rsidRPr="608393FD">
              <w:rPr>
                <w:rFonts w:eastAsia="Calibri"/>
              </w:rPr>
              <w:t xml:space="preserve"> </w:t>
            </w:r>
          </w:p>
          <w:p w14:paraId="20AE8931" w14:textId="4873EB66" w:rsidR="00876E41" w:rsidRDefault="5948D0F2" w:rsidP="608393FD">
            <w:pPr>
              <w:pStyle w:val="Paragraph"/>
              <w:numPr>
                <w:ilvl w:val="0"/>
                <w:numId w:val="4"/>
              </w:numPr>
              <w:rPr>
                <w:rFonts w:eastAsia="Arial"/>
                <w:color w:val="000000" w:themeColor="text1"/>
              </w:rPr>
            </w:pPr>
            <w:r w:rsidRPr="608393FD">
              <w:rPr>
                <w:rFonts w:eastAsia="Calibri"/>
              </w:rPr>
              <w:t xml:space="preserve">At the workspace, select </w:t>
            </w:r>
            <w:r w:rsidRPr="608393FD">
              <w:rPr>
                <w:rFonts w:eastAsia="Calibri"/>
                <w:b/>
                <w:bCs/>
              </w:rPr>
              <w:t>Calibration</w:t>
            </w:r>
            <w:r w:rsidRPr="608393FD">
              <w:rPr>
                <w:rFonts w:eastAsia="Calibri"/>
              </w:rPr>
              <w:t>.</w:t>
            </w:r>
          </w:p>
          <w:p w14:paraId="1927F450" w14:textId="19236D02" w:rsidR="50EA8136" w:rsidRDefault="5948D0F2" w:rsidP="608393FD">
            <w:pPr>
              <w:pStyle w:val="Paragraph"/>
              <w:numPr>
                <w:ilvl w:val="0"/>
                <w:numId w:val="4"/>
              </w:numPr>
              <w:rPr>
                <w:color w:val="000000" w:themeColor="text1"/>
              </w:rPr>
            </w:pPr>
            <w:r w:rsidRPr="608393FD">
              <w:rPr>
                <w:rFonts w:eastAsia="Calibri"/>
              </w:rPr>
              <w:t xml:space="preserve">Select </w:t>
            </w:r>
            <w:r w:rsidRPr="608393FD">
              <w:rPr>
                <w:rFonts w:eastAsia="Calibri"/>
                <w:b/>
                <w:bCs/>
              </w:rPr>
              <w:t>Calibrator Definition</w:t>
            </w:r>
            <w:r w:rsidRPr="608393FD">
              <w:rPr>
                <w:rFonts w:eastAsia="Calibri"/>
              </w:rPr>
              <w:t>.</w:t>
            </w:r>
          </w:p>
          <w:p w14:paraId="47AAAE4E" w14:textId="674E169F" w:rsidR="00876E41" w:rsidRDefault="5948D0F2" w:rsidP="608393FD">
            <w:pPr>
              <w:pStyle w:val="Paragraph"/>
              <w:numPr>
                <w:ilvl w:val="0"/>
                <w:numId w:val="4"/>
              </w:numPr>
              <w:rPr>
                <w:color w:val="000000" w:themeColor="text1"/>
              </w:rPr>
            </w:pPr>
            <w:r w:rsidRPr="608393FD">
              <w:rPr>
                <w:rFonts w:eastAsia="Calibri"/>
              </w:rPr>
              <w:t xml:space="preserve">Select </w:t>
            </w:r>
            <w:r w:rsidRPr="608393FD">
              <w:rPr>
                <w:rFonts w:eastAsia="Calibri"/>
                <w:b/>
                <w:bCs/>
              </w:rPr>
              <w:t>Add Calibrator Definition</w:t>
            </w:r>
            <w:r w:rsidRPr="608393FD">
              <w:rPr>
                <w:rFonts w:eastAsia="Calibri"/>
              </w:rPr>
              <w:t>.</w:t>
            </w:r>
          </w:p>
          <w:p w14:paraId="09912DA6" w14:textId="1841B953" w:rsidR="00876E41" w:rsidRDefault="5948D0F2" w:rsidP="608393FD">
            <w:pPr>
              <w:pStyle w:val="Paragraph"/>
              <w:numPr>
                <w:ilvl w:val="0"/>
                <w:numId w:val="4"/>
              </w:numPr>
              <w:rPr>
                <w:color w:val="000000" w:themeColor="text1"/>
              </w:rPr>
            </w:pPr>
            <w:r w:rsidRPr="608393FD">
              <w:rPr>
                <w:rFonts w:eastAsia="Calibri"/>
              </w:rPr>
              <w:t xml:space="preserve">Use the handheld barcode reader to scan the barcodes, from top to bottom, on the Calibrator Assigned Value card. </w:t>
            </w:r>
          </w:p>
          <w:p w14:paraId="0FF6BFFF" w14:textId="63E3CAAA" w:rsidR="00876E41" w:rsidRDefault="5948D0F2" w:rsidP="608393FD">
            <w:pPr>
              <w:pStyle w:val="Paragraph"/>
              <w:numPr>
                <w:ilvl w:val="0"/>
                <w:numId w:val="4"/>
              </w:numPr>
              <w:rPr>
                <w:color w:val="000000" w:themeColor="text1"/>
              </w:rPr>
            </w:pPr>
            <w:r w:rsidRPr="608393FD">
              <w:rPr>
                <w:rFonts w:eastAsia="Calibri"/>
              </w:rPr>
              <w:t xml:space="preserve">Select </w:t>
            </w:r>
            <w:r w:rsidRPr="608393FD">
              <w:rPr>
                <w:rFonts w:eastAsia="Calibri"/>
                <w:b/>
                <w:bCs/>
              </w:rPr>
              <w:t>Save</w:t>
            </w:r>
            <w:r w:rsidRPr="608393FD">
              <w:rPr>
                <w:rFonts w:eastAsia="Calibri"/>
              </w:rPr>
              <w:t>.</w:t>
            </w:r>
          </w:p>
          <w:p w14:paraId="2B0B203D" w14:textId="3AD29484" w:rsidR="00876E41" w:rsidRDefault="4E2A3C01" w:rsidP="608393FD">
            <w:pPr>
              <w:pStyle w:val="Paragraph"/>
              <w:rPr>
                <w:rFonts w:eastAsia="Calibri"/>
                <w:b/>
                <w:bCs/>
              </w:rPr>
            </w:pPr>
            <w:r w:rsidRPr="608393FD">
              <w:rPr>
                <w:rFonts w:eastAsia="Calibri"/>
                <w:b/>
                <w:bCs/>
              </w:rPr>
              <w:t>Two-Point Calibration Interval</w:t>
            </w:r>
          </w:p>
          <w:p w14:paraId="1D743B51" w14:textId="3BD26F66" w:rsidR="00876E41" w:rsidRDefault="4E2A3C01" w:rsidP="608393FD">
            <w:pPr>
              <w:pStyle w:val="Paragraph"/>
              <w:rPr>
                <w:rFonts w:eastAsia="Calibri"/>
              </w:rPr>
            </w:pPr>
            <w:r w:rsidRPr="608393FD">
              <w:rPr>
                <w:rFonts w:eastAsia="Calibri"/>
              </w:rPr>
              <w:t>Use the TNIH Calibrators provided in the A</w:t>
            </w:r>
            <w:r w:rsidR="3B19339C" w:rsidRPr="608393FD">
              <w:rPr>
                <w:rFonts w:eastAsia="Calibri"/>
              </w:rPr>
              <w:t>DVIA</w:t>
            </w:r>
            <w:r w:rsidRPr="608393FD">
              <w:rPr>
                <w:rFonts w:eastAsia="Calibri"/>
              </w:rPr>
              <w:t xml:space="preserve"> Centaur TNIH reagent kit to perform two-point calibrations.</w:t>
            </w:r>
          </w:p>
          <w:p w14:paraId="13CB1E2D" w14:textId="4822C97F" w:rsidR="00876E41" w:rsidRDefault="10E71A46" w:rsidP="608393FD">
            <w:pPr>
              <w:pStyle w:val="Paragraph"/>
              <w:rPr>
                <w:rFonts w:eastAsia="Calibri"/>
              </w:rPr>
            </w:pPr>
            <w:r w:rsidRPr="608393FD">
              <w:rPr>
                <w:rFonts w:eastAsia="Calibri"/>
              </w:rPr>
              <w:t>Note: The TNIH calibrators provided in this kit are matched to the Solid Phase, Lite Reagent, and Ancillary Reagent. Do not m</w:t>
            </w:r>
            <w:r w:rsidR="7A9315A8" w:rsidRPr="608393FD">
              <w:rPr>
                <w:rFonts w:eastAsia="Calibri"/>
              </w:rPr>
              <w:t>i</w:t>
            </w:r>
            <w:r w:rsidRPr="608393FD">
              <w:rPr>
                <w:rFonts w:eastAsia="Calibri"/>
              </w:rPr>
              <w:t xml:space="preserve">x TNIH calibrator lots with different lots of </w:t>
            </w:r>
            <w:r w:rsidR="491CA803" w:rsidRPr="608393FD">
              <w:rPr>
                <w:rFonts w:eastAsia="Calibri"/>
              </w:rPr>
              <w:t>reagents</w:t>
            </w:r>
            <w:r w:rsidRPr="608393FD">
              <w:rPr>
                <w:rFonts w:eastAsia="Calibri"/>
              </w:rPr>
              <w:t xml:space="preserve">. </w:t>
            </w:r>
          </w:p>
          <w:p w14:paraId="631C7746" w14:textId="7BB186A4" w:rsidR="00876E41" w:rsidRDefault="70398CDE" w:rsidP="608393FD">
            <w:pPr>
              <w:pStyle w:val="Paragraph"/>
              <w:rPr>
                <w:rFonts w:eastAsia="Calibri"/>
              </w:rPr>
            </w:pPr>
            <w:r w:rsidRPr="608393FD">
              <w:rPr>
                <w:rFonts w:eastAsia="Calibri"/>
              </w:rPr>
              <w:t>Prepare the TNIH Calibrators as described below:</w:t>
            </w:r>
          </w:p>
          <w:p w14:paraId="26940603" w14:textId="20A3C85C" w:rsidR="00876E41" w:rsidRDefault="0C50C0BE" w:rsidP="608393FD">
            <w:pPr>
              <w:pStyle w:val="Paragraph"/>
              <w:numPr>
                <w:ilvl w:val="0"/>
                <w:numId w:val="3"/>
              </w:numPr>
              <w:rPr>
                <w:rFonts w:eastAsia="Arial"/>
                <w:color w:val="000000" w:themeColor="text1"/>
              </w:rPr>
            </w:pPr>
            <w:r w:rsidRPr="608393FD">
              <w:rPr>
                <w:rFonts w:eastAsia="Calibri"/>
                <w:b/>
                <w:bCs/>
              </w:rPr>
              <w:t xml:space="preserve">The </w:t>
            </w:r>
            <w:r w:rsidR="25C0475E" w:rsidRPr="608393FD">
              <w:rPr>
                <w:rFonts w:eastAsia="Calibri"/>
                <w:b/>
                <w:bCs/>
              </w:rPr>
              <w:t>low-level</w:t>
            </w:r>
            <w:r w:rsidRPr="608393FD">
              <w:rPr>
                <w:rFonts w:eastAsia="Calibri"/>
                <w:b/>
                <w:bCs/>
              </w:rPr>
              <w:t xml:space="preserve"> calibrator is ready to use</w:t>
            </w:r>
            <w:r w:rsidRPr="608393FD">
              <w:rPr>
                <w:rFonts w:eastAsia="Calibri"/>
              </w:rPr>
              <w:t xml:space="preserve">. </w:t>
            </w:r>
          </w:p>
          <w:p w14:paraId="3CD5EF30" w14:textId="4CEFFF5A" w:rsidR="00876E41" w:rsidRDefault="0C50C0BE" w:rsidP="608393FD">
            <w:pPr>
              <w:pStyle w:val="Paragraph"/>
              <w:numPr>
                <w:ilvl w:val="0"/>
                <w:numId w:val="3"/>
              </w:numPr>
              <w:rPr>
                <w:color w:val="000000" w:themeColor="text1"/>
              </w:rPr>
            </w:pPr>
            <w:r w:rsidRPr="608393FD">
              <w:rPr>
                <w:rFonts w:eastAsia="Calibri"/>
                <w:b/>
                <w:bCs/>
              </w:rPr>
              <w:t xml:space="preserve">The </w:t>
            </w:r>
            <w:r w:rsidR="59398869" w:rsidRPr="608393FD">
              <w:rPr>
                <w:rFonts w:eastAsia="Calibri"/>
                <w:b/>
                <w:bCs/>
              </w:rPr>
              <w:t>high-level</w:t>
            </w:r>
            <w:r w:rsidRPr="608393FD">
              <w:rPr>
                <w:rFonts w:eastAsia="Calibri"/>
                <w:b/>
                <w:bCs/>
              </w:rPr>
              <w:t xml:space="preserve"> calibrator comes lyophilized and must be reconstituted</w:t>
            </w:r>
            <w:r w:rsidR="3F99D468" w:rsidRPr="608393FD">
              <w:rPr>
                <w:rFonts w:eastAsia="Calibri"/>
              </w:rPr>
              <w:t xml:space="preserve">. </w:t>
            </w:r>
          </w:p>
          <w:p w14:paraId="00BA1AD8" w14:textId="2D7A2CB5" w:rsidR="00876E41" w:rsidRDefault="3F99D468" w:rsidP="608393FD">
            <w:pPr>
              <w:pStyle w:val="Paragraph"/>
              <w:numPr>
                <w:ilvl w:val="0"/>
                <w:numId w:val="3"/>
              </w:numPr>
              <w:rPr>
                <w:color w:val="000000" w:themeColor="text1"/>
              </w:rPr>
            </w:pPr>
            <w:r w:rsidRPr="608393FD">
              <w:rPr>
                <w:rFonts w:eastAsia="Calibri"/>
              </w:rPr>
              <w:t xml:space="preserve">Add </w:t>
            </w:r>
            <w:r w:rsidR="0C50C0BE" w:rsidRPr="608393FD">
              <w:rPr>
                <w:rFonts w:eastAsia="Calibri"/>
              </w:rPr>
              <w:t xml:space="preserve">1mL of </w:t>
            </w:r>
            <w:r w:rsidR="2B3541A7" w:rsidRPr="608393FD">
              <w:rPr>
                <w:rFonts w:eastAsia="Calibri"/>
              </w:rPr>
              <w:t xml:space="preserve">reagent water into the </w:t>
            </w:r>
            <w:r w:rsidR="2B3541A7" w:rsidRPr="608393FD">
              <w:rPr>
                <w:rFonts w:eastAsia="Calibri"/>
                <w:b/>
                <w:bCs/>
              </w:rPr>
              <w:t>high-level calibrator vial</w:t>
            </w:r>
            <w:r w:rsidR="2B3541A7" w:rsidRPr="608393FD">
              <w:rPr>
                <w:rFonts w:eastAsia="Calibri"/>
              </w:rPr>
              <w:t xml:space="preserve"> using a volumetric or precision pipet</w:t>
            </w:r>
            <w:r w:rsidR="0C50C0BE" w:rsidRPr="608393FD">
              <w:rPr>
                <w:rFonts w:eastAsia="Calibri"/>
              </w:rPr>
              <w:t>.</w:t>
            </w:r>
          </w:p>
          <w:p w14:paraId="057FDDD5" w14:textId="075C26AF" w:rsidR="00876E41" w:rsidRDefault="0C50C0BE" w:rsidP="608393FD">
            <w:pPr>
              <w:pStyle w:val="Paragraph"/>
              <w:numPr>
                <w:ilvl w:val="0"/>
                <w:numId w:val="3"/>
              </w:numPr>
              <w:rPr>
                <w:color w:val="000000" w:themeColor="text1"/>
              </w:rPr>
            </w:pPr>
            <w:r w:rsidRPr="608393FD">
              <w:rPr>
                <w:rFonts w:eastAsia="Calibri"/>
              </w:rPr>
              <w:t xml:space="preserve">Allow </w:t>
            </w:r>
            <w:r w:rsidR="59095B08" w:rsidRPr="608393FD">
              <w:rPr>
                <w:rFonts w:eastAsia="Calibri"/>
              </w:rPr>
              <w:t xml:space="preserve">the </w:t>
            </w:r>
            <w:r w:rsidR="3BFC3D3F" w:rsidRPr="608393FD">
              <w:rPr>
                <w:rFonts w:eastAsia="Calibri"/>
              </w:rPr>
              <w:t>calibrator</w:t>
            </w:r>
            <w:r w:rsidR="2A58F08D" w:rsidRPr="608393FD">
              <w:rPr>
                <w:rFonts w:eastAsia="Calibri"/>
              </w:rPr>
              <w:t xml:space="preserve"> to sit</w:t>
            </w:r>
            <w:r w:rsidR="3BFC3D3F" w:rsidRPr="608393FD">
              <w:rPr>
                <w:rFonts w:eastAsia="Calibri"/>
              </w:rPr>
              <w:t xml:space="preserve"> </w:t>
            </w:r>
            <w:r w:rsidR="4F0EFDB3" w:rsidRPr="608393FD">
              <w:rPr>
                <w:rFonts w:eastAsia="Calibri"/>
              </w:rPr>
              <w:t>15-20</w:t>
            </w:r>
            <w:r w:rsidR="3BFC3D3F" w:rsidRPr="608393FD">
              <w:rPr>
                <w:rFonts w:eastAsia="Calibri"/>
              </w:rPr>
              <w:t xml:space="preserve"> minutes </w:t>
            </w:r>
            <w:r w:rsidR="15EFB585" w:rsidRPr="608393FD">
              <w:rPr>
                <w:rFonts w:eastAsia="Calibri"/>
              </w:rPr>
              <w:t>at room temperature to allow the lyophilized material to dissolve.</w:t>
            </w:r>
          </w:p>
          <w:p w14:paraId="798B22A2" w14:textId="39FFB4F8" w:rsidR="00876E41" w:rsidRDefault="15EFB585" w:rsidP="608393FD">
            <w:pPr>
              <w:pStyle w:val="Paragraph"/>
              <w:numPr>
                <w:ilvl w:val="0"/>
                <w:numId w:val="3"/>
              </w:numPr>
              <w:rPr>
                <w:color w:val="000000" w:themeColor="text1"/>
              </w:rPr>
            </w:pPr>
            <w:r w:rsidRPr="608393FD">
              <w:rPr>
                <w:rFonts w:eastAsia="Calibri"/>
              </w:rPr>
              <w:t>Gently swirl and invert the vial until homogeneous.</w:t>
            </w:r>
            <w:r w:rsidR="639CA6FE" w:rsidRPr="608393FD">
              <w:rPr>
                <w:rFonts w:eastAsia="Calibri"/>
              </w:rPr>
              <w:t xml:space="preserve"> </w:t>
            </w:r>
            <w:r w:rsidR="0C50C0BE" w:rsidRPr="608393FD">
              <w:rPr>
                <w:rFonts w:eastAsia="Calibri"/>
              </w:rPr>
              <w:t xml:space="preserve"> </w:t>
            </w:r>
          </w:p>
          <w:p w14:paraId="741EF36D" w14:textId="3901E116" w:rsidR="00876E41" w:rsidRDefault="60BD5AD7" w:rsidP="608393FD">
            <w:pPr>
              <w:pStyle w:val="Paragraph"/>
              <w:rPr>
                <w:rFonts w:eastAsia="Calibri"/>
                <w:b/>
                <w:bCs/>
              </w:rPr>
            </w:pPr>
            <w:r w:rsidRPr="608393FD">
              <w:rPr>
                <w:rFonts w:eastAsia="Calibri"/>
                <w:b/>
                <w:bCs/>
              </w:rPr>
              <w:t>Calibration Interval</w:t>
            </w:r>
          </w:p>
          <w:p w14:paraId="79E75E8D" w14:textId="678B9FD3" w:rsidR="00876E41" w:rsidRDefault="60BD5AD7" w:rsidP="608393FD">
            <w:pPr>
              <w:pStyle w:val="Paragraph"/>
              <w:rPr>
                <w:rFonts w:eastAsia="Calibri"/>
              </w:rPr>
            </w:pPr>
            <w:r w:rsidRPr="608393FD">
              <w:rPr>
                <w:rFonts w:eastAsia="Calibri"/>
              </w:rPr>
              <w:t>Use Calibrator TNIH to perform two-point calibrations.</w:t>
            </w:r>
          </w:p>
          <w:p w14:paraId="130097BD" w14:textId="579D91FE" w:rsidR="00876E41" w:rsidRDefault="60BD5AD7" w:rsidP="608393FD">
            <w:pPr>
              <w:pStyle w:val="Paragraph"/>
              <w:rPr>
                <w:rFonts w:eastAsia="Calibri"/>
              </w:rPr>
            </w:pPr>
            <w:r w:rsidRPr="608393FD">
              <w:rPr>
                <w:rFonts w:eastAsia="Calibri"/>
              </w:rPr>
              <w:t>Perform two-point calibration every 28 days and:</w:t>
            </w:r>
          </w:p>
          <w:p w14:paraId="1C598DBD" w14:textId="69B3EF2A" w:rsidR="00876E41" w:rsidRDefault="60BD5AD7" w:rsidP="608393FD">
            <w:pPr>
              <w:pStyle w:val="Paragraph"/>
              <w:numPr>
                <w:ilvl w:val="0"/>
                <w:numId w:val="2"/>
              </w:numPr>
              <w:rPr>
                <w:rFonts w:eastAsia="Arial"/>
                <w:color w:val="000000" w:themeColor="text1"/>
              </w:rPr>
            </w:pPr>
            <w:r w:rsidRPr="608393FD">
              <w:rPr>
                <w:rFonts w:eastAsia="Calibri"/>
              </w:rPr>
              <w:t>When changing lot numbers of primary reagent packs</w:t>
            </w:r>
          </w:p>
          <w:p w14:paraId="0E2B8D30" w14:textId="4FC098D3" w:rsidR="00876E41" w:rsidRDefault="60BD5AD7" w:rsidP="608393FD">
            <w:pPr>
              <w:pStyle w:val="Paragraph"/>
              <w:numPr>
                <w:ilvl w:val="0"/>
                <w:numId w:val="2"/>
              </w:numPr>
              <w:rPr>
                <w:color w:val="000000" w:themeColor="text1"/>
              </w:rPr>
            </w:pPr>
            <w:r w:rsidRPr="608393FD">
              <w:rPr>
                <w:rFonts w:eastAsia="Calibri"/>
              </w:rPr>
              <w:t>When replacing system components</w:t>
            </w:r>
          </w:p>
          <w:p w14:paraId="0B7E07C1" w14:textId="1CBB13AE" w:rsidR="00876E41" w:rsidRDefault="60BD5AD7" w:rsidP="608393FD">
            <w:pPr>
              <w:pStyle w:val="Paragraph"/>
              <w:numPr>
                <w:ilvl w:val="0"/>
                <w:numId w:val="2"/>
              </w:numPr>
              <w:rPr>
                <w:color w:val="000000" w:themeColor="text1"/>
              </w:rPr>
            </w:pPr>
            <w:r w:rsidRPr="608393FD">
              <w:rPr>
                <w:rFonts w:eastAsia="Calibri"/>
              </w:rPr>
              <w:t xml:space="preserve">When quality control results are repeatedly out of </w:t>
            </w:r>
            <w:r w:rsidR="7F965334" w:rsidRPr="608393FD">
              <w:rPr>
                <w:rFonts w:eastAsia="Calibri"/>
              </w:rPr>
              <w:t>range</w:t>
            </w:r>
          </w:p>
        </w:tc>
      </w:tr>
      <w:tr w:rsidR="00876E41" w14:paraId="0B7E07C4"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C3" w14:textId="77777777" w:rsidR="00876E41" w:rsidRDefault="005118FF" w:rsidP="608393FD">
            <w:pPr>
              <w:pStyle w:val="Heading1"/>
              <w:outlineLvl w:val="0"/>
            </w:pPr>
            <w:r>
              <w:lastRenderedPageBreak/>
              <w:t>Quality Control Material</w:t>
            </w:r>
          </w:p>
        </w:tc>
      </w:tr>
      <w:tr w:rsidR="00876E41" w14:paraId="0B7E07C6" w14:textId="77777777" w:rsidTr="608393FD">
        <w:trPr>
          <w:cantSplit/>
        </w:trPr>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269CAFC5" w14:textId="646947FA" w:rsidR="00876E41" w:rsidRDefault="14907251" w:rsidP="608393FD">
            <w:pPr>
              <w:pStyle w:val="Paragraph"/>
              <w:spacing w:line="259" w:lineRule="auto"/>
            </w:pPr>
            <w:r w:rsidRPr="608393FD">
              <w:t xml:space="preserve">Use </w:t>
            </w:r>
            <w:proofErr w:type="spellStart"/>
            <w:r w:rsidRPr="608393FD">
              <w:t>BioRad</w:t>
            </w:r>
            <w:proofErr w:type="spellEnd"/>
            <w:r w:rsidRPr="608393FD">
              <w:t xml:space="preserve"> Cardiac Markers Level 1B, 2 and 3 quality control materials to monitor assay performance. </w:t>
            </w:r>
          </w:p>
          <w:p w14:paraId="62927EE8" w14:textId="61EF99FF" w:rsidR="00876E41" w:rsidRDefault="416CA704" w:rsidP="608393FD">
            <w:pPr>
              <w:pStyle w:val="Paragraph"/>
              <w:spacing w:line="259" w:lineRule="auto"/>
              <w:rPr>
                <w:rFonts w:eastAsia="Calibri"/>
              </w:rPr>
            </w:pPr>
            <w:r w:rsidRPr="608393FD">
              <w:rPr>
                <w:rFonts w:eastAsia="Calibri"/>
              </w:rPr>
              <w:t>Analyze at least two levels of quality control material on each day that samples are analyzed.</w:t>
            </w:r>
          </w:p>
          <w:p w14:paraId="3F3B466F" w14:textId="3A7C7C34" w:rsidR="00876E41" w:rsidRDefault="416CA704" w:rsidP="608393FD">
            <w:pPr>
              <w:pStyle w:val="Paragraph"/>
              <w:spacing w:line="259" w:lineRule="auto"/>
              <w:rPr>
                <w:rFonts w:eastAsia="Calibri"/>
              </w:rPr>
            </w:pPr>
            <w:r w:rsidRPr="608393FD">
              <w:rPr>
                <w:rFonts w:eastAsia="Calibri"/>
              </w:rPr>
              <w:t>Analyze all levels of quality control materials each time a two-point calibration is performed.</w:t>
            </w:r>
          </w:p>
          <w:p w14:paraId="55FAA2FA" w14:textId="5425CB94" w:rsidR="00876E41" w:rsidRDefault="416CA704" w:rsidP="608393FD">
            <w:pPr>
              <w:pStyle w:val="Paragraph"/>
              <w:spacing w:line="259" w:lineRule="auto"/>
              <w:rPr>
                <w:rFonts w:eastAsia="Calibri"/>
              </w:rPr>
            </w:pPr>
            <w:r w:rsidRPr="608393FD">
              <w:rPr>
                <w:rFonts w:eastAsia="Calibri"/>
              </w:rPr>
              <w:t xml:space="preserve">For detailed QC procedural information refer to the operator’s manual or on-board help. </w:t>
            </w:r>
          </w:p>
          <w:p w14:paraId="740C0355" w14:textId="2EE680A3" w:rsidR="00876E41" w:rsidRDefault="7D4194F2" w:rsidP="608393FD">
            <w:pPr>
              <w:pStyle w:val="Paragraph"/>
              <w:spacing w:line="259" w:lineRule="auto"/>
              <w:rPr>
                <w:rFonts w:eastAsia="Calibri"/>
                <w:b/>
                <w:bCs/>
              </w:rPr>
            </w:pPr>
            <w:r w:rsidRPr="608393FD">
              <w:rPr>
                <w:rFonts w:eastAsia="Calibri"/>
                <w:b/>
                <w:bCs/>
              </w:rPr>
              <w:t>Troubleshooting Out-of</w:t>
            </w:r>
            <w:r w:rsidR="4996930E" w:rsidRPr="608393FD">
              <w:rPr>
                <w:rFonts w:eastAsia="Calibri"/>
                <w:b/>
                <w:bCs/>
              </w:rPr>
              <w:t>-</w:t>
            </w:r>
            <w:r w:rsidRPr="608393FD">
              <w:rPr>
                <w:rFonts w:eastAsia="Calibri"/>
                <w:b/>
                <w:bCs/>
              </w:rPr>
              <w:t>Range QC Values</w:t>
            </w:r>
          </w:p>
          <w:p w14:paraId="7675E36A" w14:textId="48D26FFB" w:rsidR="00876E41" w:rsidRDefault="7D4194F2" w:rsidP="608393FD">
            <w:pPr>
              <w:pStyle w:val="Paragraph"/>
              <w:spacing w:line="259" w:lineRule="auto"/>
              <w:rPr>
                <w:rFonts w:eastAsia="Calibri"/>
              </w:rPr>
            </w:pPr>
            <w:r w:rsidRPr="608393FD">
              <w:rPr>
                <w:rFonts w:eastAsia="Calibri"/>
              </w:rPr>
              <w:t>If the quality control results do not fall within the Expected Values or within the laboratory’s established values, do not report results. Take t</w:t>
            </w:r>
            <w:r w:rsidR="3FFE7337" w:rsidRPr="608393FD">
              <w:rPr>
                <w:rFonts w:eastAsia="Calibri"/>
              </w:rPr>
              <w:t>he following actions:</w:t>
            </w:r>
          </w:p>
          <w:p w14:paraId="4684FD87" w14:textId="3063A1CE" w:rsidR="00876E41" w:rsidRDefault="3FFE7337" w:rsidP="608393FD">
            <w:pPr>
              <w:pStyle w:val="Paragraph"/>
              <w:numPr>
                <w:ilvl w:val="0"/>
                <w:numId w:val="1"/>
              </w:numPr>
              <w:spacing w:line="259" w:lineRule="auto"/>
              <w:rPr>
                <w:rFonts w:eastAsia="Arial"/>
                <w:color w:val="000000" w:themeColor="text1"/>
              </w:rPr>
            </w:pPr>
            <w:r w:rsidRPr="608393FD">
              <w:rPr>
                <w:rFonts w:eastAsia="Calibri"/>
              </w:rPr>
              <w:t>Verify that the materials are not expired.</w:t>
            </w:r>
          </w:p>
          <w:p w14:paraId="5EC565DB" w14:textId="47803D8E" w:rsidR="00876E41" w:rsidRDefault="3FFE7337" w:rsidP="608393FD">
            <w:pPr>
              <w:pStyle w:val="Paragraph"/>
              <w:numPr>
                <w:ilvl w:val="0"/>
                <w:numId w:val="1"/>
              </w:numPr>
              <w:spacing w:line="259" w:lineRule="auto"/>
              <w:rPr>
                <w:color w:val="000000" w:themeColor="text1"/>
              </w:rPr>
            </w:pPr>
            <w:r w:rsidRPr="608393FD">
              <w:rPr>
                <w:rFonts w:eastAsia="Calibri"/>
              </w:rPr>
              <w:t>Verify that required maintenance was performed.</w:t>
            </w:r>
          </w:p>
          <w:p w14:paraId="0D262323" w14:textId="5A7DA7CB" w:rsidR="00876E41" w:rsidRDefault="3FFE7337" w:rsidP="608393FD">
            <w:pPr>
              <w:pStyle w:val="Paragraph"/>
              <w:numPr>
                <w:ilvl w:val="0"/>
                <w:numId w:val="1"/>
              </w:numPr>
              <w:spacing w:line="259" w:lineRule="auto"/>
              <w:rPr>
                <w:color w:val="000000" w:themeColor="text1"/>
              </w:rPr>
            </w:pPr>
            <w:r w:rsidRPr="608393FD">
              <w:rPr>
                <w:rFonts w:eastAsia="Calibri"/>
              </w:rPr>
              <w:t xml:space="preserve">Verify that the assay was performed according to the instructions for use. </w:t>
            </w:r>
          </w:p>
          <w:p w14:paraId="5CFDD761" w14:textId="35F91CBC" w:rsidR="00876E41" w:rsidRDefault="3FFE7337" w:rsidP="608393FD">
            <w:pPr>
              <w:pStyle w:val="Paragraph"/>
              <w:numPr>
                <w:ilvl w:val="0"/>
                <w:numId w:val="1"/>
              </w:numPr>
              <w:spacing w:line="259" w:lineRule="auto"/>
              <w:rPr>
                <w:color w:val="000000" w:themeColor="text1"/>
              </w:rPr>
            </w:pPr>
            <w:r w:rsidRPr="608393FD">
              <w:rPr>
                <w:rFonts w:eastAsia="Calibri"/>
              </w:rPr>
              <w:t>Rerun the assay with fresh quality control samples.</w:t>
            </w:r>
          </w:p>
          <w:p w14:paraId="245167F3" w14:textId="08F95CA1" w:rsidR="31243CED" w:rsidRDefault="31243CED" w:rsidP="608393FD">
            <w:pPr>
              <w:pStyle w:val="Paragraph"/>
              <w:numPr>
                <w:ilvl w:val="0"/>
                <w:numId w:val="1"/>
              </w:numPr>
              <w:spacing w:line="259" w:lineRule="auto"/>
              <w:rPr>
                <w:color w:val="000000" w:themeColor="text1"/>
              </w:rPr>
            </w:pPr>
            <w:r w:rsidRPr="608393FD">
              <w:rPr>
                <w:rFonts w:eastAsia="Calibri"/>
              </w:rPr>
              <w:t xml:space="preserve">Recalibrate the assay if indicated. </w:t>
            </w:r>
          </w:p>
          <w:p w14:paraId="0A17322F" w14:textId="1B2E5020" w:rsidR="00876E41" w:rsidRDefault="3FFE7337" w:rsidP="608393FD">
            <w:pPr>
              <w:pStyle w:val="Paragraph"/>
              <w:numPr>
                <w:ilvl w:val="0"/>
                <w:numId w:val="1"/>
              </w:numPr>
              <w:spacing w:line="259" w:lineRule="auto"/>
              <w:rPr>
                <w:color w:val="000000" w:themeColor="text1"/>
              </w:rPr>
            </w:pPr>
            <w:r w:rsidRPr="608393FD">
              <w:rPr>
                <w:rFonts w:eastAsia="Calibri"/>
              </w:rPr>
              <w:t>If necessary, contact your local technical support provider or distributor for assistance.</w:t>
            </w:r>
          </w:p>
          <w:p w14:paraId="6B0D5C92" w14:textId="7015BDA0" w:rsidR="00876E41" w:rsidRDefault="3FFE7337" w:rsidP="608393FD">
            <w:pPr>
              <w:pStyle w:val="Paragraph"/>
              <w:spacing w:line="259" w:lineRule="auto"/>
              <w:rPr>
                <w:rFonts w:eastAsia="Calibri"/>
                <w:b/>
                <w:bCs/>
              </w:rPr>
            </w:pPr>
            <w:r w:rsidRPr="608393FD">
              <w:rPr>
                <w:rFonts w:eastAsia="Calibri"/>
                <w:b/>
                <w:bCs/>
              </w:rPr>
              <w:t>Corrective Action</w:t>
            </w:r>
          </w:p>
          <w:p w14:paraId="31F37128" w14:textId="4ED2164C" w:rsidR="00876E41" w:rsidRDefault="3FFE7337" w:rsidP="608393FD">
            <w:pPr>
              <w:pStyle w:val="Paragraph"/>
              <w:spacing w:line="259" w:lineRule="auto"/>
              <w:rPr>
                <w:rFonts w:eastAsia="Calibri"/>
              </w:rPr>
            </w:pPr>
            <w:r w:rsidRPr="608393FD">
              <w:rPr>
                <w:rFonts w:eastAsia="Calibri"/>
              </w:rPr>
              <w:t>Patient test results must be repeated, and corrective action taken when QC results fall outside of acceptable limits</w:t>
            </w:r>
            <w:r w:rsidR="5D083DAE" w:rsidRPr="608393FD">
              <w:rPr>
                <w:rFonts w:eastAsia="Calibri"/>
              </w:rPr>
              <w:t xml:space="preserve"> </w:t>
            </w:r>
            <w:r w:rsidR="005F1A95">
              <w:rPr>
                <w:rFonts w:eastAsia="Calibri"/>
              </w:rPr>
              <w:t xml:space="preserve">as determined by </w:t>
            </w:r>
            <w:r w:rsidR="5D083DAE" w:rsidRPr="005F1A95">
              <w:rPr>
                <w:rFonts w:eastAsia="Calibri"/>
              </w:rPr>
              <w:t>red range/backtrack range</w:t>
            </w:r>
            <w:r w:rsidRPr="005F1A95">
              <w:rPr>
                <w:rFonts w:eastAsia="Calibri"/>
              </w:rPr>
              <w:t xml:space="preserve">. </w:t>
            </w:r>
            <w:r w:rsidR="07B45374" w:rsidRPr="005F1A95">
              <w:rPr>
                <w:rFonts w:eastAsia="Calibri"/>
              </w:rPr>
              <w:t xml:space="preserve"> </w:t>
            </w:r>
            <w:commentRangeStart w:id="7"/>
            <w:commentRangeEnd w:id="7"/>
            <w:r w:rsidRPr="005F1A95">
              <w:rPr>
                <w:rStyle w:val="CommentReference"/>
              </w:rPr>
              <w:commentReference w:id="7"/>
            </w:r>
          </w:p>
          <w:p w14:paraId="0B7E07C5" w14:textId="2FC8905A" w:rsidR="00876E41" w:rsidRDefault="00876E41" w:rsidP="2A68337F">
            <w:pPr>
              <w:pStyle w:val="Paragraph"/>
              <w:spacing w:line="259" w:lineRule="auto"/>
              <w:rPr>
                <w:rFonts w:eastAsia="Calibri"/>
              </w:rPr>
            </w:pPr>
          </w:p>
        </w:tc>
      </w:tr>
      <w:tr w:rsidR="00876E41" w14:paraId="0B7E07C8" w14:textId="77777777" w:rsidTr="608393FD">
        <w:trPr>
          <w:cantSplit/>
        </w:trPr>
        <w:tc>
          <w:tcPr>
            <w:tcW w:w="9576" w:type="dxa"/>
            <w:gridSpan w:val="4"/>
            <w:tcBorders>
              <w:bottom w:val="single" w:sz="4" w:space="0" w:color="auto"/>
              <w:right w:val="single" w:sz="4" w:space="0" w:color="auto"/>
            </w:tcBorders>
            <w:tcMar>
              <w:top w:w="58" w:type="dxa"/>
              <w:left w:w="29" w:type="dxa"/>
              <w:bottom w:w="58" w:type="dxa"/>
              <w:right w:w="29" w:type="dxa"/>
            </w:tcMar>
            <w:vAlign w:val="center"/>
          </w:tcPr>
          <w:p w14:paraId="0B7E07C7" w14:textId="77777777" w:rsidR="00876E41" w:rsidRDefault="005118FF">
            <w:pPr>
              <w:pStyle w:val="Heading1"/>
              <w:outlineLvl w:val="0"/>
              <w:rPr>
                <w:szCs w:val="24"/>
              </w:rPr>
            </w:pPr>
            <w:r>
              <w:rPr>
                <w:szCs w:val="24"/>
              </w:rPr>
              <w:t>Interferences</w:t>
            </w:r>
          </w:p>
        </w:tc>
      </w:tr>
      <w:tr w:rsidR="00876E41" w14:paraId="0B7E07D7" w14:textId="77777777" w:rsidTr="608393FD">
        <w:tc>
          <w:tcPr>
            <w:tcW w:w="9576" w:type="dxa"/>
            <w:gridSpan w:val="4"/>
            <w:tcBorders>
              <w:top w:val="single" w:sz="4" w:space="0" w:color="auto"/>
              <w:bottom w:val="single" w:sz="4" w:space="0" w:color="auto"/>
              <w:right w:val="single" w:sz="4" w:space="0" w:color="auto"/>
            </w:tcBorders>
            <w:tcMar>
              <w:top w:w="58" w:type="dxa"/>
              <w:left w:w="29" w:type="dxa"/>
              <w:bottom w:w="58" w:type="dxa"/>
              <w:right w:w="29" w:type="dxa"/>
            </w:tcMar>
            <w:vAlign w:val="center"/>
          </w:tcPr>
          <w:p w14:paraId="0B7E07C9" w14:textId="77777777" w:rsidR="002F6292" w:rsidRDefault="002F6292" w:rsidP="002F6292">
            <w:pPr>
              <w:pStyle w:val="Paragraph"/>
            </w:pPr>
            <w:r>
              <w:t xml:space="preserve">Potential interference in the ADVIA Centaur TNIH assay from the compounds listed below is designed to </w:t>
            </w:r>
            <w:r w:rsidR="002266FA">
              <w:br/>
            </w:r>
            <w:r>
              <w:t xml:space="preserve">be ≤ 10%. Interfering substances at the levels indicated were tested as described in CLSI Document </w:t>
            </w:r>
            <w:r w:rsidR="002266FA">
              <w:br/>
            </w:r>
            <w:r>
              <w:t>EP07-A2 using the ADVIA Centaur TNIH assay.</w:t>
            </w:r>
          </w:p>
          <w:p w14:paraId="0B7E07CA" w14:textId="77777777" w:rsidR="002F6292" w:rsidRDefault="002F6292" w:rsidP="007501F3">
            <w:pPr>
              <w:pStyle w:val="Paragraph"/>
            </w:pPr>
            <w:r>
              <w:rPr>
                <w:noProof/>
              </w:rPr>
              <w:drawing>
                <wp:inline distT="0" distB="0" distL="0" distR="0" wp14:anchorId="0B7E0802" wp14:editId="6A293717">
                  <wp:extent cx="4867274" cy="2230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4867274" cy="2230834"/>
                          </a:xfrm>
                          <a:prstGeom prst="rect">
                            <a:avLst/>
                          </a:prstGeom>
                        </pic:spPr>
                      </pic:pic>
                    </a:graphicData>
                  </a:graphic>
                </wp:inline>
              </w:drawing>
            </w:r>
          </w:p>
          <w:p w14:paraId="0B7E07CB" w14:textId="58AEC3C4" w:rsidR="002F6292" w:rsidRDefault="002F6292" w:rsidP="002F6292">
            <w:pPr>
              <w:pStyle w:val="Paragraph"/>
            </w:pPr>
            <w:r>
              <w:lastRenderedPageBreak/>
              <w:t xml:space="preserve">Testing was performed with both human serum and lithium-heparin plasma samples, with troponin concentrations in the ranges of 20–60 pg/mL (ng/L) and 1000–2000 pg/mL (ng/L). The following drugs were added to the samples at the concentrations </w:t>
            </w:r>
            <w:r w:rsidR="40E59D0D">
              <w:t>indicated and</w:t>
            </w:r>
            <w:r>
              <w:t xml:space="preserve"> were evaluated for potential interference in the ADVIA Centaur TNIH assay. The results demonstrated a ≤ 10% interference from each drug.</w:t>
            </w:r>
          </w:p>
          <w:p w14:paraId="0B7E07CC" w14:textId="77777777" w:rsidR="002F6292" w:rsidRDefault="002F6292" w:rsidP="007501F3">
            <w:pPr>
              <w:pStyle w:val="Paragraph"/>
            </w:pPr>
            <w:r>
              <w:rPr>
                <w:color w:val="2B579A"/>
                <w:shd w:val="clear" w:color="auto" w:fill="E6E6E6"/>
              </w:rPr>
              <w:object w:dxaOrig="7845" w:dyaOrig="10635" w14:anchorId="0B7E0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6pt;height:556.8pt" o:ole="">
                  <v:imagedata r:id="rId17" o:title=""/>
                </v:shape>
                <o:OLEObject Type="Embed" ProgID="PBrush" ShapeID="_x0000_i1025" DrawAspect="Content" ObjectID="_1684233984" r:id="rId18"/>
              </w:object>
            </w:r>
          </w:p>
          <w:p w14:paraId="0B7E07CD" w14:textId="77777777" w:rsidR="002F6292" w:rsidRDefault="002F6292" w:rsidP="007501F3">
            <w:pPr>
              <w:pStyle w:val="Paragraph"/>
            </w:pPr>
            <w:r>
              <w:rPr>
                <w:noProof/>
              </w:rPr>
              <w:lastRenderedPageBreak/>
              <w:drawing>
                <wp:inline distT="0" distB="0" distL="0" distR="0" wp14:anchorId="0B7E0805" wp14:editId="084EF9CB">
                  <wp:extent cx="4955686" cy="422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4955686" cy="4229100"/>
                          </a:xfrm>
                          <a:prstGeom prst="rect">
                            <a:avLst/>
                          </a:prstGeom>
                        </pic:spPr>
                      </pic:pic>
                    </a:graphicData>
                  </a:graphic>
                </wp:inline>
              </w:drawing>
            </w:r>
          </w:p>
          <w:p w14:paraId="0B7E07CE" w14:textId="77777777" w:rsidR="00F534B1" w:rsidRDefault="00F534B1" w:rsidP="002F6292">
            <w:pPr>
              <w:pStyle w:val="Subheading"/>
            </w:pPr>
            <w:r>
              <w:t>Specificity</w:t>
            </w:r>
          </w:p>
          <w:p w14:paraId="0B7E07CF" w14:textId="77777777" w:rsidR="00F534B1" w:rsidRDefault="00F534B1" w:rsidP="00F534B1">
            <w:pPr>
              <w:pStyle w:val="Paragraph"/>
            </w:pPr>
            <w:r>
              <w:t xml:space="preserve">The ADVIA Centaur TNIH assay shows high specificity for cTnI. The following compounds were added at the concentrations indicated to a serum or lithium heparin sample with a known cTnI concentration. ADVIA Centaur TNIH assay results from the spiked samples were compared with those of </w:t>
            </w:r>
            <w:proofErr w:type="spellStart"/>
            <w:r>
              <w:t>unspiked</w:t>
            </w:r>
            <w:proofErr w:type="spellEnd"/>
            <w:r>
              <w:t xml:space="preserve"> control samples. Percent cross-reactivity was determined in accordance with CLSI Document EP07-A2 and is calculated as:</w:t>
            </w:r>
          </w:p>
          <w:p w14:paraId="0B7E07D0" w14:textId="77777777" w:rsidR="00F534B1" w:rsidRPr="00F534B1" w:rsidRDefault="00F534B1" w:rsidP="00F534B1">
            <w:pPr>
              <w:pStyle w:val="Paragraph"/>
            </w:pPr>
            <w:r>
              <w:rPr>
                <w:noProof/>
              </w:rPr>
              <w:drawing>
                <wp:inline distT="0" distB="0" distL="0" distR="0" wp14:anchorId="0B7E0807" wp14:editId="10C66A61">
                  <wp:extent cx="5338692" cy="2409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5338692" cy="2409825"/>
                          </a:xfrm>
                          <a:prstGeom prst="rect">
                            <a:avLst/>
                          </a:prstGeom>
                        </pic:spPr>
                      </pic:pic>
                    </a:graphicData>
                  </a:graphic>
                </wp:inline>
              </w:drawing>
            </w:r>
          </w:p>
          <w:p w14:paraId="67658697" w14:textId="77777777" w:rsidR="00C871CF" w:rsidRDefault="00C871CF" w:rsidP="002F6292">
            <w:pPr>
              <w:pStyle w:val="Subheading"/>
            </w:pPr>
          </w:p>
          <w:p w14:paraId="0B7E07D1" w14:textId="56E69817" w:rsidR="002F6292" w:rsidRDefault="002F6292" w:rsidP="002F6292">
            <w:pPr>
              <w:pStyle w:val="Subheading"/>
            </w:pPr>
            <w:r>
              <w:lastRenderedPageBreak/>
              <w:t>High-Dose Hook Effect</w:t>
            </w:r>
          </w:p>
          <w:p w14:paraId="0B7E07D2" w14:textId="77777777" w:rsidR="002F6292" w:rsidRDefault="002F6292" w:rsidP="002F6292">
            <w:pPr>
              <w:pStyle w:val="Paragraph"/>
            </w:pPr>
            <w:r>
              <w:t>No hook effect has been observed in patient samples with cTnI levels as high as 500,000 pg/mL (ng/L).</w:t>
            </w:r>
          </w:p>
          <w:p w14:paraId="0B7E07D3" w14:textId="7CDA90FC" w:rsidR="007501F3" w:rsidRDefault="007501F3" w:rsidP="003954E6">
            <w:pPr>
              <w:pStyle w:val="Heading1"/>
              <w:outlineLvl w:val="0"/>
            </w:pPr>
            <w:r>
              <w:t>Other</w:t>
            </w:r>
            <w:r w:rsidR="00FF00A5">
              <w:t>- Limitations</w:t>
            </w:r>
          </w:p>
          <w:p w14:paraId="689EEBAA" w14:textId="4C95B1BE" w:rsidR="001218ED" w:rsidRPr="0052267A" w:rsidRDefault="002E2B26" w:rsidP="0052267A">
            <w:pPr>
              <w:pStyle w:val="Bullet"/>
            </w:pPr>
            <w:r>
              <w:t xml:space="preserve">The use of a single sample type (either lithium heparin or serum) is </w:t>
            </w:r>
            <w:r w:rsidR="74F3ECBC">
              <w:t>recommended for</w:t>
            </w:r>
            <w:r>
              <w:t xml:space="preserve"> troponin analysis when collecting serial samples from the same patient.</w:t>
            </w:r>
          </w:p>
          <w:p w14:paraId="6DDEC490" w14:textId="6D573F17" w:rsidR="001218ED" w:rsidRDefault="0052267A" w:rsidP="002E2B26">
            <w:pPr>
              <w:pStyle w:val="Bullet"/>
            </w:pPr>
            <w:r w:rsidRPr="608393FD">
              <w:rPr>
                <w:lang w:val="de-DE"/>
              </w:rPr>
              <w:t xml:space="preserve"> Serum is acceptable per Siemens, but has not been validated by Lifespan Labs</w:t>
            </w:r>
            <w:r w:rsidR="005D5793" w:rsidRPr="608393FD">
              <w:rPr>
                <w:lang w:val="de-DE"/>
              </w:rPr>
              <w:t>.</w:t>
            </w:r>
          </w:p>
          <w:p w14:paraId="78AB1428" w14:textId="77777777" w:rsidR="002E2B26" w:rsidRDefault="002E2B26" w:rsidP="002E2B26">
            <w:pPr>
              <w:pStyle w:val="Bullet"/>
            </w:pPr>
            <w:r>
              <w:t xml:space="preserve"> If clotting time is increased due to thrombolytic or anticoagulant therapy, using serum samples may increase the risk of micro-clots, fibrin, or particulate matter. Lithium heparin plasma is the preferred sample type for patients undergoing anticoagulant therapy.</w:t>
            </w:r>
          </w:p>
          <w:p w14:paraId="563137A5" w14:textId="77777777" w:rsidR="002E2B26" w:rsidRDefault="002E2B26" w:rsidP="002E2B26">
            <w:pPr>
              <w:pStyle w:val="Bullet"/>
            </w:pPr>
            <w:r>
              <w:t>Specimens from some individuals with pathologically high gamma globulin levels may demonstrate depressed troponin values. Additional information may be required for diagnosis.</w:t>
            </w:r>
          </w:p>
          <w:p w14:paraId="0B7E07D4" w14:textId="77777777" w:rsidR="002F6292" w:rsidRDefault="002F6292" w:rsidP="002F6292">
            <w:pPr>
              <w:pStyle w:val="Bullet"/>
            </w:pPr>
            <w:r>
              <w:t>Heterophilic antibodies and rheumatoid factor in human serum can react with reagent immunoglobulins, interfering with in vitro immunoassays. Patients routinely exposed to animals or to animal serum products can be prone to this interference and anomalous values may be observed. Additional information may be required for diagnosis.</w:t>
            </w:r>
          </w:p>
          <w:p w14:paraId="0B7E07D5" w14:textId="77777777" w:rsidR="002F6292" w:rsidRDefault="002F6292" w:rsidP="002F6292">
            <w:pPr>
              <w:pStyle w:val="Bullet"/>
            </w:pPr>
            <w:r>
              <w:t>Samples from patients receiving preparations of mouse monoclonal antibodies for therapy or diagnosis may contain human anti-mouse antibodies (HAMA). Such samples may show either falsely elevated or falsely depressed values when tested with this method.</w:t>
            </w:r>
          </w:p>
          <w:p w14:paraId="0B7E07D6" w14:textId="77777777" w:rsidR="00264D36" w:rsidRDefault="002F6292" w:rsidP="00F534B1">
            <w:pPr>
              <w:pStyle w:val="Bullet"/>
            </w:pPr>
            <w:r>
              <w:t>An unknown interference was observed in analytical spiking and dilution studies causing negative bias that may affect interpretation of patient results. The unknown interference may be due to the presence of troponin autoantibodies, which have been reported in up to 10% of patients with or without AMI and up to 20% of patients positive for rheumatoid factor</w:t>
            </w:r>
            <w:r w:rsidRPr="002E2B26">
              <w:t>. If the cTnI result is below the 99th percentile value at the first blood draw, at least two additional blood samples should be drawn before results are interpreted as negative for AMI.</w:t>
            </w:r>
          </w:p>
        </w:tc>
      </w:tr>
      <w:tr w:rsidR="00876E41" w14:paraId="0B7E07D9"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D8" w14:textId="77777777" w:rsidR="00876E41" w:rsidRDefault="005118FF">
            <w:pPr>
              <w:pStyle w:val="Heading1"/>
              <w:outlineLvl w:val="0"/>
              <w:rPr>
                <w:szCs w:val="24"/>
              </w:rPr>
            </w:pPr>
            <w:r>
              <w:rPr>
                <w:szCs w:val="24"/>
              </w:rPr>
              <w:lastRenderedPageBreak/>
              <w:t>Calculation of Results</w:t>
            </w:r>
          </w:p>
        </w:tc>
      </w:tr>
      <w:tr w:rsidR="00876E41" w14:paraId="0B7E07DC" w14:textId="77777777" w:rsidTr="608393FD">
        <w:trPr>
          <w:cantSplit/>
        </w:trPr>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p w14:paraId="0B7E07DA" w14:textId="77777777" w:rsidR="00F534B1" w:rsidRDefault="00F534B1" w:rsidP="00F534B1">
            <w:pPr>
              <w:pStyle w:val="Paragraph"/>
            </w:pPr>
            <w:r>
              <w:t>The instrument reports troponin I results in pg/mL (common units) or ng/L (SI units), depending on the units defined when setting up the assay.</w:t>
            </w:r>
          </w:p>
          <w:p w14:paraId="0B7E07DB" w14:textId="5CAD7098" w:rsidR="00876E41" w:rsidRDefault="76A111E7" w:rsidP="608393FD">
            <w:pPr>
              <w:pStyle w:val="Paragraph"/>
              <w:spacing w:line="259" w:lineRule="auto"/>
              <w:rPr>
                <w:rFonts w:eastAsia="Calibri"/>
              </w:rPr>
            </w:pPr>
            <w:r>
              <w:t xml:space="preserve">   Lifespan Labs will report in ng/L</w:t>
            </w:r>
          </w:p>
        </w:tc>
      </w:tr>
      <w:tr w:rsidR="00876E41" w14:paraId="0B7E07DE"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DD" w14:textId="77777777" w:rsidR="00876E41" w:rsidRDefault="005118FF">
            <w:pPr>
              <w:pStyle w:val="Heading1"/>
              <w:outlineLvl w:val="0"/>
              <w:rPr>
                <w:szCs w:val="24"/>
              </w:rPr>
            </w:pPr>
            <w:r>
              <w:rPr>
                <w:szCs w:val="24"/>
              </w:rPr>
              <w:t>Analytical Measuring Range</w:t>
            </w:r>
          </w:p>
        </w:tc>
      </w:tr>
      <w:tr w:rsidR="00876E41" w14:paraId="0B7E07E0" w14:textId="77777777" w:rsidTr="608393FD">
        <w:trPr>
          <w:cantSplit/>
        </w:trPr>
        <w:tc>
          <w:tcPr>
            <w:tcW w:w="9576" w:type="dxa"/>
            <w:gridSpan w:val="4"/>
            <w:tcBorders>
              <w:top w:val="nil"/>
              <w:right w:val="single" w:sz="4" w:space="0" w:color="auto"/>
            </w:tcBorders>
            <w:tcMar>
              <w:top w:w="58" w:type="dxa"/>
              <w:left w:w="29" w:type="dxa"/>
              <w:bottom w:w="58" w:type="dxa"/>
              <w:right w:w="29" w:type="dxa"/>
            </w:tcMar>
            <w:vAlign w:val="center"/>
          </w:tcPr>
          <w:p w14:paraId="0B7E07DF" w14:textId="451C2AFA" w:rsidR="00876E41" w:rsidRDefault="003954E6">
            <w:pPr>
              <w:pStyle w:val="Paragraph"/>
            </w:pPr>
            <w:r>
              <w:t xml:space="preserve">             </w:t>
            </w:r>
            <w:r w:rsidR="00F534B1" w:rsidRPr="00F534B1">
              <w:t>2.50–25,000.00 pg/mL (ng/L)</w:t>
            </w:r>
          </w:p>
        </w:tc>
      </w:tr>
      <w:tr w:rsidR="00876E41" w14:paraId="0B7E07E2"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E1" w14:textId="77777777" w:rsidR="00876E41" w:rsidRDefault="005118FF">
            <w:pPr>
              <w:pStyle w:val="Heading1"/>
              <w:outlineLvl w:val="0"/>
              <w:rPr>
                <w:szCs w:val="24"/>
              </w:rPr>
            </w:pPr>
            <w:r>
              <w:rPr>
                <w:szCs w:val="24"/>
              </w:rPr>
              <w:t>Dilutions</w:t>
            </w:r>
          </w:p>
        </w:tc>
      </w:tr>
      <w:tr w:rsidR="00876E41" w14:paraId="0B7E07EA" w14:textId="77777777" w:rsidTr="608393FD">
        <w:tc>
          <w:tcPr>
            <w:tcW w:w="9576" w:type="dxa"/>
            <w:gridSpan w:val="4"/>
            <w:tcBorders>
              <w:top w:val="single" w:sz="4" w:space="0" w:color="auto"/>
              <w:right w:val="single" w:sz="4" w:space="0" w:color="auto"/>
            </w:tcBorders>
            <w:tcMar>
              <w:top w:w="58" w:type="dxa"/>
              <w:left w:w="29" w:type="dxa"/>
              <w:bottom w:w="58" w:type="dxa"/>
              <w:right w:w="29" w:type="dxa"/>
            </w:tcMar>
            <w:vAlign w:val="center"/>
          </w:tcPr>
          <w:p w14:paraId="0B7E07E3" w14:textId="77777777" w:rsidR="00264D36" w:rsidRDefault="00F534B1" w:rsidP="00F534B1">
            <w:pPr>
              <w:pStyle w:val="Paragraph"/>
            </w:pPr>
            <w:r>
              <w:t>The sample volume required to perform onboard dilution differs from the sample volume required to perform a single determination. Refer to the following information for the sample volume required to perform onboard dilutions:</w:t>
            </w:r>
          </w:p>
          <w:p w14:paraId="0B7E07E4" w14:textId="77777777" w:rsidR="00F534B1" w:rsidRDefault="00F534B1" w:rsidP="00F534B1">
            <w:pPr>
              <w:pStyle w:val="Paragraph"/>
            </w:pPr>
            <w:r>
              <w:rPr>
                <w:noProof/>
              </w:rPr>
              <w:drawing>
                <wp:inline distT="0" distB="0" distL="0" distR="0" wp14:anchorId="0B7E0809" wp14:editId="534AD2CB">
                  <wp:extent cx="5502164" cy="704818"/>
                  <wp:effectExtent l="0" t="0" r="381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5502164" cy="704818"/>
                          </a:xfrm>
                          <a:prstGeom prst="rect">
                            <a:avLst/>
                          </a:prstGeom>
                        </pic:spPr>
                      </pic:pic>
                    </a:graphicData>
                  </a:graphic>
                </wp:inline>
              </w:drawing>
            </w:r>
          </w:p>
          <w:p w14:paraId="0B7E07E5" w14:textId="77777777" w:rsidR="00F534B1" w:rsidRDefault="00F534B1" w:rsidP="00F534B1">
            <w:pPr>
              <w:pStyle w:val="Paragraph"/>
            </w:pPr>
            <w:r>
              <w:t>Patient samples with cTnI levels &gt; 25,000 pg/mL (ng/L) can be diluted and retested to obtain quantitative results. Patient samples with cTnI levels ≤ 25,000 pg/mL (ng/L) should not be diluted.</w:t>
            </w:r>
          </w:p>
          <w:p w14:paraId="0B7E07E6" w14:textId="3CE93FB3" w:rsidR="00F534B1" w:rsidRDefault="00F534B1" w:rsidP="00F534B1">
            <w:pPr>
              <w:pStyle w:val="Bullet"/>
            </w:pPr>
            <w:r>
              <w:t>Patient samples can be automatically diluted by the system.</w:t>
            </w:r>
          </w:p>
          <w:p w14:paraId="5B3D7EA2" w14:textId="77777777" w:rsidR="00C871CF" w:rsidRDefault="00C871CF" w:rsidP="00C871CF">
            <w:pPr>
              <w:pStyle w:val="Bullet"/>
              <w:numPr>
                <w:ilvl w:val="0"/>
                <w:numId w:val="0"/>
              </w:numPr>
              <w:ind w:left="374"/>
            </w:pPr>
          </w:p>
          <w:p w14:paraId="0B7E07E7" w14:textId="77777777" w:rsidR="00F534B1" w:rsidRDefault="00F534B1" w:rsidP="00F534B1">
            <w:pPr>
              <w:pStyle w:val="Bullet"/>
            </w:pPr>
            <w:r>
              <w:lastRenderedPageBreak/>
              <w:t>For automatic dilutions, ensure that ADVIA Centaur Multi-Diluent 11 is loaded and set the system parameters as follows:</w:t>
            </w:r>
          </w:p>
          <w:p w14:paraId="0B7E07E8" w14:textId="77777777" w:rsidR="00F534B1" w:rsidRDefault="00F534B1" w:rsidP="00F534B1">
            <w:pPr>
              <w:pStyle w:val="Paragraph"/>
              <w:ind w:left="374"/>
            </w:pPr>
            <w:r>
              <w:t>Dilution point: 25,000 pg/mL (ng/L)</w:t>
            </w:r>
          </w:p>
          <w:p w14:paraId="0B7E07E9" w14:textId="2CA20366" w:rsidR="00F534B1" w:rsidRDefault="00F534B1" w:rsidP="00F534B1">
            <w:pPr>
              <w:pStyle w:val="Paragraph"/>
              <w:ind w:left="374"/>
            </w:pPr>
            <w:r w:rsidRPr="00C871CF">
              <w:t xml:space="preserve">Dilution factor: </w:t>
            </w:r>
            <w:commentRangeStart w:id="8"/>
            <w:commentRangeStart w:id="9"/>
            <w:commentRangeStart w:id="10"/>
            <w:r w:rsidR="4610862E" w:rsidRPr="00C871CF">
              <w:t>Max</w:t>
            </w:r>
            <w:r w:rsidR="4610862E" w:rsidRPr="608393FD">
              <w:t xml:space="preserve"> dilution</w:t>
            </w:r>
            <w:r w:rsidR="51800D61" w:rsidRPr="608393FD">
              <w:t xml:space="preserve"> </w:t>
            </w:r>
            <w:r w:rsidR="4610862E" w:rsidRPr="608393FD">
              <w:t xml:space="preserve">= </w:t>
            </w:r>
            <w:r w:rsidR="3143636F" w:rsidRPr="608393FD">
              <w:t>x</w:t>
            </w:r>
            <w:commentRangeEnd w:id="8"/>
            <w:r>
              <w:rPr>
                <w:rStyle w:val="CommentReference"/>
              </w:rPr>
              <w:commentReference w:id="8"/>
            </w:r>
            <w:commentRangeEnd w:id="9"/>
            <w:r>
              <w:rPr>
                <w:rStyle w:val="CommentReference"/>
              </w:rPr>
              <w:commentReference w:id="9"/>
            </w:r>
            <w:commentRangeEnd w:id="10"/>
            <w:r>
              <w:rPr>
                <w:rStyle w:val="CommentReference"/>
              </w:rPr>
              <w:commentReference w:id="10"/>
            </w:r>
            <w:r w:rsidRPr="608393FD">
              <w:t>5</w:t>
            </w:r>
          </w:p>
        </w:tc>
      </w:tr>
      <w:tr w:rsidR="00876E41" w14:paraId="0B7E07EC"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EB" w14:textId="77777777" w:rsidR="00876E41" w:rsidRDefault="005118FF">
            <w:pPr>
              <w:pStyle w:val="Heading1"/>
              <w:outlineLvl w:val="0"/>
              <w:rPr>
                <w:szCs w:val="24"/>
              </w:rPr>
            </w:pPr>
            <w:r>
              <w:rPr>
                <w:szCs w:val="24"/>
              </w:rPr>
              <w:lastRenderedPageBreak/>
              <w:t>Sensitivity</w:t>
            </w:r>
          </w:p>
        </w:tc>
      </w:tr>
      <w:tr w:rsidR="00876E41" w14:paraId="0B7E07F2" w14:textId="77777777" w:rsidTr="608393FD">
        <w:trPr>
          <w:cantSplit/>
        </w:trPr>
        <w:tc>
          <w:tcPr>
            <w:tcW w:w="9576" w:type="dxa"/>
            <w:gridSpan w:val="4"/>
            <w:tcBorders>
              <w:top w:val="nil"/>
              <w:right w:val="single" w:sz="4" w:space="0" w:color="auto"/>
            </w:tcBorders>
            <w:tcMar>
              <w:top w:w="58" w:type="dxa"/>
              <w:left w:w="29" w:type="dxa"/>
              <w:bottom w:w="58" w:type="dxa"/>
              <w:right w:w="29" w:type="dxa"/>
            </w:tcMar>
            <w:vAlign w:val="center"/>
          </w:tcPr>
          <w:p w14:paraId="0B7E07ED" w14:textId="77777777" w:rsidR="00F534B1" w:rsidRDefault="00F534B1" w:rsidP="00F534B1">
            <w:pPr>
              <w:pStyle w:val="Paragraph"/>
            </w:pPr>
            <w:r>
              <w:t>The limit of blank (LoB), limit of detection (LoD), and the limit of quantitation (LoQ) were determined as described in CLSI Document EP17-A2. The assay is designed to have an LoD of ≤ 1.6 pg/mL (ng/L), and an LoQ of ≤ 3.0 pg/mL (ng/L).</w:t>
            </w:r>
          </w:p>
          <w:p w14:paraId="0B7E07EE" w14:textId="77777777" w:rsidR="00F534B1" w:rsidRDefault="00F534B1" w:rsidP="00F534B1">
            <w:pPr>
              <w:pStyle w:val="Paragraph"/>
            </w:pPr>
            <w:r>
              <w:t xml:space="preserve">The LoB is defined as the highest measurement result that is likely to be observed for a blank sample. The ADVIA Centaur TNIH assay has an LoB of 0.50 pg/mL (ng/L). </w:t>
            </w:r>
          </w:p>
          <w:p w14:paraId="0B7E07EF" w14:textId="77777777" w:rsidR="00F534B1" w:rsidRDefault="00F534B1" w:rsidP="00F534B1">
            <w:pPr>
              <w:pStyle w:val="Paragraph"/>
            </w:pPr>
            <w:r>
              <w:t>The LoD is defined as the lowest concentration of cTnI that can be detected with 95% probability. The ADVIA Centaur TNIH assay has an LoD of 1.60 pg/mL (ng/L).</w:t>
            </w:r>
          </w:p>
          <w:p w14:paraId="0B7E07F0" w14:textId="77777777" w:rsidR="00F534B1" w:rsidRDefault="00F534B1" w:rsidP="00F534B1">
            <w:pPr>
              <w:pStyle w:val="Paragraph"/>
            </w:pPr>
            <w:r>
              <w:t xml:space="preserve">The LoQ is defined as the lowest concentration of cTnI that can be detected at a total CV of 20%. The ADVIA Centaur TNIH assay has an LoQ of 2.50 pg/mL (ng/L). </w:t>
            </w:r>
          </w:p>
          <w:p w14:paraId="0B7E07F1" w14:textId="77777777" w:rsidR="00876E41" w:rsidRDefault="00F534B1" w:rsidP="00F534B1">
            <w:pPr>
              <w:pStyle w:val="Paragraph"/>
            </w:pPr>
            <w:r>
              <w:t>Report results below the LoQ as &lt; 2.50 pg/mL (ng/L).</w:t>
            </w:r>
          </w:p>
        </w:tc>
      </w:tr>
      <w:tr w:rsidR="00876E41" w14:paraId="0B7E07F4"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F3" w14:textId="77777777" w:rsidR="00876E41" w:rsidRDefault="005118FF">
            <w:pPr>
              <w:pStyle w:val="Heading1"/>
              <w:outlineLvl w:val="0"/>
              <w:rPr>
                <w:szCs w:val="24"/>
              </w:rPr>
            </w:pPr>
            <w:r>
              <w:rPr>
                <w:szCs w:val="24"/>
              </w:rPr>
              <w:t>Expected Values</w:t>
            </w:r>
          </w:p>
        </w:tc>
      </w:tr>
      <w:tr w:rsidR="00876E41" w14:paraId="0B7E07F6" w14:textId="77777777" w:rsidTr="608393FD">
        <w:trPr>
          <w:cantSplit/>
          <w:trHeight w:val="905"/>
        </w:trPr>
        <w:tc>
          <w:tcPr>
            <w:tcW w:w="9576" w:type="dxa"/>
            <w:gridSpan w:val="4"/>
            <w:tcBorders>
              <w:top w:val="nil"/>
              <w:bottom w:val="nil"/>
              <w:right w:val="single" w:sz="4" w:space="0" w:color="auto"/>
            </w:tcBorders>
            <w:tcMar>
              <w:top w:w="58" w:type="dxa"/>
              <w:left w:w="29" w:type="dxa"/>
              <w:bottom w:w="58" w:type="dxa"/>
              <w:right w:w="29" w:type="dxa"/>
            </w:tcMar>
            <w:vAlign w:val="center"/>
          </w:tcPr>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379"/>
              <w:gridCol w:w="2070"/>
            </w:tblGrid>
            <w:tr w:rsidR="00E2088D" w:rsidRPr="005751A2" w14:paraId="1393F78B" w14:textId="77777777" w:rsidTr="00875635">
              <w:trPr>
                <w:jc w:val="center"/>
              </w:trPr>
              <w:tc>
                <w:tcPr>
                  <w:tcW w:w="3379" w:type="dxa"/>
                  <w:shd w:val="clear" w:color="auto" w:fill="CCCCCC"/>
                  <w:vAlign w:val="center"/>
                </w:tcPr>
                <w:p w14:paraId="792D8A00" w14:textId="77777777" w:rsidR="00E2088D" w:rsidRPr="005751A2" w:rsidRDefault="00E2088D" w:rsidP="00E2088D">
                  <w:pPr>
                    <w:rPr>
                      <w:b/>
                      <w:bCs/>
                      <w:color w:val="000000"/>
                    </w:rPr>
                  </w:pPr>
                  <w:r w:rsidRPr="005751A2">
                    <w:rPr>
                      <w:b/>
                      <w:bCs/>
                      <w:color w:val="000000"/>
                    </w:rPr>
                    <w:t>Female reference range</w:t>
                  </w:r>
                </w:p>
              </w:tc>
              <w:tc>
                <w:tcPr>
                  <w:tcW w:w="2070" w:type="dxa"/>
                  <w:shd w:val="clear" w:color="auto" w:fill="CCCCCC"/>
                  <w:vAlign w:val="center"/>
                </w:tcPr>
                <w:p w14:paraId="63140F18" w14:textId="77777777" w:rsidR="00E2088D" w:rsidRPr="005751A2" w:rsidRDefault="00E2088D" w:rsidP="00E2088D">
                  <w:pPr>
                    <w:rPr>
                      <w:color w:val="000000"/>
                    </w:rPr>
                  </w:pPr>
                  <w:r w:rsidRPr="005751A2">
                    <w:rPr>
                      <w:color w:val="000000"/>
                    </w:rPr>
                    <w:t xml:space="preserve">   3 </w:t>
                  </w:r>
                  <w:r>
                    <w:rPr>
                      <w:color w:val="000000"/>
                    </w:rPr>
                    <w:t xml:space="preserve">– </w:t>
                  </w:r>
                  <w:r w:rsidRPr="005751A2">
                    <w:rPr>
                      <w:color w:val="000000"/>
                    </w:rPr>
                    <w:t>37 ng/L</w:t>
                  </w:r>
                </w:p>
              </w:tc>
            </w:tr>
            <w:tr w:rsidR="00E2088D" w:rsidRPr="005751A2" w14:paraId="43D0A00F" w14:textId="77777777" w:rsidTr="00875635">
              <w:trPr>
                <w:jc w:val="center"/>
              </w:trPr>
              <w:tc>
                <w:tcPr>
                  <w:tcW w:w="3379" w:type="dxa"/>
                  <w:shd w:val="clear" w:color="auto" w:fill="auto"/>
                  <w:vAlign w:val="center"/>
                </w:tcPr>
                <w:p w14:paraId="2E8C5196" w14:textId="77777777" w:rsidR="00E2088D" w:rsidRPr="005751A2" w:rsidRDefault="00E2088D" w:rsidP="00E2088D">
                  <w:pPr>
                    <w:rPr>
                      <w:b/>
                      <w:bCs/>
                      <w:color w:val="000000"/>
                    </w:rPr>
                  </w:pPr>
                  <w:r w:rsidRPr="005751A2">
                    <w:rPr>
                      <w:b/>
                      <w:bCs/>
                      <w:color w:val="000000"/>
                    </w:rPr>
                    <w:t>Male reference range</w:t>
                  </w:r>
                </w:p>
              </w:tc>
              <w:tc>
                <w:tcPr>
                  <w:tcW w:w="2070" w:type="dxa"/>
                  <w:shd w:val="clear" w:color="auto" w:fill="auto"/>
                  <w:vAlign w:val="center"/>
                </w:tcPr>
                <w:p w14:paraId="5822A2E9" w14:textId="77777777" w:rsidR="00E2088D" w:rsidRPr="005751A2" w:rsidRDefault="00E2088D" w:rsidP="00E2088D">
                  <w:pPr>
                    <w:rPr>
                      <w:color w:val="000000"/>
                    </w:rPr>
                  </w:pPr>
                  <w:r w:rsidRPr="005751A2">
                    <w:rPr>
                      <w:color w:val="000000"/>
                    </w:rPr>
                    <w:t xml:space="preserve">   3</w:t>
                  </w:r>
                  <w:r>
                    <w:rPr>
                      <w:color w:val="000000"/>
                    </w:rPr>
                    <w:t xml:space="preserve"> – </w:t>
                  </w:r>
                  <w:r w:rsidRPr="005751A2">
                    <w:rPr>
                      <w:color w:val="000000"/>
                    </w:rPr>
                    <w:t>57 ng/L</w:t>
                  </w:r>
                </w:p>
              </w:tc>
            </w:tr>
          </w:tbl>
          <w:p w14:paraId="04589888" w14:textId="77777777" w:rsidR="00C22BEB" w:rsidRDefault="00C22BEB">
            <w:pPr>
              <w:pStyle w:val="Paragraph"/>
              <w:rPr>
                <w:color w:val="000000"/>
              </w:rPr>
            </w:pPr>
          </w:p>
          <w:p w14:paraId="0B7E07F5" w14:textId="7541DF0B" w:rsidR="00876E41" w:rsidRDefault="00C22BEB" w:rsidP="00C22BEB">
            <w:pPr>
              <w:pStyle w:val="Paragraph"/>
              <w:spacing w:after="0"/>
            </w:pPr>
            <w:r>
              <w:rPr>
                <w:color w:val="000000"/>
              </w:rPr>
              <w:t xml:space="preserve">    Values above the 99</w:t>
            </w:r>
            <w:r w:rsidR="001C4548" w:rsidRPr="001C4548">
              <w:rPr>
                <w:color w:val="000000"/>
                <w:vertAlign w:val="superscript"/>
              </w:rPr>
              <w:t>th</w:t>
            </w:r>
            <w:r>
              <w:rPr>
                <w:color w:val="000000"/>
              </w:rPr>
              <w:t xml:space="preserve"> percentile upper reference limits for male or female will be flagged as high.</w:t>
            </w:r>
          </w:p>
        </w:tc>
      </w:tr>
      <w:tr w:rsidR="00876E41" w14:paraId="0B7E07F8" w14:textId="77777777" w:rsidTr="608393FD">
        <w:trPr>
          <w:trHeight w:val="689"/>
        </w:trPr>
        <w:tc>
          <w:tcPr>
            <w:tcW w:w="9576" w:type="dxa"/>
            <w:gridSpan w:val="4"/>
            <w:tcBorders>
              <w:top w:val="nil"/>
              <w:right w:val="single" w:sz="4" w:space="0" w:color="auto"/>
            </w:tcBorders>
            <w:tcMar>
              <w:top w:w="58" w:type="dxa"/>
              <w:left w:w="29" w:type="dxa"/>
              <w:bottom w:w="58" w:type="dxa"/>
              <w:right w:w="29" w:type="dxa"/>
            </w:tcMar>
            <w:vAlign w:val="center"/>
          </w:tcPr>
          <w:p w14:paraId="0B7E07F7" w14:textId="53976E0C" w:rsidR="004245CD" w:rsidRDefault="0026492C" w:rsidP="00C22BEB">
            <w:pPr>
              <w:pStyle w:val="Paragraph"/>
              <w:spacing w:after="0"/>
            </w:pPr>
            <w:r w:rsidRPr="00875635">
              <w:rPr>
                <w:rStyle w:val="Heading1Char"/>
              </w:rPr>
              <w:t>Reportable Range</w:t>
            </w:r>
            <w:r>
              <w:t xml:space="preserve">        </w:t>
            </w:r>
            <w:r w:rsidRPr="005751A2">
              <w:rPr>
                <w:color w:val="000000"/>
              </w:rPr>
              <w:t xml:space="preserve">&lt;3 – </w:t>
            </w:r>
            <w:r w:rsidR="00EE09D1">
              <w:rPr>
                <w:color w:val="000000"/>
              </w:rPr>
              <w:t>&gt;</w:t>
            </w:r>
            <w:r w:rsidRPr="005751A2">
              <w:rPr>
                <w:color w:val="000000"/>
              </w:rPr>
              <w:t>125,000 ng/L</w:t>
            </w:r>
            <w:r>
              <w:t xml:space="preserve">                </w:t>
            </w:r>
          </w:p>
        </w:tc>
      </w:tr>
      <w:tr w:rsidR="00876E41" w14:paraId="0B7E07FA"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0B7E07F9" w14:textId="77777777" w:rsidR="00876E41" w:rsidRDefault="005118FF">
            <w:pPr>
              <w:pStyle w:val="Heading1"/>
              <w:outlineLvl w:val="0"/>
              <w:rPr>
                <w:szCs w:val="24"/>
              </w:rPr>
            </w:pPr>
            <w:r>
              <w:rPr>
                <w:szCs w:val="24"/>
              </w:rPr>
              <w:t>Critical Values</w:t>
            </w:r>
          </w:p>
        </w:tc>
      </w:tr>
      <w:tr w:rsidR="00876E41" w14:paraId="0B7E07FC" w14:textId="77777777" w:rsidTr="608393FD">
        <w:trPr>
          <w:cantSplit/>
        </w:trPr>
        <w:tc>
          <w:tcPr>
            <w:tcW w:w="9576" w:type="dxa"/>
            <w:gridSpan w:val="4"/>
            <w:tcBorders>
              <w:top w:val="nil"/>
              <w:right w:val="single" w:sz="4" w:space="0" w:color="auto"/>
            </w:tcBorders>
            <w:tcMar>
              <w:top w:w="58" w:type="dxa"/>
              <w:left w:w="29" w:type="dxa"/>
              <w:bottom w:w="58" w:type="dxa"/>
              <w:right w:w="29" w:type="dxa"/>
            </w:tcMar>
            <w:vAlign w:val="center"/>
          </w:tcPr>
          <w:p w14:paraId="0B7E07FB" w14:textId="667F158A" w:rsidR="00876E41" w:rsidRDefault="00E2088D">
            <w:pPr>
              <w:pStyle w:val="Paragraph"/>
            </w:pPr>
            <w:r>
              <w:t>There is no critical value defined. Refer to Reporting section.</w:t>
            </w:r>
          </w:p>
        </w:tc>
      </w:tr>
      <w:tr w:rsidR="00876E41" w14:paraId="0B7E07FE" w14:textId="77777777" w:rsidTr="608393FD">
        <w:trPr>
          <w:cantSplit/>
        </w:trPr>
        <w:tc>
          <w:tcPr>
            <w:tcW w:w="9576" w:type="dxa"/>
            <w:gridSpan w:val="4"/>
            <w:tcBorders>
              <w:bottom w:val="nil"/>
              <w:right w:val="single" w:sz="4" w:space="0" w:color="auto"/>
            </w:tcBorders>
            <w:tcMar>
              <w:top w:w="58" w:type="dxa"/>
              <w:left w:w="29" w:type="dxa"/>
              <w:bottom w:w="58" w:type="dxa"/>
              <w:right w:w="29" w:type="dxa"/>
            </w:tcMar>
            <w:vAlign w:val="center"/>
          </w:tcPr>
          <w:p w14:paraId="3F045964" w14:textId="77777777" w:rsidR="00876E41" w:rsidRDefault="005118FF">
            <w:pPr>
              <w:pStyle w:val="Heading1"/>
              <w:outlineLvl w:val="0"/>
              <w:rPr>
                <w:szCs w:val="24"/>
              </w:rPr>
            </w:pPr>
            <w:r>
              <w:rPr>
                <w:szCs w:val="24"/>
              </w:rPr>
              <w:lastRenderedPageBreak/>
              <w:t>Reporting</w:t>
            </w:r>
            <w:r w:rsidR="00E2088D">
              <w:rPr>
                <w:szCs w:val="24"/>
              </w:rPr>
              <w:t>- Courtesy Calls</w:t>
            </w:r>
          </w:p>
          <w:p w14:paraId="0B7E07FD" w14:textId="575A51E3" w:rsidR="00E2088D" w:rsidRPr="00E2088D" w:rsidRDefault="00E2088D" w:rsidP="00E2088D"/>
        </w:tc>
      </w:tr>
      <w:tr w:rsidR="00876E41" w14:paraId="0B7E0800" w14:textId="77777777" w:rsidTr="608393FD">
        <w:trPr>
          <w:cantSplit/>
        </w:trPr>
        <w:tc>
          <w:tcPr>
            <w:tcW w:w="9576" w:type="dxa"/>
            <w:gridSpan w:val="4"/>
            <w:tcBorders>
              <w:top w:val="nil"/>
              <w:bottom w:val="single" w:sz="4" w:space="0" w:color="auto"/>
              <w:right w:val="single" w:sz="4" w:space="0" w:color="auto"/>
            </w:tcBorders>
            <w:tcMar>
              <w:top w:w="58" w:type="dxa"/>
              <w:left w:w="29" w:type="dxa"/>
              <w:bottom w:w="58" w:type="dxa"/>
              <w:right w:w="29" w:type="dxa"/>
            </w:tcMar>
            <w:vAlign w:val="center"/>
          </w:tcPr>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918"/>
              <w:gridCol w:w="2070"/>
            </w:tblGrid>
            <w:tr w:rsidR="00E2088D" w:rsidRPr="005751A2" w14:paraId="4B6A0535" w14:textId="77777777" w:rsidTr="00EE09D1">
              <w:trPr>
                <w:trHeight w:val="557"/>
                <w:jc w:val="center"/>
              </w:trPr>
              <w:tc>
                <w:tcPr>
                  <w:tcW w:w="3918" w:type="dxa"/>
                  <w:shd w:val="clear" w:color="auto" w:fill="auto"/>
                  <w:vAlign w:val="center"/>
                </w:tcPr>
                <w:p w14:paraId="436ECF22" w14:textId="5E8D4D33" w:rsidR="00E2088D" w:rsidRPr="005751A2" w:rsidRDefault="00875635" w:rsidP="00E2088D">
                  <w:pPr>
                    <w:rPr>
                      <w:b/>
                      <w:bCs/>
                      <w:color w:val="000000"/>
                    </w:rPr>
                  </w:pPr>
                  <w:r>
                    <w:rPr>
                      <w:b/>
                      <w:bCs/>
                      <w:color w:val="000000"/>
                    </w:rPr>
                    <w:t>Call to Emergency Dept every time</w:t>
                  </w:r>
                </w:p>
              </w:tc>
              <w:tc>
                <w:tcPr>
                  <w:tcW w:w="2070" w:type="dxa"/>
                  <w:shd w:val="clear" w:color="auto" w:fill="auto"/>
                  <w:vAlign w:val="center"/>
                </w:tcPr>
                <w:p w14:paraId="0D0D1EFA" w14:textId="77777777" w:rsidR="00E2088D" w:rsidRPr="005751A2" w:rsidRDefault="00E2088D" w:rsidP="00E2088D">
                  <w:pPr>
                    <w:rPr>
                      <w:color w:val="000000"/>
                    </w:rPr>
                  </w:pPr>
                  <w:r w:rsidRPr="005751A2">
                    <w:rPr>
                      <w:color w:val="000000"/>
                    </w:rPr>
                    <w:t xml:space="preserve"> ≥120 ng/L</w:t>
                  </w:r>
                </w:p>
              </w:tc>
            </w:tr>
            <w:tr w:rsidR="00EE09D1" w:rsidRPr="005751A2" w14:paraId="42808F13" w14:textId="77777777" w:rsidTr="00EE09D1">
              <w:trPr>
                <w:jc w:val="center"/>
              </w:trPr>
              <w:tc>
                <w:tcPr>
                  <w:tcW w:w="5988" w:type="dxa"/>
                  <w:gridSpan w:val="2"/>
                  <w:shd w:val="clear" w:color="auto" w:fill="CCCCCC"/>
                  <w:vAlign w:val="center"/>
                </w:tcPr>
                <w:p w14:paraId="3E223CBA" w14:textId="498C7065" w:rsidR="00EE09D1" w:rsidRPr="00B72C74" w:rsidRDefault="00EE09D1" w:rsidP="00E2088D">
                  <w:pPr>
                    <w:rPr>
                      <w:color w:val="000000"/>
                    </w:rPr>
                  </w:pPr>
                  <w:r w:rsidRPr="00B72C74">
                    <w:rPr>
                      <w:b/>
                      <w:bCs/>
                    </w:rPr>
                    <w:t>F</w:t>
                  </w:r>
                  <w:r w:rsidRPr="00B72C74">
                    <w:rPr>
                      <w:b/>
                      <w:bCs/>
                    </w:rPr>
                    <w:t xml:space="preserve">irst subsequent </w:t>
                  </w:r>
                  <w:r w:rsidRPr="00B72C74">
                    <w:rPr>
                      <w:b/>
                      <w:bCs/>
                      <w:color w:val="212121"/>
                    </w:rPr>
                    <w:t>level &gt;</w:t>
                  </w:r>
                  <w:r w:rsidRPr="00B72C74">
                    <w:rPr>
                      <w:b/>
                      <w:bCs/>
                      <w:color w:val="212121"/>
                    </w:rPr>
                    <w:t>120ng/L</w:t>
                  </w:r>
                  <w:r w:rsidRPr="00B72C74">
                    <w:rPr>
                      <w:color w:val="212121"/>
                    </w:rPr>
                    <w:t xml:space="preserve"> </w:t>
                  </w:r>
                  <w:r w:rsidRPr="00B72C74">
                    <w:t>following an ED stay (patient admitted to inpatient unit) must be called to the non-ED clinical unit</w:t>
                  </w:r>
                  <w:r w:rsidRPr="00B72C74">
                    <w:t>.</w:t>
                  </w:r>
                </w:p>
              </w:tc>
            </w:tr>
          </w:tbl>
          <w:p w14:paraId="0131B099" w14:textId="67F91240" w:rsidR="00876E41" w:rsidRDefault="00876E41">
            <w:pPr>
              <w:pStyle w:val="Paragraph"/>
            </w:pPr>
          </w:p>
          <w:p w14:paraId="593E0115" w14:textId="25765011" w:rsidR="00FF00A5" w:rsidRDefault="00FF00A5" w:rsidP="00FF00A5">
            <w:pPr>
              <w:pStyle w:val="Heading1"/>
              <w:outlineLvl w:val="0"/>
            </w:pPr>
            <w:r>
              <w:t>Clinical Interpretations</w:t>
            </w:r>
          </w:p>
          <w:p w14:paraId="46EA563F" w14:textId="77777777" w:rsidR="00FF00A5" w:rsidRPr="00FF00A5" w:rsidRDefault="00FF00A5" w:rsidP="00FF00A5"/>
          <w:p w14:paraId="046F5661" w14:textId="1629C8F3" w:rsidR="00FF00A5" w:rsidRDefault="00FF00A5" w:rsidP="00FF00A5">
            <w:pPr>
              <w:pStyle w:val="Paragraph"/>
              <w:rPr>
                <w:u w:val="single"/>
              </w:rPr>
            </w:pPr>
            <w:r>
              <w:t>This assay measures</w:t>
            </w:r>
            <w:r w:rsidRPr="004B232C">
              <w:t xml:space="preserve"> cTnI</w:t>
            </w:r>
            <w:r>
              <w:t xml:space="preserve"> in nearly 100% of healthy people which enables the establishment of a reference range.  </w:t>
            </w:r>
            <w:r w:rsidRPr="003E583F">
              <w:rPr>
                <w:b/>
                <w:bCs/>
                <w:i/>
                <w:iCs/>
                <w:u w:val="single"/>
              </w:rPr>
              <w:t xml:space="preserve">Therefore, </w:t>
            </w:r>
            <w:proofErr w:type="spellStart"/>
            <w:r w:rsidRPr="003E583F">
              <w:rPr>
                <w:b/>
                <w:bCs/>
                <w:i/>
                <w:iCs/>
                <w:u w:val="single"/>
              </w:rPr>
              <w:t>hs-cTnI</w:t>
            </w:r>
            <w:proofErr w:type="spellEnd"/>
            <w:r w:rsidRPr="003E583F">
              <w:rPr>
                <w:b/>
                <w:bCs/>
                <w:i/>
                <w:iCs/>
                <w:u w:val="single"/>
              </w:rPr>
              <w:t xml:space="preserve"> levels must be interpreted in the clinical context.</w:t>
            </w:r>
          </w:p>
          <w:p w14:paraId="56710EB0" w14:textId="06C15268" w:rsidR="00FF00A5" w:rsidRDefault="00FF00A5" w:rsidP="00291E20">
            <w:pPr>
              <w:pStyle w:val="Paragraph"/>
              <w:numPr>
                <w:ilvl w:val="0"/>
                <w:numId w:val="17"/>
              </w:numPr>
            </w:pPr>
            <w:r>
              <w:t xml:space="preserve">The </w:t>
            </w:r>
            <w:r w:rsidR="00E9297D" w:rsidRPr="00A84161">
              <w:rPr>
                <w:b/>
                <w:bCs/>
              </w:rPr>
              <w:t>E</w:t>
            </w:r>
            <w:r w:rsidRPr="00A84161">
              <w:rPr>
                <w:b/>
                <w:bCs/>
              </w:rPr>
              <w:t xml:space="preserve">mergency </w:t>
            </w:r>
            <w:r w:rsidR="00A84161" w:rsidRPr="00A84161">
              <w:rPr>
                <w:b/>
                <w:bCs/>
              </w:rPr>
              <w:t>D</w:t>
            </w:r>
            <w:r w:rsidRPr="00A84161">
              <w:rPr>
                <w:b/>
                <w:bCs/>
              </w:rPr>
              <w:t>epartment workflow</w:t>
            </w:r>
            <w:r>
              <w:t xml:space="preserve"> will by using the new </w:t>
            </w:r>
            <w:r w:rsidR="00291E20">
              <w:t>4</w:t>
            </w:r>
            <w:r w:rsidR="00291E20" w:rsidRPr="00291E20">
              <w:rPr>
                <w:vertAlign w:val="superscript"/>
              </w:rPr>
              <w:t>th</w:t>
            </w:r>
            <w:r w:rsidR="00291E20">
              <w:t xml:space="preserve"> Universal Definitions of Myocardial Injury and Myocardial Infarction</w:t>
            </w:r>
            <w:r>
              <w:t xml:space="preserve"> which is the </w:t>
            </w:r>
            <w:r w:rsidRPr="003E583F">
              <w:rPr>
                <w:b/>
                <w:bCs/>
              </w:rPr>
              <w:t>0h/2h rule-out</w:t>
            </w:r>
            <w:r>
              <w:t xml:space="preserve"> myocardial infarction strategy.  </w:t>
            </w:r>
            <w:r w:rsidR="003E583F">
              <w:t xml:space="preserve">Troponin levels will be collected at the </w:t>
            </w:r>
            <w:r w:rsidR="00291E20">
              <w:t>two</w:t>
            </w:r>
            <w:r w:rsidR="003E583F">
              <w:t xml:space="preserve"> intervals and results will be reported to Lifechart. </w:t>
            </w:r>
            <w:r>
              <w:t>This strategy</w:t>
            </w:r>
            <w:r w:rsidR="003E583F">
              <w:t xml:space="preserve"> e</w:t>
            </w:r>
            <w:r>
              <w:t>nables the definition and presentation of delta values which are related to the assay and inter-/intra-individual variation.</w:t>
            </w:r>
            <w:r w:rsidR="003E583F">
              <w:t xml:space="preserve"> The calculated delta values will be available for the healthcare team to assess and determine treatment or next steps.</w:t>
            </w:r>
            <w:r w:rsidR="00291E20">
              <w:t xml:space="preserve"> </w:t>
            </w:r>
            <w:r w:rsidR="00291E20" w:rsidRPr="00291E20">
              <w:t xml:space="preserve">Evaluation involves some combination of a 0 and </w:t>
            </w:r>
            <w:r w:rsidR="00A84161">
              <w:t xml:space="preserve">a </w:t>
            </w:r>
            <w:r w:rsidR="00291E20" w:rsidRPr="00291E20">
              <w:t>2</w:t>
            </w:r>
            <w:r w:rsidR="00A84161">
              <w:t>-</w:t>
            </w:r>
            <w:r w:rsidR="00291E20" w:rsidRPr="00291E20">
              <w:t xml:space="preserve">hour troponin </w:t>
            </w:r>
            <w:r w:rsidR="00A84161">
              <w:t xml:space="preserve">along </w:t>
            </w:r>
            <w:r w:rsidR="00291E20" w:rsidRPr="00291E20">
              <w:t>with clinical suspicion and agreed upon disposition decision making</w:t>
            </w:r>
            <w:r w:rsidR="00291E20">
              <w:t>.</w:t>
            </w:r>
          </w:p>
          <w:p w14:paraId="0CC5EAAA" w14:textId="5F5B505D" w:rsidR="00871558" w:rsidRPr="00A84161" w:rsidRDefault="00871558" w:rsidP="00871558">
            <w:pPr>
              <w:pStyle w:val="Paragraph"/>
              <w:numPr>
                <w:ilvl w:val="0"/>
                <w:numId w:val="18"/>
              </w:numPr>
            </w:pPr>
            <w:r w:rsidRPr="00A84161">
              <w:t>The troponin order will default to a 0, 2-hour order for the ED patient</w:t>
            </w:r>
            <w:r>
              <w:t>s.</w:t>
            </w:r>
          </w:p>
          <w:p w14:paraId="1610D367" w14:textId="662CE428" w:rsidR="00FF00A5" w:rsidRDefault="00FF00A5" w:rsidP="003E583F">
            <w:pPr>
              <w:pStyle w:val="Paragraph"/>
              <w:numPr>
                <w:ilvl w:val="0"/>
                <w:numId w:val="18"/>
              </w:numPr>
            </w:pPr>
            <w:r w:rsidRPr="003E583F">
              <w:rPr>
                <w:b/>
                <w:bCs/>
              </w:rPr>
              <w:t>0/2h delta</w:t>
            </w:r>
            <w:r>
              <w:t xml:space="preserve">: </w:t>
            </w:r>
            <w:r w:rsidR="00871558">
              <w:t>A</w:t>
            </w:r>
            <w:r>
              <w:t xml:space="preserve">bsolute difference in </w:t>
            </w:r>
            <w:proofErr w:type="spellStart"/>
            <w:r>
              <w:t>hs-cTnI</w:t>
            </w:r>
            <w:proofErr w:type="spellEnd"/>
            <w:r>
              <w:t xml:space="preserve"> values between a baseline and “two-hour” lithium heparin plasma specimen.</w:t>
            </w:r>
          </w:p>
          <w:p w14:paraId="01A51FC0" w14:textId="74588A22" w:rsidR="00A84161" w:rsidRPr="00A84161" w:rsidRDefault="00E9297D" w:rsidP="00A84161">
            <w:pPr>
              <w:pStyle w:val="Paragraph"/>
              <w:numPr>
                <w:ilvl w:val="0"/>
                <w:numId w:val="17"/>
              </w:numPr>
            </w:pPr>
            <w:r w:rsidRPr="00A84161">
              <w:rPr>
                <w:b/>
                <w:bCs/>
              </w:rPr>
              <w:t xml:space="preserve">Treatment for </w:t>
            </w:r>
            <w:r w:rsidR="00FF00A5" w:rsidRPr="00A84161">
              <w:rPr>
                <w:b/>
                <w:bCs/>
              </w:rPr>
              <w:t>Inpatient</w:t>
            </w:r>
            <w:r w:rsidR="00491E80" w:rsidRPr="00A84161">
              <w:rPr>
                <w:b/>
                <w:bCs/>
              </w:rPr>
              <w:t>s</w:t>
            </w:r>
            <w:r w:rsidR="00FF00A5">
              <w:t xml:space="preserve"> will be </w:t>
            </w:r>
            <w:r>
              <w:t>based on</w:t>
            </w:r>
            <w:r w:rsidR="00FF00A5">
              <w:t xml:space="preserve"> the </w:t>
            </w:r>
            <w:r w:rsidR="00FF00A5" w:rsidRPr="00E9297D">
              <w:rPr>
                <w:b/>
                <w:bCs/>
              </w:rPr>
              <w:t>0h/3h/6h rule-out</w:t>
            </w:r>
            <w:r w:rsidR="00FF00A5">
              <w:t xml:space="preserve"> MI strategy on the clinical units.</w:t>
            </w:r>
            <w:r w:rsidR="00A84161">
              <w:t xml:space="preserve"> </w:t>
            </w:r>
            <w:r w:rsidR="00A84161" w:rsidRPr="00A84161">
              <w:t xml:space="preserve">Any </w:t>
            </w:r>
            <w:r w:rsidR="00A84161">
              <w:t>troponin orders</w:t>
            </w:r>
            <w:r w:rsidR="00A84161" w:rsidRPr="00A84161">
              <w:t xml:space="preserve"> will </w:t>
            </w:r>
            <w:r w:rsidR="00A84161">
              <w:t xml:space="preserve">default to the </w:t>
            </w:r>
            <w:r w:rsidR="00A84161" w:rsidRPr="00A84161">
              <w:t xml:space="preserve">0, 3, 6-hour </w:t>
            </w:r>
            <w:r w:rsidR="00A84161">
              <w:t xml:space="preserve">orders for </w:t>
            </w:r>
            <w:r w:rsidR="00871558">
              <w:t>i</w:t>
            </w:r>
            <w:r w:rsidR="00A84161">
              <w:t>npatients</w:t>
            </w:r>
            <w:r w:rsidR="00871558">
              <w:t>.</w:t>
            </w:r>
          </w:p>
          <w:p w14:paraId="281FC75F" w14:textId="77777777" w:rsidR="00FF00A5" w:rsidRPr="00D17EED" w:rsidRDefault="00FF00A5" w:rsidP="00FF00A5">
            <w:pPr>
              <w:ind w:left="720"/>
              <w:rPr>
                <w:color w:val="000000"/>
              </w:rPr>
            </w:pPr>
          </w:p>
          <w:p w14:paraId="0B7E07FF" w14:textId="6A507F99" w:rsidR="00FF00A5" w:rsidRDefault="00FF00A5">
            <w:pPr>
              <w:pStyle w:val="Paragraph"/>
            </w:pPr>
          </w:p>
        </w:tc>
      </w:tr>
    </w:tbl>
    <w:p w14:paraId="0B7E0801" w14:textId="4C1500B8" w:rsidR="00876E41" w:rsidRDefault="00B77F0D">
      <w:pPr>
        <w:tabs>
          <w:tab w:val="left" w:pos="630"/>
        </w:tabs>
        <w:spacing w:before="200"/>
        <w:ind w:hanging="7"/>
        <w:rPr>
          <w:rFonts w:cs="Arial"/>
        </w:rPr>
      </w:pPr>
      <w:r>
        <w:rPr>
          <w:rFonts w:ascii="Times New Roman" w:hAnsi="Times New Roman" w:cs="Times New Roman"/>
          <w:noProof/>
          <w:color w:val="2B579A"/>
          <w:sz w:val="24"/>
          <w:szCs w:val="24"/>
          <w:shd w:val="clear" w:color="auto" w:fill="E6E6E6"/>
        </w:rPr>
        <mc:AlternateContent>
          <mc:Choice Requires="wps">
            <w:drawing>
              <wp:anchor distT="0" distB="0" distL="114300" distR="114300" simplePos="0" relativeHeight="251658240" behindDoc="0" locked="0" layoutInCell="1" allowOverlap="1" wp14:anchorId="75CE3443" wp14:editId="0EBFD03F">
                <wp:simplePos x="0" y="0"/>
                <wp:positionH relativeFrom="column">
                  <wp:posOffset>-2540</wp:posOffset>
                </wp:positionH>
                <wp:positionV relativeFrom="paragraph">
                  <wp:posOffset>3077845</wp:posOffset>
                </wp:positionV>
                <wp:extent cx="5553075" cy="228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28600"/>
                        </a:xfrm>
                        <a:prstGeom prst="rect">
                          <a:avLst/>
                        </a:prstGeom>
                        <a:solidFill>
                          <a:srgbClr val="FFFFFF"/>
                        </a:solidFill>
                        <a:ln w="9525">
                          <a:noFill/>
                          <a:miter lim="800000"/>
                          <a:headEnd/>
                          <a:tailEnd/>
                        </a:ln>
                      </wps:spPr>
                      <wps:txbx>
                        <w:txbxContent>
                          <w:p w14:paraId="4E350293" w14:textId="504D40C6" w:rsidR="002E2B26" w:rsidRPr="0080674C" w:rsidRDefault="002E2B26" w:rsidP="002E2B26">
                            <w:pPr>
                              <w:rPr>
                                <w:lang w:val="fr-FR"/>
                              </w:rPr>
                            </w:pPr>
                            <w:r w:rsidRPr="0080674C">
                              <w:rPr>
                                <w:rFonts w:cs="Arial"/>
                                <w:sz w:val="18"/>
                                <w:szCs w:val="18"/>
                                <w:lang w:val="fr-FR"/>
                              </w:rPr>
                              <w:t xml:space="preserve">Siemens document number: </w:t>
                            </w:r>
                            <w:r w:rsidRPr="000D40C3">
                              <w:rPr>
                                <w:rFonts w:cs="Arial"/>
                                <w:sz w:val="18"/>
                                <w:szCs w:val="18"/>
                                <w:lang w:val="fr-FR"/>
                              </w:rPr>
                              <w:t>11200077</w:t>
                            </w:r>
                            <w:r w:rsidR="00B77F0D">
                              <w:rPr>
                                <w:rFonts w:cs="Arial"/>
                                <w:sz w:val="18"/>
                                <w:szCs w:val="18"/>
                                <w:lang w:val="fr-FR"/>
                              </w:rPr>
                              <w:t>D</w:t>
                            </w:r>
                            <w:r w:rsidRPr="0080674C">
                              <w:rPr>
                                <w:rFonts w:cs="Arial"/>
                                <w:sz w:val="18"/>
                                <w:szCs w:val="18"/>
                                <w:lang w:val="fr-FR"/>
                              </w:rPr>
                              <w:t>_</w:t>
                            </w:r>
                            <w:r>
                              <w:rPr>
                                <w:rFonts w:cs="Arial"/>
                                <w:sz w:val="18"/>
                                <w:szCs w:val="18"/>
                                <w:lang w:val="fr-FR"/>
                              </w:rPr>
                              <w:t>TNIH</w:t>
                            </w:r>
                            <w:r w:rsidRPr="0080674C">
                              <w:rPr>
                                <w:rFonts w:cs="Arial"/>
                                <w:sz w:val="18"/>
                                <w:szCs w:val="18"/>
                                <w:lang w:val="fr-FR"/>
                              </w:rPr>
                              <w:t>_EN_US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E3443" id="_x0000_t202" coordsize="21600,21600" o:spt="202" path="m,l,21600r21600,l21600,xe">
                <v:stroke joinstyle="miter"/>
                <v:path gradientshapeok="t" o:connecttype="rect"/>
              </v:shapetype>
              <v:shape id="Text Box 2" o:spid="_x0000_s1026" type="#_x0000_t202" style="position:absolute;margin-left:-.2pt;margin-top:242.35pt;width:43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" stroked="f">
                <v:textbox>
                  <w:txbxContent>
                    <w:p w14:paraId="4E350293" w14:textId="504D40C6" w:rsidR="002E2B26" w:rsidRPr="0080674C" w:rsidRDefault="002E2B26" w:rsidP="002E2B26">
                      <w:pPr>
                        <w:rPr>
                          <w:lang w:val="fr-FR"/>
                        </w:rPr>
                      </w:pPr>
                      <w:r w:rsidRPr="0080674C">
                        <w:rPr>
                          <w:rFonts w:cs="Arial"/>
                          <w:sz w:val="18"/>
                          <w:szCs w:val="18"/>
                          <w:lang w:val="fr-FR"/>
                        </w:rPr>
                        <w:t xml:space="preserve">Siemens document </w:t>
                      </w:r>
                      <w:proofErr w:type="spellStart"/>
                      <w:proofErr w:type="gramStart"/>
                      <w:r w:rsidRPr="0080674C">
                        <w:rPr>
                          <w:rFonts w:cs="Arial"/>
                          <w:sz w:val="18"/>
                          <w:szCs w:val="18"/>
                          <w:lang w:val="fr-FR"/>
                        </w:rPr>
                        <w:t>number</w:t>
                      </w:r>
                      <w:proofErr w:type="spellEnd"/>
                      <w:r w:rsidRPr="0080674C">
                        <w:rPr>
                          <w:rFonts w:cs="Arial"/>
                          <w:sz w:val="18"/>
                          <w:szCs w:val="18"/>
                          <w:lang w:val="fr-FR"/>
                        </w:rPr>
                        <w:t>:</w:t>
                      </w:r>
                      <w:proofErr w:type="gramEnd"/>
                      <w:r w:rsidRPr="0080674C">
                        <w:rPr>
                          <w:rFonts w:cs="Arial"/>
                          <w:sz w:val="18"/>
                          <w:szCs w:val="18"/>
                          <w:lang w:val="fr-FR"/>
                        </w:rPr>
                        <w:t xml:space="preserve"> </w:t>
                      </w:r>
                      <w:r w:rsidRPr="000D40C3">
                        <w:rPr>
                          <w:rFonts w:cs="Arial"/>
                          <w:sz w:val="18"/>
                          <w:szCs w:val="18"/>
                          <w:lang w:val="fr-FR"/>
                        </w:rPr>
                        <w:t>11200077</w:t>
                      </w:r>
                      <w:r w:rsidR="00B77F0D">
                        <w:rPr>
                          <w:rFonts w:cs="Arial"/>
                          <w:sz w:val="18"/>
                          <w:szCs w:val="18"/>
                          <w:lang w:val="fr-FR"/>
                        </w:rPr>
                        <w:t>D</w:t>
                      </w:r>
                      <w:r w:rsidRPr="0080674C">
                        <w:rPr>
                          <w:rFonts w:cs="Arial"/>
                          <w:sz w:val="18"/>
                          <w:szCs w:val="18"/>
                          <w:lang w:val="fr-FR"/>
                        </w:rPr>
                        <w:t>_</w:t>
                      </w:r>
                      <w:r>
                        <w:rPr>
                          <w:rFonts w:cs="Arial"/>
                          <w:sz w:val="18"/>
                          <w:szCs w:val="18"/>
                          <w:lang w:val="fr-FR"/>
                        </w:rPr>
                        <w:t>TNIH</w:t>
                      </w:r>
                      <w:r w:rsidRPr="0080674C">
                        <w:rPr>
                          <w:rFonts w:cs="Arial"/>
                          <w:sz w:val="18"/>
                          <w:szCs w:val="18"/>
                          <w:lang w:val="fr-FR"/>
                        </w:rPr>
                        <w:t>_EN_US</w:t>
                      </w:r>
                    </w:p>
                  </w:txbxContent>
                </v:textbox>
              </v:shape>
            </w:pict>
          </mc:Fallback>
        </mc:AlternateContent>
      </w:r>
      <w:r w:rsidR="005118FF">
        <w:rPr>
          <w:rFonts w:cs="Arial"/>
          <w:b/>
        </w:rPr>
        <w:t>Note</w:t>
      </w:r>
      <w:r w:rsidR="005118FF">
        <w:rPr>
          <w:rFonts w:cs="Arial"/>
        </w:rPr>
        <w:tab/>
        <w:t>Appendices L1 and L3 of CLSI QMS02-A6, published 2/28/2013, guided the creation of this document.</w:t>
      </w:r>
      <w:r w:rsidR="002E2B26" w:rsidRPr="002E2B26">
        <w:rPr>
          <w:rFonts w:ascii="Times New Roman" w:hAnsi="Times New Roman" w:cs="Times New Roman"/>
          <w:noProof/>
          <w:sz w:val="24"/>
          <w:szCs w:val="24"/>
        </w:rPr>
        <w:t xml:space="preserve"> </w:t>
      </w:r>
    </w:p>
    <w:sectPr w:rsidR="00876E41" w:rsidSect="007E0AE1">
      <w:headerReference w:type="default" r:id="rId22"/>
      <w:footerReference w:type="default" r:id="rId23"/>
      <w:pgSz w:w="12240" w:h="15840" w:code="1"/>
      <w:pgMar w:top="1152" w:right="1296" w:bottom="864" w:left="1296" w:header="720" w:footer="43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rowell, Shannah l" w:date="2021-04-21T11:26:00Z" w:initials="Cl">
    <w:p w14:paraId="2F72597F" w14:textId="755A4141" w:rsidR="2A68337F" w:rsidRDefault="2A68337F">
      <w:r>
        <w:t xml:space="preserve">The stability chart needs to be updated to reflect the 24 hour stability. It currently states spun and refrig. blood is stable for 7 days. </w:t>
      </w:r>
      <w:r>
        <w:annotationRef/>
      </w:r>
    </w:p>
  </w:comment>
  <w:comment w:id="2" w:author="Petrie, Robert F" w:date="2021-04-21T14:39:00Z" w:initials="PF">
    <w:p w14:paraId="6D47480E" w14:textId="6029828D" w:rsidR="3B6729B5" w:rsidRDefault="3B6729B5">
      <w:pPr>
        <w:pStyle w:val="CommentText"/>
      </w:pPr>
      <w:r>
        <w:t>SHANNAH IS GOING TO RUN TNIH PT REFRIGERATE AND RUN FOR 7 DAYS TO PROVE STABILITY</w:t>
      </w:r>
      <w:r>
        <w:rPr>
          <w:rStyle w:val="CommentReference"/>
        </w:rPr>
        <w:annotationRef/>
      </w:r>
    </w:p>
  </w:comment>
  <w:comment w:id="3" w:author="Crowell, Sheryl" w:date="2021-04-22T10:05:00Z" w:initials="CS">
    <w:p w14:paraId="05E42272" w14:textId="106D85A0" w:rsidR="0298D351" w:rsidRDefault="0298D351">
      <w:pPr>
        <w:pStyle w:val="CommentText"/>
      </w:pPr>
      <w:r>
        <w:t>Since RIH troponins are processed manually, they are racked manually and remain at room temperature for many hours. A room temperature comparison would need to be validated as well. Any TNIH add-on to a manually racked sample may be suspect without this validation.</w:t>
      </w:r>
      <w:r>
        <w:rPr>
          <w:rStyle w:val="CommentReference"/>
        </w:rPr>
        <w:annotationRef/>
      </w:r>
    </w:p>
  </w:comment>
  <w:comment w:id="4" w:author="Napert, Debra A" w:date="2021-04-26T12:23:00Z" w:initials="NA">
    <w:p w14:paraId="17D63DFF" w14:textId="22F1713A" w:rsidR="608393FD" w:rsidRDefault="608393FD">
      <w:pPr>
        <w:pStyle w:val="CommentText"/>
      </w:pPr>
      <w:r>
        <w:t>Asking Sheryl to validate RT stability</w:t>
      </w:r>
      <w:r>
        <w:rPr>
          <w:rStyle w:val="CommentReference"/>
        </w:rPr>
        <w:annotationRef/>
      </w:r>
    </w:p>
  </w:comment>
  <w:comment w:id="5" w:author="Crowell, Sheryl" w:date="2021-04-22T10:09:00Z" w:initials="CS">
    <w:p w14:paraId="28412020" w14:textId="0DD2DABC" w:rsidR="0298D351" w:rsidRDefault="0298D351">
      <w:pPr>
        <w:pStyle w:val="CommentText"/>
      </w:pPr>
      <w:r>
        <w:t>Deb, I had put immediate use for the TNIH calibrator on the RIH  revised calibrator stability chart. This may need to be changed to 4 hours.</w:t>
      </w:r>
      <w:r>
        <w:rPr>
          <w:rStyle w:val="CommentReference"/>
        </w:rPr>
        <w:annotationRef/>
      </w:r>
    </w:p>
  </w:comment>
  <w:comment w:id="6" w:author="Napert, Debra A" w:date="2021-04-26T12:22:00Z" w:initials="NA">
    <w:p w14:paraId="006A5A84" w14:textId="57046099" w:rsidR="608393FD" w:rsidRDefault="608393FD">
      <w:pPr>
        <w:pStyle w:val="CommentText"/>
      </w:pPr>
      <w:r>
        <w:t>will do</w:t>
      </w:r>
      <w:r>
        <w:rPr>
          <w:rStyle w:val="CommentReference"/>
        </w:rPr>
        <w:annotationRef/>
      </w:r>
    </w:p>
  </w:comment>
  <w:comment w:id="7" w:author="Napert, Debra A" w:date="2021-04-26T12:13:00Z" w:initials="NA">
    <w:p w14:paraId="10CFC53C" w14:textId="5CBDBF05" w:rsidR="608393FD" w:rsidRDefault="608393FD">
      <w:pPr>
        <w:pStyle w:val="CommentText"/>
      </w:pPr>
      <w:r>
        <w:t>Dr Latif to determine Backtrack/red ranges.</w:t>
      </w:r>
      <w:r>
        <w:rPr>
          <w:rStyle w:val="CommentReference"/>
        </w:rPr>
        <w:annotationRef/>
      </w:r>
    </w:p>
  </w:comment>
  <w:comment w:id="8" w:author="Crowell, Sheryl" w:date="2021-04-22T11:08:00Z" w:initials="CS">
    <w:p w14:paraId="4E739469" w14:textId="6820688D" w:rsidR="0298D351" w:rsidRDefault="0298D351">
      <w:pPr>
        <w:pStyle w:val="CommentText"/>
      </w:pPr>
      <w:r>
        <w:t>In the troubleshooting section under QC we don't have any mention of recalibration before contacting technical support. Also Dr. Latif, don't forget about the red range or what RIH calls the backtrack range for TNIH. Corrective action says to repeat patients when QC falls outside acceptable limits. I hope this refers to the backtrack/red ranges and not the 2sd ranges.</w:t>
      </w:r>
      <w:r>
        <w:rPr>
          <w:rStyle w:val="CommentReference"/>
        </w:rPr>
        <w:annotationRef/>
      </w:r>
    </w:p>
  </w:comment>
  <w:comment w:id="9" w:author="Crowell, Shannah l" w:date="2021-04-22T11:23:00Z" w:initials="Cl">
    <w:p w14:paraId="403B698D" w14:textId="54CE486C" w:rsidR="0298D351" w:rsidRDefault="0298D351">
      <w:pPr>
        <w:pStyle w:val="CommentText"/>
      </w:pPr>
      <w:r>
        <w:t xml:space="preserve">I added red range/backtrack range in parenthesis after acceptable limits to make that statement more clear. Those ranges still need to be defined as far as I know. </w:t>
      </w:r>
      <w:r>
        <w:rPr>
          <w:rStyle w:val="CommentReference"/>
        </w:rPr>
        <w:annotationRef/>
      </w:r>
    </w:p>
  </w:comment>
  <w:comment w:id="10" w:author="Crowell, Shannah l" w:date="2021-04-22T11:34:00Z" w:initials="Cl">
    <w:p w14:paraId="62367C3E" w14:textId="64EB7D28" w:rsidR="0298D351" w:rsidRDefault="0298D351">
      <w:pPr>
        <w:pStyle w:val="CommentText"/>
      </w:pPr>
      <w:r>
        <w:t xml:space="preserve">Added a comment about calibrating. Feel free to reword!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2597F" w15:done="0"/>
  <w15:commentEx w15:paraId="6D47480E" w15:paraIdParent="2F72597F" w15:done="0"/>
  <w15:commentEx w15:paraId="05E42272" w15:paraIdParent="2F72597F" w15:done="0"/>
  <w15:commentEx w15:paraId="17D63DFF" w15:paraIdParent="2F72597F" w15:done="0"/>
  <w15:commentEx w15:paraId="28412020" w15:done="0"/>
  <w15:commentEx w15:paraId="006A5A84" w15:paraIdParent="28412020" w15:done="0"/>
  <w15:commentEx w15:paraId="10CFC53C" w15:done="0"/>
  <w15:commentEx w15:paraId="4E739469" w15:done="0"/>
  <w15:commentEx w15:paraId="403B698D" w15:paraIdParent="4E739469" w15:done="0"/>
  <w15:commentEx w15:paraId="62367C3E" w15:paraIdParent="4E739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A9199B0" w16cex:dateUtc="2021-04-21T15:26:00Z"/>
  <w16cex:commentExtensible w16cex:durableId="4BAFA086" w16cex:dateUtc="2021-04-21T18:39:00Z"/>
  <w16cex:commentExtensible w16cex:durableId="15571305" w16cex:dateUtc="2021-04-22T14:05:00Z"/>
  <w16cex:commentExtensible w16cex:durableId="29DDDC84" w16cex:dateUtc="2021-04-26T16:23:00Z"/>
  <w16cex:commentExtensible w16cex:durableId="7A4322AB" w16cex:dateUtc="2021-04-22T14:09:00Z"/>
  <w16cex:commentExtensible w16cex:durableId="1B32483A" w16cex:dateUtc="2021-04-26T16:22:00Z"/>
  <w16cex:commentExtensible w16cex:durableId="4E1690D5" w16cex:dateUtc="2021-04-26T16:13:00Z"/>
  <w16cex:commentExtensible w16cex:durableId="62A65C25" w16cex:dateUtc="2021-04-22T15:08:00Z"/>
  <w16cex:commentExtensible w16cex:durableId="21137F77" w16cex:dateUtc="2021-04-22T15:23:00Z"/>
  <w16cex:commentExtensible w16cex:durableId="152B9B78" w16cex:dateUtc="2021-04-22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2597F" w16cid:durableId="7A9199B0"/>
  <w16cid:commentId w16cid:paraId="6D47480E" w16cid:durableId="4BAFA086"/>
  <w16cid:commentId w16cid:paraId="05E42272" w16cid:durableId="15571305"/>
  <w16cid:commentId w16cid:paraId="17D63DFF" w16cid:durableId="29DDDC84"/>
  <w16cid:commentId w16cid:paraId="28412020" w16cid:durableId="7A4322AB"/>
  <w16cid:commentId w16cid:paraId="006A5A84" w16cid:durableId="1B32483A"/>
  <w16cid:commentId w16cid:paraId="10CFC53C" w16cid:durableId="4E1690D5"/>
  <w16cid:commentId w16cid:paraId="4E739469" w16cid:durableId="62A65C25"/>
  <w16cid:commentId w16cid:paraId="403B698D" w16cid:durableId="21137F77"/>
  <w16cid:commentId w16cid:paraId="62367C3E" w16cid:durableId="152B9B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F058" w14:textId="77777777" w:rsidR="00F75E56" w:rsidRDefault="00F75E56">
      <w:pPr>
        <w:spacing w:after="0"/>
      </w:pPr>
      <w:r>
        <w:separator/>
      </w:r>
    </w:p>
  </w:endnote>
  <w:endnote w:type="continuationSeparator" w:id="0">
    <w:p w14:paraId="6B850D7A" w14:textId="77777777" w:rsidR="00F75E56" w:rsidRDefault="00F75E56">
      <w:pPr>
        <w:spacing w:after="0"/>
      </w:pPr>
      <w:r>
        <w:continuationSeparator/>
      </w:r>
    </w:p>
  </w:endnote>
  <w:endnote w:type="continuationNotice" w:id="1">
    <w:p w14:paraId="71C5B44A" w14:textId="77777777" w:rsidR="00F75E56" w:rsidRDefault="00F75E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emens Sans">
    <w:altName w:val="Times New Roman"/>
    <w:charset w:val="00"/>
    <w:family w:val="auto"/>
    <w:pitch w:val="variable"/>
    <w:sig w:usb0="800000AF" w:usb1="0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0812" w14:textId="5F1EF203" w:rsidR="00876E41" w:rsidRDefault="00860391">
    <w:pPr>
      <w:pStyle w:val="Footer"/>
      <w:tabs>
        <w:tab w:val="clear" w:pos="4680"/>
      </w:tabs>
      <w:rPr>
        <w:sz w:val="18"/>
        <w:szCs w:val="18"/>
      </w:rPr>
    </w:pPr>
    <w:r w:rsidRPr="00314DD1">
      <w:rPr>
        <w:sz w:val="18"/>
        <w:szCs w:val="18"/>
      </w:rPr>
      <w:t xml:space="preserve">ADVIA Centaur XPT </w:t>
    </w:r>
    <w:r w:rsidR="00C70572">
      <w:rPr>
        <w:sz w:val="18"/>
        <w:szCs w:val="18"/>
      </w:rPr>
      <w:t>TNIH</w:t>
    </w:r>
    <w:r w:rsidRPr="00314DD1">
      <w:rPr>
        <w:sz w:val="18"/>
        <w:szCs w:val="18"/>
      </w:rPr>
      <w:t xml:space="preserve"> Technical Procedure</w:t>
    </w:r>
    <w:r w:rsidR="005118FF">
      <w:rPr>
        <w:sz w:val="18"/>
        <w:szCs w:val="18"/>
      </w:rPr>
      <w:tab/>
    </w:r>
    <w:r w:rsidR="005118FF">
      <w:rPr>
        <w:color w:val="2B579A"/>
        <w:sz w:val="18"/>
        <w:szCs w:val="18"/>
        <w:shd w:val="clear" w:color="auto" w:fill="E6E6E6"/>
      </w:rPr>
      <w:fldChar w:fldCharType="begin"/>
    </w:r>
    <w:r w:rsidR="005118FF">
      <w:rPr>
        <w:sz w:val="18"/>
        <w:szCs w:val="18"/>
      </w:rPr>
      <w:instrText xml:space="preserve"> PAGE  \* Arabic  \* MERGEFORMAT </w:instrText>
    </w:r>
    <w:r w:rsidR="005118FF">
      <w:rPr>
        <w:color w:val="2B579A"/>
        <w:sz w:val="18"/>
        <w:szCs w:val="18"/>
        <w:shd w:val="clear" w:color="auto" w:fill="E6E6E6"/>
      </w:rPr>
      <w:fldChar w:fldCharType="separate"/>
    </w:r>
    <w:r w:rsidR="00515FD9">
      <w:rPr>
        <w:noProof/>
        <w:sz w:val="18"/>
        <w:szCs w:val="18"/>
      </w:rPr>
      <w:t>2</w:t>
    </w:r>
    <w:r w:rsidR="005118FF">
      <w:rPr>
        <w:color w:val="2B579A"/>
        <w:sz w:val="18"/>
        <w:szCs w:val="18"/>
        <w:shd w:val="clear" w:color="auto" w:fill="E6E6E6"/>
      </w:rPr>
      <w:fldChar w:fldCharType="end"/>
    </w:r>
    <w:r w:rsidR="005118FF">
      <w:rPr>
        <w:sz w:val="18"/>
        <w:szCs w:val="18"/>
      </w:rPr>
      <w:t xml:space="preserve"> of </w:t>
    </w:r>
    <w:r w:rsidR="005118FF">
      <w:rPr>
        <w:color w:val="2B579A"/>
        <w:sz w:val="18"/>
        <w:szCs w:val="18"/>
        <w:shd w:val="clear" w:color="auto" w:fill="E6E6E6"/>
      </w:rPr>
      <w:fldChar w:fldCharType="begin"/>
    </w:r>
    <w:r w:rsidR="005118FF">
      <w:rPr>
        <w:sz w:val="18"/>
        <w:szCs w:val="18"/>
      </w:rPr>
      <w:instrText xml:space="preserve"> NUMPAGES   \* MERGEFORMAT </w:instrText>
    </w:r>
    <w:r w:rsidR="005118FF">
      <w:rPr>
        <w:color w:val="2B579A"/>
        <w:sz w:val="18"/>
        <w:szCs w:val="18"/>
        <w:shd w:val="clear" w:color="auto" w:fill="E6E6E6"/>
      </w:rPr>
      <w:fldChar w:fldCharType="separate"/>
    </w:r>
    <w:r w:rsidR="00515FD9">
      <w:rPr>
        <w:noProof/>
        <w:sz w:val="18"/>
        <w:szCs w:val="18"/>
      </w:rPr>
      <w:t>7</w:t>
    </w:r>
    <w:r w:rsidR="005118FF">
      <w:rPr>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9AC4" w14:textId="77777777" w:rsidR="00F75E56" w:rsidRDefault="00F75E56">
      <w:pPr>
        <w:spacing w:after="0"/>
      </w:pPr>
      <w:r>
        <w:separator/>
      </w:r>
    </w:p>
  </w:footnote>
  <w:footnote w:type="continuationSeparator" w:id="0">
    <w:p w14:paraId="2DC59C6B" w14:textId="77777777" w:rsidR="00F75E56" w:rsidRDefault="00F75E56">
      <w:pPr>
        <w:spacing w:after="0"/>
      </w:pPr>
      <w:r>
        <w:continuationSeparator/>
      </w:r>
    </w:p>
  </w:footnote>
  <w:footnote w:type="continuationNotice" w:id="1">
    <w:p w14:paraId="71D143F9" w14:textId="77777777" w:rsidR="00F75E56" w:rsidRDefault="00F75E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0811" w14:textId="1CBBD805" w:rsidR="00876E41" w:rsidRDefault="005118FF">
    <w:pPr>
      <w:pStyle w:val="Header"/>
      <w:tabs>
        <w:tab w:val="clear" w:pos="4680"/>
      </w:tabs>
      <w:spacing w:after="120"/>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ADE"/>
    <w:multiLevelType w:val="hybridMultilevel"/>
    <w:tmpl w:val="5B5A0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B5280"/>
    <w:multiLevelType w:val="hybridMultilevel"/>
    <w:tmpl w:val="848694CC"/>
    <w:lvl w:ilvl="0" w:tplc="F3D6F45A">
      <w:start w:val="1"/>
      <w:numFmt w:val="bullet"/>
      <w:lvlText w:val=""/>
      <w:lvlJc w:val="left"/>
      <w:pPr>
        <w:ind w:left="720" w:hanging="360"/>
      </w:pPr>
      <w:rPr>
        <w:rFonts w:ascii="Symbol" w:hAnsi="Symbol" w:hint="default"/>
      </w:rPr>
    </w:lvl>
    <w:lvl w:ilvl="1" w:tplc="D1BA4EAA">
      <w:start w:val="1"/>
      <w:numFmt w:val="bullet"/>
      <w:lvlText w:val="o"/>
      <w:lvlJc w:val="left"/>
      <w:pPr>
        <w:ind w:left="1440" w:hanging="360"/>
      </w:pPr>
      <w:rPr>
        <w:rFonts w:ascii="Courier New" w:hAnsi="Courier New" w:hint="default"/>
      </w:rPr>
    </w:lvl>
    <w:lvl w:ilvl="2" w:tplc="4866C2BC">
      <w:start w:val="1"/>
      <w:numFmt w:val="bullet"/>
      <w:lvlText w:val=""/>
      <w:lvlJc w:val="left"/>
      <w:pPr>
        <w:ind w:left="2160" w:hanging="360"/>
      </w:pPr>
      <w:rPr>
        <w:rFonts w:ascii="Wingdings" w:hAnsi="Wingdings" w:hint="default"/>
      </w:rPr>
    </w:lvl>
    <w:lvl w:ilvl="3" w:tplc="414E9CB4">
      <w:start w:val="1"/>
      <w:numFmt w:val="bullet"/>
      <w:lvlText w:val=""/>
      <w:lvlJc w:val="left"/>
      <w:pPr>
        <w:ind w:left="2880" w:hanging="360"/>
      </w:pPr>
      <w:rPr>
        <w:rFonts w:ascii="Symbol" w:hAnsi="Symbol" w:hint="default"/>
      </w:rPr>
    </w:lvl>
    <w:lvl w:ilvl="4" w:tplc="4BCC3E44">
      <w:start w:val="1"/>
      <w:numFmt w:val="bullet"/>
      <w:lvlText w:val="o"/>
      <w:lvlJc w:val="left"/>
      <w:pPr>
        <w:ind w:left="3600" w:hanging="360"/>
      </w:pPr>
      <w:rPr>
        <w:rFonts w:ascii="Courier New" w:hAnsi="Courier New" w:hint="default"/>
      </w:rPr>
    </w:lvl>
    <w:lvl w:ilvl="5" w:tplc="051AFDFA">
      <w:start w:val="1"/>
      <w:numFmt w:val="bullet"/>
      <w:lvlText w:val=""/>
      <w:lvlJc w:val="left"/>
      <w:pPr>
        <w:ind w:left="4320" w:hanging="360"/>
      </w:pPr>
      <w:rPr>
        <w:rFonts w:ascii="Wingdings" w:hAnsi="Wingdings" w:hint="default"/>
      </w:rPr>
    </w:lvl>
    <w:lvl w:ilvl="6" w:tplc="F5D4831E">
      <w:start w:val="1"/>
      <w:numFmt w:val="bullet"/>
      <w:lvlText w:val=""/>
      <w:lvlJc w:val="left"/>
      <w:pPr>
        <w:ind w:left="5040" w:hanging="360"/>
      </w:pPr>
      <w:rPr>
        <w:rFonts w:ascii="Symbol" w:hAnsi="Symbol" w:hint="default"/>
      </w:rPr>
    </w:lvl>
    <w:lvl w:ilvl="7" w:tplc="969C6064">
      <w:start w:val="1"/>
      <w:numFmt w:val="bullet"/>
      <w:lvlText w:val="o"/>
      <w:lvlJc w:val="left"/>
      <w:pPr>
        <w:ind w:left="5760" w:hanging="360"/>
      </w:pPr>
      <w:rPr>
        <w:rFonts w:ascii="Courier New" w:hAnsi="Courier New" w:hint="default"/>
      </w:rPr>
    </w:lvl>
    <w:lvl w:ilvl="8" w:tplc="319ECD76">
      <w:start w:val="1"/>
      <w:numFmt w:val="bullet"/>
      <w:lvlText w:val=""/>
      <w:lvlJc w:val="left"/>
      <w:pPr>
        <w:ind w:left="6480" w:hanging="360"/>
      </w:pPr>
      <w:rPr>
        <w:rFonts w:ascii="Wingdings" w:hAnsi="Wingdings" w:hint="default"/>
      </w:rPr>
    </w:lvl>
  </w:abstractNum>
  <w:abstractNum w:abstractNumId="2" w15:restartNumberingAfterBreak="0">
    <w:nsid w:val="1F121E06"/>
    <w:multiLevelType w:val="hybridMultilevel"/>
    <w:tmpl w:val="0FB281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54281"/>
    <w:multiLevelType w:val="hybridMultilevel"/>
    <w:tmpl w:val="3CAC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927F0"/>
    <w:multiLevelType w:val="hybridMultilevel"/>
    <w:tmpl w:val="AAB08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D6C58"/>
    <w:multiLevelType w:val="hybridMultilevel"/>
    <w:tmpl w:val="DA5A340A"/>
    <w:lvl w:ilvl="0" w:tplc="BE0C572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C2E7F"/>
    <w:multiLevelType w:val="hybridMultilevel"/>
    <w:tmpl w:val="F0A4476A"/>
    <w:lvl w:ilvl="0" w:tplc="3E3E56E2">
      <w:start w:val="1"/>
      <w:numFmt w:val="bullet"/>
      <w:lvlText w:val=""/>
      <w:lvlJc w:val="left"/>
      <w:pPr>
        <w:ind w:left="720" w:hanging="360"/>
      </w:pPr>
      <w:rPr>
        <w:rFonts w:ascii="Symbol" w:hAnsi="Symbol" w:hint="default"/>
      </w:rPr>
    </w:lvl>
    <w:lvl w:ilvl="1" w:tplc="7B4CA1F6">
      <w:start w:val="1"/>
      <w:numFmt w:val="bullet"/>
      <w:lvlText w:val="o"/>
      <w:lvlJc w:val="left"/>
      <w:pPr>
        <w:ind w:left="1440" w:hanging="360"/>
      </w:pPr>
      <w:rPr>
        <w:rFonts w:ascii="Courier New" w:hAnsi="Courier New" w:hint="default"/>
      </w:rPr>
    </w:lvl>
    <w:lvl w:ilvl="2" w:tplc="0CBA920C">
      <w:start w:val="1"/>
      <w:numFmt w:val="bullet"/>
      <w:lvlText w:val=""/>
      <w:lvlJc w:val="left"/>
      <w:pPr>
        <w:ind w:left="2160" w:hanging="360"/>
      </w:pPr>
      <w:rPr>
        <w:rFonts w:ascii="Wingdings" w:hAnsi="Wingdings" w:hint="default"/>
      </w:rPr>
    </w:lvl>
    <w:lvl w:ilvl="3" w:tplc="7A160D6A">
      <w:start w:val="1"/>
      <w:numFmt w:val="bullet"/>
      <w:lvlText w:val=""/>
      <w:lvlJc w:val="left"/>
      <w:pPr>
        <w:ind w:left="2880" w:hanging="360"/>
      </w:pPr>
      <w:rPr>
        <w:rFonts w:ascii="Symbol" w:hAnsi="Symbol" w:hint="default"/>
      </w:rPr>
    </w:lvl>
    <w:lvl w:ilvl="4" w:tplc="F0D6D0A6">
      <w:start w:val="1"/>
      <w:numFmt w:val="bullet"/>
      <w:lvlText w:val="o"/>
      <w:lvlJc w:val="left"/>
      <w:pPr>
        <w:ind w:left="3600" w:hanging="360"/>
      </w:pPr>
      <w:rPr>
        <w:rFonts w:ascii="Courier New" w:hAnsi="Courier New" w:hint="default"/>
      </w:rPr>
    </w:lvl>
    <w:lvl w:ilvl="5" w:tplc="3166839E">
      <w:start w:val="1"/>
      <w:numFmt w:val="bullet"/>
      <w:lvlText w:val=""/>
      <w:lvlJc w:val="left"/>
      <w:pPr>
        <w:ind w:left="4320" w:hanging="360"/>
      </w:pPr>
      <w:rPr>
        <w:rFonts w:ascii="Wingdings" w:hAnsi="Wingdings" w:hint="default"/>
      </w:rPr>
    </w:lvl>
    <w:lvl w:ilvl="6" w:tplc="AEDC9B32">
      <w:start w:val="1"/>
      <w:numFmt w:val="bullet"/>
      <w:lvlText w:val=""/>
      <w:lvlJc w:val="left"/>
      <w:pPr>
        <w:ind w:left="5040" w:hanging="360"/>
      </w:pPr>
      <w:rPr>
        <w:rFonts w:ascii="Symbol" w:hAnsi="Symbol" w:hint="default"/>
      </w:rPr>
    </w:lvl>
    <w:lvl w:ilvl="7" w:tplc="5010E7D8">
      <w:start w:val="1"/>
      <w:numFmt w:val="bullet"/>
      <w:lvlText w:val="o"/>
      <w:lvlJc w:val="left"/>
      <w:pPr>
        <w:ind w:left="5760" w:hanging="360"/>
      </w:pPr>
      <w:rPr>
        <w:rFonts w:ascii="Courier New" w:hAnsi="Courier New" w:hint="default"/>
      </w:rPr>
    </w:lvl>
    <w:lvl w:ilvl="8" w:tplc="0458E4E0">
      <w:start w:val="1"/>
      <w:numFmt w:val="bullet"/>
      <w:lvlText w:val=""/>
      <w:lvlJc w:val="left"/>
      <w:pPr>
        <w:ind w:left="6480" w:hanging="360"/>
      </w:pPr>
      <w:rPr>
        <w:rFonts w:ascii="Wingdings" w:hAnsi="Wingdings" w:hint="default"/>
      </w:rPr>
    </w:lvl>
  </w:abstractNum>
  <w:abstractNum w:abstractNumId="7" w15:restartNumberingAfterBreak="0">
    <w:nsid w:val="4A5B4640"/>
    <w:multiLevelType w:val="hybridMultilevel"/>
    <w:tmpl w:val="8FA4FD3C"/>
    <w:lvl w:ilvl="0" w:tplc="6AD63048">
      <w:start w:val="1"/>
      <w:numFmt w:val="decimal"/>
      <w:lvlText w:val="%1."/>
      <w:lvlJc w:val="left"/>
      <w:pPr>
        <w:ind w:left="720" w:hanging="360"/>
      </w:pPr>
    </w:lvl>
    <w:lvl w:ilvl="1" w:tplc="85B27746">
      <w:start w:val="1"/>
      <w:numFmt w:val="lowerLetter"/>
      <w:lvlText w:val="%2."/>
      <w:lvlJc w:val="left"/>
      <w:pPr>
        <w:ind w:left="1440" w:hanging="360"/>
      </w:pPr>
    </w:lvl>
    <w:lvl w:ilvl="2" w:tplc="1BA4E71E">
      <w:start w:val="1"/>
      <w:numFmt w:val="lowerRoman"/>
      <w:lvlText w:val="%3."/>
      <w:lvlJc w:val="right"/>
      <w:pPr>
        <w:ind w:left="2160" w:hanging="180"/>
      </w:pPr>
    </w:lvl>
    <w:lvl w:ilvl="3" w:tplc="05C00C98">
      <w:start w:val="1"/>
      <w:numFmt w:val="decimal"/>
      <w:lvlText w:val="%4."/>
      <w:lvlJc w:val="left"/>
      <w:pPr>
        <w:ind w:left="2880" w:hanging="360"/>
      </w:pPr>
    </w:lvl>
    <w:lvl w:ilvl="4" w:tplc="A18ADB64">
      <w:start w:val="1"/>
      <w:numFmt w:val="lowerLetter"/>
      <w:lvlText w:val="%5."/>
      <w:lvlJc w:val="left"/>
      <w:pPr>
        <w:ind w:left="3600" w:hanging="360"/>
      </w:pPr>
    </w:lvl>
    <w:lvl w:ilvl="5" w:tplc="32E4AAA0">
      <w:start w:val="1"/>
      <w:numFmt w:val="lowerRoman"/>
      <w:lvlText w:val="%6."/>
      <w:lvlJc w:val="right"/>
      <w:pPr>
        <w:ind w:left="4320" w:hanging="180"/>
      </w:pPr>
    </w:lvl>
    <w:lvl w:ilvl="6" w:tplc="53AA01AA">
      <w:start w:val="1"/>
      <w:numFmt w:val="decimal"/>
      <w:lvlText w:val="%7."/>
      <w:lvlJc w:val="left"/>
      <w:pPr>
        <w:ind w:left="5040" w:hanging="360"/>
      </w:pPr>
    </w:lvl>
    <w:lvl w:ilvl="7" w:tplc="193C8A92">
      <w:start w:val="1"/>
      <w:numFmt w:val="lowerLetter"/>
      <w:lvlText w:val="%8."/>
      <w:lvlJc w:val="left"/>
      <w:pPr>
        <w:ind w:left="5760" w:hanging="360"/>
      </w:pPr>
    </w:lvl>
    <w:lvl w:ilvl="8" w:tplc="887458FE">
      <w:start w:val="1"/>
      <w:numFmt w:val="lowerRoman"/>
      <w:lvlText w:val="%9."/>
      <w:lvlJc w:val="right"/>
      <w:pPr>
        <w:ind w:left="6480" w:hanging="180"/>
      </w:pPr>
    </w:lvl>
  </w:abstractNum>
  <w:abstractNum w:abstractNumId="8" w15:restartNumberingAfterBreak="0">
    <w:nsid w:val="4FBC3530"/>
    <w:multiLevelType w:val="hybridMultilevel"/>
    <w:tmpl w:val="D156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92F18"/>
    <w:multiLevelType w:val="hybridMultilevel"/>
    <w:tmpl w:val="14BE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2526B"/>
    <w:multiLevelType w:val="hybridMultilevel"/>
    <w:tmpl w:val="3CF87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4279F"/>
    <w:multiLevelType w:val="hybridMultilevel"/>
    <w:tmpl w:val="92125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F4750"/>
    <w:multiLevelType w:val="hybridMultilevel"/>
    <w:tmpl w:val="15CC8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300FC"/>
    <w:multiLevelType w:val="hybridMultilevel"/>
    <w:tmpl w:val="C068E768"/>
    <w:lvl w:ilvl="0" w:tplc="10A25E7C">
      <w:start w:val="1"/>
      <w:numFmt w:val="decimal"/>
      <w:lvlText w:val="%1."/>
      <w:lvlJc w:val="left"/>
      <w:pPr>
        <w:ind w:left="720" w:hanging="360"/>
      </w:pPr>
    </w:lvl>
    <w:lvl w:ilvl="1" w:tplc="1FEE6AAC">
      <w:start w:val="1"/>
      <w:numFmt w:val="lowerLetter"/>
      <w:lvlText w:val="%2."/>
      <w:lvlJc w:val="left"/>
      <w:pPr>
        <w:ind w:left="1440" w:hanging="360"/>
      </w:pPr>
    </w:lvl>
    <w:lvl w:ilvl="2" w:tplc="C1F44A62">
      <w:start w:val="1"/>
      <w:numFmt w:val="lowerRoman"/>
      <w:lvlText w:val="%3."/>
      <w:lvlJc w:val="right"/>
      <w:pPr>
        <w:ind w:left="2160" w:hanging="180"/>
      </w:pPr>
    </w:lvl>
    <w:lvl w:ilvl="3" w:tplc="0E60F3C0">
      <w:start w:val="1"/>
      <w:numFmt w:val="decimal"/>
      <w:lvlText w:val="%4."/>
      <w:lvlJc w:val="left"/>
      <w:pPr>
        <w:ind w:left="2880" w:hanging="360"/>
      </w:pPr>
    </w:lvl>
    <w:lvl w:ilvl="4" w:tplc="A96C2028">
      <w:start w:val="1"/>
      <w:numFmt w:val="lowerLetter"/>
      <w:lvlText w:val="%5."/>
      <w:lvlJc w:val="left"/>
      <w:pPr>
        <w:ind w:left="3600" w:hanging="360"/>
      </w:pPr>
    </w:lvl>
    <w:lvl w:ilvl="5" w:tplc="F8487854">
      <w:start w:val="1"/>
      <w:numFmt w:val="lowerRoman"/>
      <w:lvlText w:val="%6."/>
      <w:lvlJc w:val="right"/>
      <w:pPr>
        <w:ind w:left="4320" w:hanging="180"/>
      </w:pPr>
    </w:lvl>
    <w:lvl w:ilvl="6" w:tplc="A69889CE">
      <w:start w:val="1"/>
      <w:numFmt w:val="decimal"/>
      <w:lvlText w:val="%7."/>
      <w:lvlJc w:val="left"/>
      <w:pPr>
        <w:ind w:left="5040" w:hanging="360"/>
      </w:pPr>
    </w:lvl>
    <w:lvl w:ilvl="7" w:tplc="2108A95C">
      <w:start w:val="1"/>
      <w:numFmt w:val="lowerLetter"/>
      <w:lvlText w:val="%8."/>
      <w:lvlJc w:val="left"/>
      <w:pPr>
        <w:ind w:left="5760" w:hanging="360"/>
      </w:pPr>
    </w:lvl>
    <w:lvl w:ilvl="8" w:tplc="B45487D6">
      <w:start w:val="1"/>
      <w:numFmt w:val="lowerRoman"/>
      <w:lvlText w:val="%9."/>
      <w:lvlJc w:val="right"/>
      <w:pPr>
        <w:ind w:left="6480" w:hanging="180"/>
      </w:pPr>
    </w:lvl>
  </w:abstractNum>
  <w:abstractNum w:abstractNumId="14" w15:restartNumberingAfterBreak="0">
    <w:nsid w:val="696F1927"/>
    <w:multiLevelType w:val="hybridMultilevel"/>
    <w:tmpl w:val="D156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973C5"/>
    <w:multiLevelType w:val="hybridMultilevel"/>
    <w:tmpl w:val="42288C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D65C6C"/>
    <w:multiLevelType w:val="hybridMultilevel"/>
    <w:tmpl w:val="F490FC20"/>
    <w:lvl w:ilvl="0" w:tplc="8C2600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43453"/>
    <w:multiLevelType w:val="hybridMultilevel"/>
    <w:tmpl w:val="20A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7"/>
  </w:num>
  <w:num w:numId="5">
    <w:abstractNumId w:val="9"/>
  </w:num>
  <w:num w:numId="6">
    <w:abstractNumId w:val="0"/>
  </w:num>
  <w:num w:numId="7">
    <w:abstractNumId w:val="2"/>
  </w:num>
  <w:num w:numId="8">
    <w:abstractNumId w:val="11"/>
  </w:num>
  <w:num w:numId="9">
    <w:abstractNumId w:val="14"/>
  </w:num>
  <w:num w:numId="10">
    <w:abstractNumId w:val="12"/>
  </w:num>
  <w:num w:numId="11">
    <w:abstractNumId w:val="8"/>
  </w:num>
  <w:num w:numId="12">
    <w:abstractNumId w:val="10"/>
  </w:num>
  <w:num w:numId="13">
    <w:abstractNumId w:val="5"/>
  </w:num>
  <w:num w:numId="14">
    <w:abstractNumId w:val="3"/>
  </w:num>
  <w:num w:numId="15">
    <w:abstractNumId w:val="16"/>
  </w:num>
  <w:num w:numId="16">
    <w:abstractNumId w:val="4"/>
  </w:num>
  <w:num w:numId="17">
    <w:abstractNumId w:val="17"/>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well, Shannah l">
    <w15:presenceInfo w15:providerId="AD" w15:userId="S::331735@lifespan.org::0b54d2ee-86ca-4688-9683-e47a37952989"/>
  </w15:person>
  <w15:person w15:author="Petrie, Robert F">
    <w15:presenceInfo w15:providerId="AD" w15:userId="S::rpetrie@lifespan.org::55c0e0bd-8020-4c84-9e2d-b35b86dfa4e5"/>
  </w15:person>
  <w15:person w15:author="Crowell, Sheryl">
    <w15:presenceInfo w15:providerId="AD" w15:userId="S::scrowell@lifespan.org::28c36613-ae1d-46e6-881e-42f9d71b83e7"/>
  </w15:person>
  <w15:person w15:author="Napert, Debra A">
    <w15:presenceInfo w15:providerId="AD" w15:userId="S::dnapert@lifespan.org::6462d00f-2891-4a21-b4ce-32de9582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markup="0" w:comments="0" w:insDel="0" w:formatting="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E2"/>
    <w:rsid w:val="00016C1C"/>
    <w:rsid w:val="0004689E"/>
    <w:rsid w:val="0006185F"/>
    <w:rsid w:val="000B628E"/>
    <w:rsid w:val="000C7B8F"/>
    <w:rsid w:val="000E3AF2"/>
    <w:rsid w:val="001218ED"/>
    <w:rsid w:val="00147711"/>
    <w:rsid w:val="00154E1E"/>
    <w:rsid w:val="001A668B"/>
    <w:rsid w:val="001C3046"/>
    <w:rsid w:val="001C4548"/>
    <w:rsid w:val="00223FF1"/>
    <w:rsid w:val="0022468C"/>
    <w:rsid w:val="00224D9B"/>
    <w:rsid w:val="002266FA"/>
    <w:rsid w:val="0026492C"/>
    <w:rsid w:val="00264D36"/>
    <w:rsid w:val="002667E8"/>
    <w:rsid w:val="00291E20"/>
    <w:rsid w:val="002E2B26"/>
    <w:rsid w:val="002E2EF5"/>
    <w:rsid w:val="002E6CA2"/>
    <w:rsid w:val="002F6292"/>
    <w:rsid w:val="003139DA"/>
    <w:rsid w:val="00314DD1"/>
    <w:rsid w:val="003333B9"/>
    <w:rsid w:val="00343781"/>
    <w:rsid w:val="003536F4"/>
    <w:rsid w:val="003954E6"/>
    <w:rsid w:val="003E583F"/>
    <w:rsid w:val="003F0E7F"/>
    <w:rsid w:val="004245CD"/>
    <w:rsid w:val="00487C4C"/>
    <w:rsid w:val="00491E80"/>
    <w:rsid w:val="004B6828"/>
    <w:rsid w:val="005118FF"/>
    <w:rsid w:val="00514F47"/>
    <w:rsid w:val="00515FD9"/>
    <w:rsid w:val="0052267A"/>
    <w:rsid w:val="00542C1D"/>
    <w:rsid w:val="00591FB5"/>
    <w:rsid w:val="00597B89"/>
    <w:rsid w:val="005C5789"/>
    <w:rsid w:val="005D5793"/>
    <w:rsid w:val="005F1A95"/>
    <w:rsid w:val="006458E2"/>
    <w:rsid w:val="006F2819"/>
    <w:rsid w:val="006F6ED2"/>
    <w:rsid w:val="007125B5"/>
    <w:rsid w:val="00724CDF"/>
    <w:rsid w:val="00740027"/>
    <w:rsid w:val="007501F3"/>
    <w:rsid w:val="00780309"/>
    <w:rsid w:val="007E0AE1"/>
    <w:rsid w:val="007E6174"/>
    <w:rsid w:val="00823A8B"/>
    <w:rsid w:val="00860391"/>
    <w:rsid w:val="00865D39"/>
    <w:rsid w:val="0086680A"/>
    <w:rsid w:val="00867795"/>
    <w:rsid w:val="00871558"/>
    <w:rsid w:val="00875635"/>
    <w:rsid w:val="00876E41"/>
    <w:rsid w:val="008B703C"/>
    <w:rsid w:val="00907665"/>
    <w:rsid w:val="009340B0"/>
    <w:rsid w:val="00995B07"/>
    <w:rsid w:val="009A629D"/>
    <w:rsid w:val="009E5297"/>
    <w:rsid w:val="00A42565"/>
    <w:rsid w:val="00A73392"/>
    <w:rsid w:val="00A84161"/>
    <w:rsid w:val="00A8491B"/>
    <w:rsid w:val="00A9424A"/>
    <w:rsid w:val="00AD3628"/>
    <w:rsid w:val="00AD3AB9"/>
    <w:rsid w:val="00AF48BA"/>
    <w:rsid w:val="00B379E7"/>
    <w:rsid w:val="00B72C74"/>
    <w:rsid w:val="00B76D85"/>
    <w:rsid w:val="00B77F0D"/>
    <w:rsid w:val="00BD0824"/>
    <w:rsid w:val="00C0437A"/>
    <w:rsid w:val="00C17DBC"/>
    <w:rsid w:val="00C22BEB"/>
    <w:rsid w:val="00C3716B"/>
    <w:rsid w:val="00C47C19"/>
    <w:rsid w:val="00C70572"/>
    <w:rsid w:val="00C871CF"/>
    <w:rsid w:val="00CB0373"/>
    <w:rsid w:val="00CB40E7"/>
    <w:rsid w:val="00CD2B9F"/>
    <w:rsid w:val="00DAA2A4"/>
    <w:rsid w:val="00DE7E28"/>
    <w:rsid w:val="00DF5062"/>
    <w:rsid w:val="00E2088D"/>
    <w:rsid w:val="00E46A65"/>
    <w:rsid w:val="00E57AA3"/>
    <w:rsid w:val="00E60208"/>
    <w:rsid w:val="00E9297D"/>
    <w:rsid w:val="00EA20A2"/>
    <w:rsid w:val="00EA6DAB"/>
    <w:rsid w:val="00EE09D1"/>
    <w:rsid w:val="00EE64A4"/>
    <w:rsid w:val="00F03B46"/>
    <w:rsid w:val="00F161E2"/>
    <w:rsid w:val="00F40B63"/>
    <w:rsid w:val="00F534B1"/>
    <w:rsid w:val="00F6131F"/>
    <w:rsid w:val="00F75E56"/>
    <w:rsid w:val="00FF00A5"/>
    <w:rsid w:val="01E612F7"/>
    <w:rsid w:val="0298D351"/>
    <w:rsid w:val="0332BB3A"/>
    <w:rsid w:val="04198DE1"/>
    <w:rsid w:val="057E868F"/>
    <w:rsid w:val="06A46670"/>
    <w:rsid w:val="07A1B06C"/>
    <w:rsid w:val="07B45374"/>
    <w:rsid w:val="07D44AE7"/>
    <w:rsid w:val="08229022"/>
    <w:rsid w:val="0BC42049"/>
    <w:rsid w:val="0BD49FB6"/>
    <w:rsid w:val="0C39BACF"/>
    <w:rsid w:val="0C50C0BE"/>
    <w:rsid w:val="10E71A46"/>
    <w:rsid w:val="14218AFE"/>
    <w:rsid w:val="14907251"/>
    <w:rsid w:val="15EFB585"/>
    <w:rsid w:val="17F6DA89"/>
    <w:rsid w:val="1949F555"/>
    <w:rsid w:val="1B25395B"/>
    <w:rsid w:val="1BD200C5"/>
    <w:rsid w:val="1C19AEA8"/>
    <w:rsid w:val="1C586D53"/>
    <w:rsid w:val="1C70286F"/>
    <w:rsid w:val="1CD4EA11"/>
    <w:rsid w:val="1F99B407"/>
    <w:rsid w:val="1FFF3CBE"/>
    <w:rsid w:val="2034EA99"/>
    <w:rsid w:val="21EEFB4A"/>
    <w:rsid w:val="2297377B"/>
    <w:rsid w:val="25C0475E"/>
    <w:rsid w:val="266C405C"/>
    <w:rsid w:val="2855DA3B"/>
    <w:rsid w:val="28654C84"/>
    <w:rsid w:val="28A3D0EA"/>
    <w:rsid w:val="2916038D"/>
    <w:rsid w:val="2A23DEA0"/>
    <w:rsid w:val="2A58F08D"/>
    <w:rsid w:val="2A68337F"/>
    <w:rsid w:val="2AE7AEB9"/>
    <w:rsid w:val="2B3541A7"/>
    <w:rsid w:val="2BD87285"/>
    <w:rsid w:val="2C7CA2E8"/>
    <w:rsid w:val="2D77420D"/>
    <w:rsid w:val="2EF74FC3"/>
    <w:rsid w:val="3009B268"/>
    <w:rsid w:val="31243CED"/>
    <w:rsid w:val="3143636F"/>
    <w:rsid w:val="3173D740"/>
    <w:rsid w:val="31C512EF"/>
    <w:rsid w:val="31F2BB02"/>
    <w:rsid w:val="320BE35F"/>
    <w:rsid w:val="324AB330"/>
    <w:rsid w:val="3281FB1D"/>
    <w:rsid w:val="32FAAE24"/>
    <w:rsid w:val="3384CDD8"/>
    <w:rsid w:val="3457AEB4"/>
    <w:rsid w:val="350A75CC"/>
    <w:rsid w:val="35F37F15"/>
    <w:rsid w:val="3656DD3D"/>
    <w:rsid w:val="365CEE88"/>
    <w:rsid w:val="378F4F76"/>
    <w:rsid w:val="37F8BEE9"/>
    <w:rsid w:val="3AE02232"/>
    <w:rsid w:val="3B19339C"/>
    <w:rsid w:val="3B5491F2"/>
    <w:rsid w:val="3B6729B5"/>
    <w:rsid w:val="3B75C79D"/>
    <w:rsid w:val="3BFC3D3F"/>
    <w:rsid w:val="3E1C256E"/>
    <w:rsid w:val="3EBB0B05"/>
    <w:rsid w:val="3F99D468"/>
    <w:rsid w:val="3FFE7337"/>
    <w:rsid w:val="40513A92"/>
    <w:rsid w:val="40E59D0D"/>
    <w:rsid w:val="4104BE22"/>
    <w:rsid w:val="411E7700"/>
    <w:rsid w:val="416CA704"/>
    <w:rsid w:val="436BA8FD"/>
    <w:rsid w:val="43A2F148"/>
    <w:rsid w:val="43D7D3CD"/>
    <w:rsid w:val="44B5A02E"/>
    <w:rsid w:val="452150AA"/>
    <w:rsid w:val="45F61589"/>
    <w:rsid w:val="460CB4AB"/>
    <w:rsid w:val="4610862E"/>
    <w:rsid w:val="47230D46"/>
    <w:rsid w:val="483B2248"/>
    <w:rsid w:val="48A10427"/>
    <w:rsid w:val="491CA803"/>
    <w:rsid w:val="498EF069"/>
    <w:rsid w:val="4996930E"/>
    <w:rsid w:val="49A5EDB7"/>
    <w:rsid w:val="49B8B256"/>
    <w:rsid w:val="4A372274"/>
    <w:rsid w:val="4BCD806B"/>
    <w:rsid w:val="4CC6912B"/>
    <w:rsid w:val="4CF37111"/>
    <w:rsid w:val="4D768C1F"/>
    <w:rsid w:val="4D7CD810"/>
    <w:rsid w:val="4E2A3C01"/>
    <w:rsid w:val="4E543206"/>
    <w:rsid w:val="4E8611BD"/>
    <w:rsid w:val="4F0EFDB3"/>
    <w:rsid w:val="502B11D3"/>
    <w:rsid w:val="50EA8136"/>
    <w:rsid w:val="51800D61"/>
    <w:rsid w:val="51B1B483"/>
    <w:rsid w:val="526AB81B"/>
    <w:rsid w:val="52D1AB8E"/>
    <w:rsid w:val="533F713B"/>
    <w:rsid w:val="5414A786"/>
    <w:rsid w:val="54DC2AE4"/>
    <w:rsid w:val="556FDFEF"/>
    <w:rsid w:val="55AE696C"/>
    <w:rsid w:val="55B62EA8"/>
    <w:rsid w:val="59095B08"/>
    <w:rsid w:val="59307971"/>
    <w:rsid w:val="59398869"/>
    <w:rsid w:val="5948D0F2"/>
    <w:rsid w:val="5A6901BB"/>
    <w:rsid w:val="5BB86124"/>
    <w:rsid w:val="5CDC13AE"/>
    <w:rsid w:val="5D060791"/>
    <w:rsid w:val="5D083DAE"/>
    <w:rsid w:val="5EF4384D"/>
    <w:rsid w:val="5F409726"/>
    <w:rsid w:val="604B1D20"/>
    <w:rsid w:val="608393FD"/>
    <w:rsid w:val="60BD5AD7"/>
    <w:rsid w:val="626AA8E0"/>
    <w:rsid w:val="630171A8"/>
    <w:rsid w:val="635B767B"/>
    <w:rsid w:val="639CA6FE"/>
    <w:rsid w:val="63EB9D53"/>
    <w:rsid w:val="6496CB74"/>
    <w:rsid w:val="6881F236"/>
    <w:rsid w:val="689B1A93"/>
    <w:rsid w:val="68CC3357"/>
    <w:rsid w:val="6943FDAB"/>
    <w:rsid w:val="6B899586"/>
    <w:rsid w:val="6BB6A7D8"/>
    <w:rsid w:val="6BC4F317"/>
    <w:rsid w:val="6BEA28E2"/>
    <w:rsid w:val="6C3DCABB"/>
    <w:rsid w:val="6E246595"/>
    <w:rsid w:val="6EF6358A"/>
    <w:rsid w:val="6F0751FD"/>
    <w:rsid w:val="70350155"/>
    <w:rsid w:val="70398CDE"/>
    <w:rsid w:val="71F8D70A"/>
    <w:rsid w:val="72437B0E"/>
    <w:rsid w:val="73136334"/>
    <w:rsid w:val="7393F257"/>
    <w:rsid w:val="74F3ECBC"/>
    <w:rsid w:val="75BC74DC"/>
    <w:rsid w:val="75FC356B"/>
    <w:rsid w:val="765925C7"/>
    <w:rsid w:val="76A111E7"/>
    <w:rsid w:val="7726BD0D"/>
    <w:rsid w:val="779805CC"/>
    <w:rsid w:val="79483A9A"/>
    <w:rsid w:val="7A9315A8"/>
    <w:rsid w:val="7A9ABB86"/>
    <w:rsid w:val="7B52E06E"/>
    <w:rsid w:val="7C6B76EF"/>
    <w:rsid w:val="7D024986"/>
    <w:rsid w:val="7D4194F2"/>
    <w:rsid w:val="7D66897D"/>
    <w:rsid w:val="7F965334"/>
    <w:rsid w:val="7FA7A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E071F"/>
  <w15:docId w15:val="{36ECDEC6-237A-4DF2-8009-6EB21191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emens Sans" w:eastAsiaTheme="minorHAnsi" w:hAnsi="Siemens Sans"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pPr>
      <w:keepNext/>
      <w:spacing w:after="0"/>
      <w:outlineLvl w:val="0"/>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Arial" w:hAnsi="Arial"/>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numPr>
        <w:numId w:val="13"/>
      </w:numPr>
      <w:spacing w:after="240"/>
      <w:ind w:left="374"/>
      <w:contextualSpacing/>
    </w:pPr>
    <w:rPr>
      <w:rFonts w:cs="Arial"/>
    </w:rPr>
  </w:style>
  <w:style w:type="paragraph" w:customStyle="1" w:styleId="Paragraph">
    <w:name w:val="Paragraph"/>
    <w:basedOn w:val="Normal"/>
    <w:qFormat/>
    <w:pPr>
      <w:spacing w:after="240"/>
    </w:pPr>
    <w:rPr>
      <w:rFonts w:cs="Arial"/>
    </w:rPr>
  </w:style>
  <w:style w:type="paragraph" w:customStyle="1" w:styleId="Subheading">
    <w:name w:val="Subheading"/>
    <w:basedOn w:val="Paragraph"/>
    <w:next w:val="Paragraph"/>
    <w:qFormat/>
    <w:rPr>
      <w:b/>
    </w:rPr>
  </w:style>
  <w:style w:type="paragraph" w:styleId="BalloonText">
    <w:name w:val="Balloon Text"/>
    <w:basedOn w:val="Normal"/>
    <w:link w:val="BalloonTextChar"/>
    <w:uiPriority w:val="99"/>
    <w:semiHidden/>
    <w:unhideWhenUsed/>
    <w:rsid w:val="00314D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DD1"/>
    <w:rPr>
      <w:rFonts w:ascii="Tahoma" w:hAnsi="Tahoma" w:cs="Tahoma"/>
      <w:sz w:val="16"/>
      <w:szCs w:val="16"/>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Others\Templates%20and%20Guidelines\NEW%20CLSI%20Template_HC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52EBD694D11C458F057345CC8B310D" ma:contentTypeVersion="26" ma:contentTypeDescription="Create a new document." ma:contentTypeScope="" ma:versionID="c11625846d6ca55c02c4ad90f0eb775a">
  <xsd:schema xmlns:xsd="http://www.w3.org/2001/XMLSchema" xmlns:xs="http://www.w3.org/2001/XMLSchema" xmlns:p="http://schemas.microsoft.com/office/2006/metadata/properties" xmlns:ns2="727a24a0-89a6-4b4d-b2a8-417e09644f66" xmlns:ns3="fd7157bd-36c8-4c10-a326-f3e175981c16" targetNamespace="http://schemas.microsoft.com/office/2006/metadata/properties" ma:root="true" ma:fieldsID="5837df9b108ad12c5e80c26a147ac87b" ns2:_="" ns3:_="">
    <xsd:import namespace="727a24a0-89a6-4b4d-b2a8-417e09644f66"/>
    <xsd:import namespace="fd7157bd-36c8-4c10-a326-f3e175981c16"/>
    <xsd:element name="properties">
      <xsd:complexType>
        <xsd:sequence>
          <xsd:element name="documentManagement">
            <xsd:complexType>
              <xsd:all>
                <xsd:element ref="ns2:_dlc_DocId" minOccurs="0"/>
                <xsd:element ref="ns2:_dlc_DocIdUrl" minOccurs="0"/>
                <xsd:element ref="ns2:_dlc_DocIdPersistId" minOccurs="0"/>
                <xsd:element ref="ns3:Product_x0020_Line" minOccurs="0"/>
                <xsd:element ref="ns3:Number_x0020_of_x0020_IFUs" minOccurs="0"/>
                <xsd:element ref="ns3:Documentum_x0020_comments" minOccurs="0"/>
                <xsd:element ref="ns3:Edits_x0020_for_x0020_Peer_x0020_Review" minOccurs="0"/>
                <xsd:element ref="ns3:Edits_x0020_Peer_x0020_Review_x0020_Start" minOccurs="0"/>
                <xsd:element ref="ns3:Edits_x0020_Required" minOccurs="0"/>
                <xsd:element ref="ns3:Loaded_x0020_into_x0020_Documentum" minOccurs="0"/>
                <xsd:element ref="ns3:Peer_x0020_Review_x0020_Start" minOccurs="0"/>
                <xsd:element ref="ns3:Ready_x0020_for_x0020_Documentum" minOccurs="0"/>
                <xsd:element ref="ns3:Ready_x0020_for_x0020_Peer_x0020_Review" minOccurs="0"/>
                <xsd:element ref="ns3:Requester_x0020_comments" minOccurs="0"/>
                <xsd:element ref="ns3:Work_x0020_Started" minOccurs="0"/>
                <xsd:element ref="ns3:Workflow_x0020_Initiated" minOccurs="0"/>
                <xsd:element ref="ns3:Date_x0020_CLSIs_x0020_need_x0020_to_x0020_be_x0020_in_x0020_Document_x0020_Library" minOccurs="0"/>
                <xsd:element ref="ns3:_dlc_BarcodeValue" minOccurs="0"/>
                <xsd:element ref="ns3:_dlc_BarcodeImage" minOccurs="0"/>
                <xsd:element ref="ns3:_dlc_BarcodePreview" minOccurs="0"/>
                <xsd:element ref="ns3:Peer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a24a0-89a6-4b4d-b2a8-417e09644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7157bd-36c8-4c10-a326-f3e175981c16" elementFormDefault="qualified">
    <xsd:import namespace="http://schemas.microsoft.com/office/2006/documentManagement/types"/>
    <xsd:import namespace="http://schemas.microsoft.com/office/infopath/2007/PartnerControls"/>
    <xsd:element name="Product_x0020_Line" ma:index="11" nillable="true" ma:displayName="Product Line" ma:format="Dropdown" ma:internalName="Product_x0020_Line">
      <xsd:simpleType>
        <xsd:restriction base="dms:Choice">
          <xsd:enumeration value="ADVIA Centaur, ADVIA Centaur XP, and ADVIA Centaur XPT"/>
          <xsd:enumeration value="ADVIA Centaur CP"/>
          <xsd:enumeration value="ADVIA Chemistry XPT"/>
          <xsd:enumeration value="ADVIA 1800 Chemistry"/>
          <xsd:enumeration value="ADVIA 2400 Chemistry"/>
          <xsd:enumeration value="Atellica CH"/>
          <xsd:enumeration value="Atellica IM"/>
          <xsd:enumeration value="Dimension"/>
          <xsd:enumeration value="Dimension Vista"/>
          <xsd:enumeration value="Hemostasis"/>
          <xsd:enumeration value="IMMULITE 1000"/>
          <xsd:enumeration value="IMMULITE 2000"/>
          <xsd:enumeration value="IMMULITE 2000 XPi"/>
          <xsd:enumeration value="Syva"/>
        </xsd:restriction>
      </xsd:simpleType>
    </xsd:element>
    <xsd:element name="Number_x0020_of_x0020_IFUs" ma:index="12" nillable="true" ma:displayName="Number of IFUs" ma:format="Dropdown" ma:internalName="Number_x0020_of_x0020_IFU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element name="Documentum_x0020_comments" ma:index="13" nillable="true" ma:displayName="Documentum comments" ma:description="This field is only to be used by the Documentum loader." ma:internalName="Documentum_x0020_comments">
      <xsd:simpleType>
        <xsd:restriction base="dms:Note">
          <xsd:maxLength value="255"/>
        </xsd:restriction>
      </xsd:simpleType>
    </xsd:element>
    <xsd:element name="Edits_x0020_for_x0020_Peer_x0020_Review" ma:index="14" nillable="true" ma:displayName="Edits for Peer Review" ma:format="DateOnly" ma:internalName="Edits_x0020_for_x0020_Peer_x0020_Review">
      <xsd:simpleType>
        <xsd:restriction base="dms:DateTime"/>
      </xsd:simpleType>
    </xsd:element>
    <xsd:element name="Edits_x0020_Peer_x0020_Review_x0020_Start" ma:index="15" nillable="true" ma:displayName="Edits Peer Review Start" ma:format="DateOnly" ma:internalName="Edits_x0020_Peer_x0020_Review_x0020_Start">
      <xsd:simpleType>
        <xsd:restriction base="dms:DateTime"/>
      </xsd:simpleType>
    </xsd:element>
    <xsd:element name="Edits_x0020_Required" ma:index="16" nillable="true" ma:displayName="Edits Required" ma:format="DateOnly" ma:internalName="Edits_x0020_Required">
      <xsd:simpleType>
        <xsd:restriction base="dms:DateTime"/>
      </xsd:simpleType>
    </xsd:element>
    <xsd:element name="Loaded_x0020_into_x0020_Documentum" ma:index="17" nillable="true" ma:displayName="Loaded into Documentum" ma:format="DateOnly" ma:internalName="Loaded_x0020_into_x0020_Documentum">
      <xsd:simpleType>
        <xsd:restriction base="dms:DateTime"/>
      </xsd:simpleType>
    </xsd:element>
    <xsd:element name="Peer_x0020_Review_x0020_Start" ma:index="18" nillable="true" ma:displayName="Peer Review Start" ma:format="DateOnly" ma:internalName="Peer_x0020_Review_x0020_Start">
      <xsd:simpleType>
        <xsd:restriction base="dms:DateTime"/>
      </xsd:simpleType>
    </xsd:element>
    <xsd:element name="Ready_x0020_for_x0020_Documentum" ma:index="19" nillable="true" ma:displayName="Ready for Documentum" ma:format="DateOnly" ma:internalName="Ready_x0020_for_x0020_Documentum">
      <xsd:simpleType>
        <xsd:restriction base="dms:DateTime"/>
      </xsd:simpleType>
    </xsd:element>
    <xsd:element name="Ready_x0020_for_x0020_Peer_x0020_Review" ma:index="20" nillable="true" ma:displayName="Ready for Peer Review" ma:format="DateOnly" ma:internalName="Ready_x0020_for_x0020_Peer_x0020_Review">
      <xsd:simpleType>
        <xsd:restriction base="dms:DateTime"/>
      </xsd:simpleType>
    </xsd:element>
    <xsd:element name="Requester_x0020_comments" ma:index="21" nillable="true" ma:displayName="Requester comments" ma:description="Use this field for special processing instructions." ma:internalName="Requester_x0020_comments">
      <xsd:simpleType>
        <xsd:restriction base="dms:Note">
          <xsd:maxLength value="255"/>
        </xsd:restriction>
      </xsd:simpleType>
    </xsd:element>
    <xsd:element name="Work_x0020_Started" ma:index="22" nillable="true" ma:displayName="Work Started" ma:format="DateOnly" ma:internalName="Work_x0020_Started">
      <xsd:simpleType>
        <xsd:restriction base="dms:DateTime"/>
      </xsd:simpleType>
    </xsd:element>
    <xsd:element name="Workflow_x0020_Initiated" ma:index="23" nillable="true" ma:displayName="Workflow Initiated" ma:format="DateOnly" ma:internalName="Workflow_x0020_Initiated">
      <xsd:simpleType>
        <xsd:restriction base="dms:DateTime"/>
      </xsd:simpleType>
    </xsd:element>
    <xsd:element name="Date_x0020_CLSIs_x0020_need_x0020_to_x0020_be_x0020_in_x0020_Document_x0020_Library" ma:index="25" nillable="true" ma:displayName="Date CLSIs need to be in Document Library" ma:format="DateOnly" ma:internalName="Date_x0020_CLSIs_x0020_need_x0020_to_x0020_be_x0020_in_x0020_Document_x0020_Library">
      <xsd:simpleType>
        <xsd:restriction base="dms:DateTime"/>
      </xsd:simpleType>
    </xsd:element>
    <xsd:element name="_dlc_BarcodeValue" ma:index="32" nillable="true" ma:displayName="Barcode Value" ma:description="The value of the barcode assigned to this item." ma:internalName="_dlc_BarcodeValue" ma:readOnly="true">
      <xsd:simpleType>
        <xsd:restriction base="dms:Text"/>
      </xsd:simpleType>
    </xsd:element>
    <xsd:element name="_dlc_BarcodeImage" ma:index="33" nillable="true" ma:displayName="Barcode Image" ma:description="" ma:hidden="true" ma:internalName="_dlc_BarcodeImage" ma:readOnly="false">
      <xsd:simpleType>
        <xsd:restriction base="dms:Note"/>
      </xsd:simpleType>
    </xsd:element>
    <xsd:element name="_dlc_BarcodePreview" ma:index="34"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eer_x0020_Reviewer" ma:index="35" nillable="true" ma:displayName="Who will perform peer review?" ma:description="Last name, first name" ma:list="UserInfo" ma:SharePointGroup="264" ma:internalName="Peer_x0020_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its_x0020_Peer_x0020_Review_x0020_Start xmlns="fd7157bd-36c8-4c10-a326-f3e175981c16" xsi:nil="true"/>
    <Peer_x0020_Review_x0020_Start xmlns="fd7157bd-36c8-4c10-a326-f3e175981c16" xsi:nil="true"/>
    <Ready_x0020_for_x0020_Peer_x0020_Review xmlns="fd7157bd-36c8-4c10-a326-f3e175981c16" xsi:nil="true"/>
    <Ready_x0020_for_x0020_Documentum xmlns="fd7157bd-36c8-4c10-a326-f3e175981c16" xsi:nil="true"/>
    <_dlc_BarcodeImage xmlns="fd7157bd-36c8-4c10-a326-f3e175981c16" xsi:nil="true"/>
    <Work_x0020_Started xmlns="fd7157bd-36c8-4c10-a326-f3e175981c16" xsi:nil="true"/>
    <Number_x0020_of_x0020_IFUs xmlns="fd7157bd-36c8-4c10-a326-f3e175981c16" xsi:nil="true"/>
    <Loaded_x0020_into_x0020_Documentum xmlns="fd7157bd-36c8-4c10-a326-f3e175981c16" xsi:nil="true"/>
    <Peer_x0020_Reviewer xmlns="fd7157bd-36c8-4c10-a326-f3e175981c16">
      <UserInfo>
        <DisplayName/>
        <AccountId xsi:nil="true"/>
        <AccountType/>
      </UserInfo>
    </Peer_x0020_Reviewer>
    <Edits_x0020_for_x0020_Peer_x0020_Review xmlns="fd7157bd-36c8-4c10-a326-f3e175981c16" xsi:nil="true"/>
    <Product_x0020_Line xmlns="fd7157bd-36c8-4c10-a326-f3e175981c16" xsi:nil="true"/>
    <Edits_x0020_Required xmlns="fd7157bd-36c8-4c10-a326-f3e175981c16" xsi:nil="true"/>
    <Documentum_x0020_comments xmlns="fd7157bd-36c8-4c10-a326-f3e175981c16" xsi:nil="true"/>
    <Workflow_x0020_Initiated xmlns="fd7157bd-36c8-4c10-a326-f3e175981c16" xsi:nil="true"/>
    <Date_x0020_CLSIs_x0020_need_x0020_to_x0020_be_x0020_in_x0020_Document_x0020_Library xmlns="fd7157bd-36c8-4c10-a326-f3e175981c16" xsi:nil="true"/>
    <Requester_x0020_comments xmlns="fd7157bd-36c8-4c10-a326-f3e175981c16" xsi:nil="true"/>
    <_dlc_DocId xmlns="727a24a0-89a6-4b4d-b2a8-417e09644f66">QCEPYHJMS4FS-65-3356</_dlc_DocId>
    <_dlc_DocIdUrl xmlns="727a24a0-89a6-4b4d-b2a8-417e09644f66">
      <Url>https://teamspace-us.healthcare.siemens.com/content/40005956/uid_request/_layouts/15/DocIdRedir.aspx?ID=QCEPYHJMS4FS-65-3356</Url>
      <Description>QCEPYHJMS4FS-65-3356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8A74-E1E1-4856-92B2-65E5169585FB}">
  <ds:schemaRefs>
    <ds:schemaRef ds:uri="http://schemas.microsoft.com/sharepoint/events"/>
  </ds:schemaRefs>
</ds:datastoreItem>
</file>

<file path=customXml/itemProps2.xml><?xml version="1.0" encoding="utf-8"?>
<ds:datastoreItem xmlns:ds="http://schemas.openxmlformats.org/officeDocument/2006/customXml" ds:itemID="{D057EE0E-A693-4CF2-AC15-DC57055E0A77}">
  <ds:schemaRefs>
    <ds:schemaRef ds:uri="http://schemas.microsoft.com/sharepoint/v3/contenttype/forms"/>
  </ds:schemaRefs>
</ds:datastoreItem>
</file>

<file path=customXml/itemProps3.xml><?xml version="1.0" encoding="utf-8"?>
<ds:datastoreItem xmlns:ds="http://schemas.openxmlformats.org/officeDocument/2006/customXml" ds:itemID="{68ED92A0-189E-4AE5-9561-5D6B1A0F0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a24a0-89a6-4b4d-b2a8-417e09644f66"/>
    <ds:schemaRef ds:uri="fd7157bd-36c8-4c10-a326-f3e175981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88FA1-D36E-4EAC-BAE0-F96648D50383}">
  <ds:schemaRefs>
    <ds:schemaRef ds:uri="http://schemas.microsoft.com/office/2006/metadata/properties"/>
    <ds:schemaRef ds:uri="http://schemas.microsoft.com/office/infopath/2007/PartnerControls"/>
    <ds:schemaRef ds:uri="fd7157bd-36c8-4c10-a326-f3e175981c16"/>
    <ds:schemaRef ds:uri="727a24a0-89a6-4b4d-b2a8-417e09644f66"/>
  </ds:schemaRefs>
</ds:datastoreItem>
</file>

<file path=customXml/itemProps5.xml><?xml version="1.0" encoding="utf-8"?>
<ds:datastoreItem xmlns:ds="http://schemas.openxmlformats.org/officeDocument/2006/customXml" ds:itemID="{78A8E3D5-F223-4B6A-B623-A9208A2E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CLSI Template_HCL</Template>
  <TotalTime>55</TotalTime>
  <Pages>10</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Deepha Selvaraj</dc:creator>
  <cp:keywords/>
  <cp:lastModifiedBy>Napert, Debra A</cp:lastModifiedBy>
  <cp:revision>45</cp:revision>
  <cp:lastPrinted>2021-06-03T17:51:00Z</cp:lastPrinted>
  <dcterms:created xsi:type="dcterms:W3CDTF">2021-04-20T21:09:00Z</dcterms:created>
  <dcterms:modified xsi:type="dcterms:W3CDTF">2021-06-03T18:00:00Z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0x0101000C52EBD694D11C458F057345CC8B310D</vt:lpwstr>
  </property>
  <property fmtid="{D5CDD505-2E9C-101B-9397-08002B2CF9AE}" pid="3" name="_dlc_DocIdItemGuid">
    <vt:lpwstr>6ba7b2d6-ad89-4626-b1e7-224c2265b006</vt:lpwstr>
  </property>
</Properties>
</file>