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5" w:type="dxa"/>
        <w:jc w:val="center"/>
        <w:tblLayout w:type="fixed"/>
        <w:tblLook w:val="04A0" w:firstRow="1" w:lastRow="0" w:firstColumn="1" w:lastColumn="0" w:noHBand="0" w:noVBand="1"/>
      </w:tblPr>
      <w:tblGrid>
        <w:gridCol w:w="1472"/>
        <w:gridCol w:w="2533"/>
        <w:gridCol w:w="1080"/>
        <w:gridCol w:w="490"/>
        <w:gridCol w:w="1764"/>
        <w:gridCol w:w="1301"/>
        <w:gridCol w:w="1075"/>
      </w:tblGrid>
      <w:tr w:rsidR="00465175" w14:paraId="71557003" w14:textId="6A6A7FF4" w:rsidTr="00636B74">
        <w:trPr>
          <w:trHeight w:val="230"/>
          <w:jc w:val="center"/>
        </w:trPr>
        <w:tc>
          <w:tcPr>
            <w:tcW w:w="9715" w:type="dxa"/>
            <w:gridSpan w:val="7"/>
            <w:shd w:val="clear" w:color="auto" w:fill="D9D9D9" w:themeFill="background1" w:themeFillShade="D9"/>
            <w:tcMar>
              <w:top w:w="58" w:type="dxa"/>
              <w:left w:w="29" w:type="dxa"/>
              <w:bottom w:w="58" w:type="dxa"/>
              <w:right w:w="29" w:type="dxa"/>
            </w:tcMar>
            <w:vAlign w:val="center"/>
          </w:tcPr>
          <w:p w14:paraId="12BBA038" w14:textId="03F21C7A" w:rsidR="00465175" w:rsidRPr="00A2625A" w:rsidRDefault="00465175">
            <w:pPr>
              <w:pStyle w:val="Heading1"/>
              <w:outlineLvl w:val="0"/>
            </w:pPr>
            <w:r w:rsidRPr="00A2625A">
              <w:t xml:space="preserve">Total </w:t>
            </w:r>
            <w:proofErr w:type="spellStart"/>
            <w:r w:rsidRPr="00A2625A">
              <w:t>hCG</w:t>
            </w:r>
            <w:proofErr w:type="spellEnd"/>
            <w:r>
              <w:t xml:space="preserve">  -    Qualitative &amp; Quantitative </w:t>
            </w:r>
          </w:p>
        </w:tc>
      </w:tr>
      <w:tr w:rsidR="00465175" w14:paraId="0AE6679F" w14:textId="42FE3007" w:rsidTr="00720532">
        <w:trPr>
          <w:trHeight w:val="241"/>
          <w:jc w:val="center"/>
        </w:trPr>
        <w:tc>
          <w:tcPr>
            <w:tcW w:w="9715" w:type="dxa"/>
            <w:gridSpan w:val="7"/>
            <w:shd w:val="clear" w:color="auto" w:fill="D9D9D9" w:themeFill="background1" w:themeFillShade="D9"/>
            <w:tcMar>
              <w:top w:w="58" w:type="dxa"/>
              <w:left w:w="29" w:type="dxa"/>
              <w:bottom w:w="58" w:type="dxa"/>
              <w:right w:w="29" w:type="dxa"/>
            </w:tcMar>
            <w:vAlign w:val="center"/>
          </w:tcPr>
          <w:p w14:paraId="2C85526A" w14:textId="7BF9FC52" w:rsidR="00465175" w:rsidRPr="00EB46CC" w:rsidRDefault="00465175">
            <w:pPr>
              <w:pStyle w:val="Heading1"/>
              <w:outlineLvl w:val="0"/>
            </w:pPr>
            <w:r w:rsidRPr="00EB46CC">
              <w:t>ADVIA Centaur</w:t>
            </w:r>
            <w:r w:rsidRPr="00EB46CC">
              <w:rPr>
                <w:vertAlign w:val="superscript"/>
              </w:rPr>
              <w:t>®</w:t>
            </w:r>
            <w:r w:rsidRPr="00EB46CC">
              <w:t>, ADVIA Centaur</w:t>
            </w:r>
            <w:r w:rsidRPr="00EB46CC">
              <w:rPr>
                <w:vertAlign w:val="superscript"/>
              </w:rPr>
              <w:t>®</w:t>
            </w:r>
            <w:r w:rsidRPr="00EB46CC">
              <w:t xml:space="preserve"> XP, and ADVIA Centaur</w:t>
            </w:r>
            <w:r w:rsidRPr="00EB46CC">
              <w:rPr>
                <w:vertAlign w:val="superscript"/>
              </w:rPr>
              <w:t>®</w:t>
            </w:r>
            <w:r>
              <w:rPr>
                <w:vertAlign w:val="superscript"/>
              </w:rPr>
              <w:t xml:space="preserve"> </w:t>
            </w:r>
            <w:r w:rsidRPr="00EB46CC">
              <w:t>XPT Systems</w:t>
            </w:r>
          </w:p>
        </w:tc>
      </w:tr>
      <w:tr w:rsidR="00465175" w14:paraId="5F4D5CAF" w14:textId="11B76621" w:rsidTr="00A42886">
        <w:trPr>
          <w:trHeight w:val="199"/>
          <w:jc w:val="center"/>
        </w:trPr>
        <w:tc>
          <w:tcPr>
            <w:tcW w:w="1472" w:type="dxa"/>
            <w:tcBorders>
              <w:right w:val="nil"/>
            </w:tcBorders>
            <w:tcMar>
              <w:top w:w="58" w:type="dxa"/>
              <w:left w:w="29" w:type="dxa"/>
              <w:bottom w:w="58" w:type="dxa"/>
              <w:right w:w="29" w:type="dxa"/>
            </w:tcMar>
            <w:vAlign w:val="center"/>
          </w:tcPr>
          <w:p w14:paraId="4421F622" w14:textId="77777777" w:rsidR="00465175" w:rsidRDefault="00465175">
            <w:pPr>
              <w:rPr>
                <w:rFonts w:cs="Arial"/>
              </w:rPr>
            </w:pPr>
            <w:r>
              <w:rPr>
                <w:rFonts w:cs="Arial"/>
              </w:rPr>
              <w:t>Prepared by:</w:t>
            </w:r>
          </w:p>
        </w:tc>
        <w:tc>
          <w:tcPr>
            <w:tcW w:w="4103" w:type="dxa"/>
            <w:gridSpan w:val="3"/>
            <w:tcBorders>
              <w:left w:val="nil"/>
            </w:tcBorders>
            <w:tcMar>
              <w:top w:w="58" w:type="dxa"/>
              <w:left w:w="29" w:type="dxa"/>
              <w:bottom w:w="58" w:type="dxa"/>
              <w:right w:w="29" w:type="dxa"/>
            </w:tcMar>
            <w:vAlign w:val="center"/>
          </w:tcPr>
          <w:p w14:paraId="65EC591B" w14:textId="73AC0D07" w:rsidR="00465175" w:rsidRDefault="00B740AD">
            <w:pPr>
              <w:rPr>
                <w:rFonts w:cs="Arial"/>
              </w:rPr>
            </w:pPr>
            <w:r>
              <w:rPr>
                <w:rFonts w:cs="Arial"/>
              </w:rPr>
              <w:t>Debra Napert MT (ASCP)</w:t>
            </w:r>
          </w:p>
        </w:tc>
        <w:tc>
          <w:tcPr>
            <w:tcW w:w="1764" w:type="dxa"/>
            <w:tcBorders>
              <w:right w:val="nil"/>
            </w:tcBorders>
            <w:tcMar>
              <w:top w:w="58" w:type="dxa"/>
              <w:left w:w="29" w:type="dxa"/>
              <w:bottom w:w="58" w:type="dxa"/>
              <w:right w:w="29" w:type="dxa"/>
            </w:tcMar>
            <w:vAlign w:val="center"/>
          </w:tcPr>
          <w:p w14:paraId="37234A15" w14:textId="0F8FE400" w:rsidR="00465175" w:rsidRDefault="00465175">
            <w:pPr>
              <w:rPr>
                <w:rFonts w:cs="Arial"/>
              </w:rPr>
            </w:pPr>
            <w:r>
              <w:rPr>
                <w:rFonts w:cs="Arial"/>
              </w:rPr>
              <w:t>Adopted:</w:t>
            </w:r>
            <w:r w:rsidR="00B740AD">
              <w:rPr>
                <w:rFonts w:cs="Arial"/>
              </w:rPr>
              <w:t xml:space="preserve">  </w:t>
            </w:r>
          </w:p>
        </w:tc>
        <w:tc>
          <w:tcPr>
            <w:tcW w:w="2376" w:type="dxa"/>
            <w:gridSpan w:val="2"/>
            <w:tcBorders>
              <w:left w:val="nil"/>
            </w:tcBorders>
            <w:tcMar>
              <w:top w:w="58" w:type="dxa"/>
              <w:left w:w="29" w:type="dxa"/>
              <w:bottom w:w="58" w:type="dxa"/>
              <w:right w:w="29" w:type="dxa"/>
            </w:tcMar>
            <w:vAlign w:val="center"/>
          </w:tcPr>
          <w:p w14:paraId="43D5CD9D" w14:textId="77777777" w:rsidR="00465175" w:rsidRDefault="00465175">
            <w:pPr>
              <w:rPr>
                <w:rFonts w:cs="Arial"/>
              </w:rPr>
            </w:pPr>
          </w:p>
        </w:tc>
      </w:tr>
      <w:tr w:rsidR="00465175" w14:paraId="0E8A5D30" w14:textId="7C3DE0C4" w:rsidTr="00621AC2">
        <w:trPr>
          <w:trHeight w:val="188"/>
          <w:jc w:val="center"/>
        </w:trPr>
        <w:tc>
          <w:tcPr>
            <w:tcW w:w="1472" w:type="dxa"/>
            <w:tcBorders>
              <w:right w:val="nil"/>
            </w:tcBorders>
            <w:tcMar>
              <w:top w:w="58" w:type="dxa"/>
              <w:left w:w="29" w:type="dxa"/>
              <w:bottom w:w="58" w:type="dxa"/>
              <w:right w:w="29" w:type="dxa"/>
            </w:tcMar>
            <w:vAlign w:val="center"/>
          </w:tcPr>
          <w:p w14:paraId="35E99A9D" w14:textId="77777777" w:rsidR="00465175" w:rsidRDefault="00465175">
            <w:pPr>
              <w:rPr>
                <w:rFonts w:cs="Arial"/>
              </w:rPr>
            </w:pPr>
            <w:r>
              <w:rPr>
                <w:rFonts w:cs="Arial"/>
              </w:rPr>
              <w:t>Approved by:</w:t>
            </w:r>
          </w:p>
        </w:tc>
        <w:tc>
          <w:tcPr>
            <w:tcW w:w="4103" w:type="dxa"/>
            <w:gridSpan w:val="3"/>
            <w:tcBorders>
              <w:left w:val="nil"/>
            </w:tcBorders>
            <w:tcMar>
              <w:top w:w="58" w:type="dxa"/>
              <w:left w:w="29" w:type="dxa"/>
              <w:bottom w:w="58" w:type="dxa"/>
              <w:right w:w="29" w:type="dxa"/>
            </w:tcMar>
            <w:vAlign w:val="center"/>
          </w:tcPr>
          <w:p w14:paraId="5DDD483C" w14:textId="77777777" w:rsidR="00465175" w:rsidRDefault="00465175">
            <w:pPr>
              <w:rPr>
                <w:rFonts w:cs="Arial"/>
              </w:rPr>
            </w:pPr>
          </w:p>
        </w:tc>
        <w:tc>
          <w:tcPr>
            <w:tcW w:w="1764" w:type="dxa"/>
            <w:tcBorders>
              <w:right w:val="nil"/>
            </w:tcBorders>
            <w:tcMar>
              <w:top w:w="58" w:type="dxa"/>
              <w:left w:w="29" w:type="dxa"/>
              <w:bottom w:w="58" w:type="dxa"/>
              <w:right w:w="29" w:type="dxa"/>
            </w:tcMar>
            <w:vAlign w:val="center"/>
          </w:tcPr>
          <w:p w14:paraId="0D28FF6A" w14:textId="640E9D4A" w:rsidR="00465175" w:rsidRDefault="00465175">
            <w:pPr>
              <w:rPr>
                <w:rFonts w:cs="Arial"/>
              </w:rPr>
            </w:pPr>
            <w:r>
              <w:rPr>
                <w:rFonts w:cs="Arial"/>
              </w:rPr>
              <w:t>Date:</w:t>
            </w:r>
            <w:r w:rsidR="00B740AD">
              <w:rPr>
                <w:rFonts w:cs="Arial"/>
              </w:rPr>
              <w:t xml:space="preserve">  </w:t>
            </w:r>
          </w:p>
        </w:tc>
        <w:tc>
          <w:tcPr>
            <w:tcW w:w="2376" w:type="dxa"/>
            <w:gridSpan w:val="2"/>
            <w:tcBorders>
              <w:left w:val="nil"/>
            </w:tcBorders>
            <w:tcMar>
              <w:top w:w="58" w:type="dxa"/>
              <w:left w:w="29" w:type="dxa"/>
              <w:bottom w:w="58" w:type="dxa"/>
              <w:right w:w="29" w:type="dxa"/>
            </w:tcMar>
            <w:vAlign w:val="center"/>
          </w:tcPr>
          <w:p w14:paraId="6CE4AC25" w14:textId="77777777" w:rsidR="00465175" w:rsidRDefault="00465175">
            <w:pPr>
              <w:rPr>
                <w:rFonts w:cs="Arial"/>
              </w:rPr>
            </w:pPr>
          </w:p>
        </w:tc>
      </w:tr>
      <w:tr w:rsidR="0033091E" w14:paraId="35FAEFD2" w14:textId="1BAD0BD8" w:rsidTr="00465175">
        <w:trPr>
          <w:trHeight w:val="923"/>
          <w:jc w:val="center"/>
        </w:trPr>
        <w:tc>
          <w:tcPr>
            <w:tcW w:w="9715" w:type="dxa"/>
            <w:gridSpan w:val="7"/>
            <w:tcBorders>
              <w:left w:val="nil"/>
              <w:bottom w:val="single" w:sz="4" w:space="0" w:color="auto"/>
              <w:right w:val="nil"/>
            </w:tcBorders>
            <w:tcMar>
              <w:top w:w="58" w:type="dxa"/>
              <w:left w:w="29" w:type="dxa"/>
              <w:bottom w:w="58" w:type="dxa"/>
              <w:right w:w="29" w:type="dxa"/>
            </w:tcMar>
          </w:tcPr>
          <w:p w14:paraId="58AC0F72" w14:textId="3E5B1F6E" w:rsidR="0033091E" w:rsidRDefault="0033091E">
            <w:pPr>
              <w:spacing w:before="480" w:after="120"/>
            </w:pPr>
            <w:r>
              <w:br w:type="page"/>
              <w:t>The medical or laboratory director or the director’s designee should review all copies of this procedure.</w:t>
            </w:r>
          </w:p>
        </w:tc>
      </w:tr>
      <w:tr w:rsidR="0033091E" w14:paraId="5586A831" w14:textId="5BD9682C" w:rsidTr="00465175">
        <w:trPr>
          <w:trHeight w:val="241"/>
          <w:jc w:val="center"/>
        </w:trPr>
        <w:tc>
          <w:tcPr>
            <w:tcW w:w="4005" w:type="dxa"/>
            <w:gridSpan w:val="2"/>
            <w:shd w:val="clear" w:color="auto" w:fill="D9D9D9" w:themeFill="background1" w:themeFillShade="D9"/>
            <w:tcMar>
              <w:top w:w="58" w:type="dxa"/>
              <w:left w:w="29" w:type="dxa"/>
              <w:bottom w:w="58" w:type="dxa"/>
              <w:right w:w="29" w:type="dxa"/>
            </w:tcMar>
          </w:tcPr>
          <w:p w14:paraId="76CF292C" w14:textId="77777777" w:rsidR="0033091E" w:rsidRDefault="0033091E">
            <w:pPr>
              <w:pStyle w:val="Heading1"/>
              <w:outlineLvl w:val="0"/>
            </w:pPr>
            <w:r>
              <w:t>Reviewer</w:t>
            </w:r>
          </w:p>
        </w:tc>
        <w:tc>
          <w:tcPr>
            <w:tcW w:w="1080" w:type="dxa"/>
            <w:shd w:val="clear" w:color="auto" w:fill="D9D9D9" w:themeFill="background1" w:themeFillShade="D9"/>
          </w:tcPr>
          <w:p w14:paraId="046B6DAE" w14:textId="77777777" w:rsidR="0033091E" w:rsidRDefault="0033091E">
            <w:pPr>
              <w:pStyle w:val="Heading1"/>
              <w:outlineLvl w:val="0"/>
            </w:pPr>
            <w:r>
              <w:t>Date</w:t>
            </w:r>
          </w:p>
        </w:tc>
        <w:tc>
          <w:tcPr>
            <w:tcW w:w="3555" w:type="dxa"/>
            <w:gridSpan w:val="3"/>
            <w:shd w:val="clear" w:color="auto" w:fill="D9D9D9" w:themeFill="background1" w:themeFillShade="D9"/>
          </w:tcPr>
          <w:p w14:paraId="285B66E2" w14:textId="5294DB99" w:rsidR="0033091E" w:rsidRDefault="0033091E">
            <w:pPr>
              <w:pStyle w:val="Heading1"/>
              <w:outlineLvl w:val="0"/>
            </w:pPr>
            <w:r>
              <w:t>Reviewer</w:t>
            </w:r>
          </w:p>
        </w:tc>
        <w:tc>
          <w:tcPr>
            <w:tcW w:w="1075" w:type="dxa"/>
            <w:shd w:val="clear" w:color="auto" w:fill="D9D9D9" w:themeFill="background1" w:themeFillShade="D9"/>
          </w:tcPr>
          <w:p w14:paraId="3E7E3F12" w14:textId="4A4168E8" w:rsidR="0033091E" w:rsidRDefault="0033091E">
            <w:pPr>
              <w:pStyle w:val="Heading1"/>
              <w:outlineLvl w:val="0"/>
            </w:pPr>
            <w:r>
              <w:t>Date</w:t>
            </w:r>
          </w:p>
        </w:tc>
      </w:tr>
      <w:tr w:rsidR="0033091E" w14:paraId="3431E1F6" w14:textId="0C465C46" w:rsidTr="00465175">
        <w:trPr>
          <w:trHeight w:val="335"/>
          <w:jc w:val="center"/>
        </w:trPr>
        <w:tc>
          <w:tcPr>
            <w:tcW w:w="4005" w:type="dxa"/>
            <w:gridSpan w:val="2"/>
            <w:tcMar>
              <w:top w:w="58" w:type="dxa"/>
              <w:left w:w="29" w:type="dxa"/>
              <w:bottom w:w="58" w:type="dxa"/>
              <w:right w:w="29" w:type="dxa"/>
            </w:tcMar>
          </w:tcPr>
          <w:p w14:paraId="29EF5391" w14:textId="77777777" w:rsidR="0033091E" w:rsidRDefault="0033091E">
            <w:pPr>
              <w:pStyle w:val="Heading1"/>
              <w:spacing w:after="120"/>
              <w:outlineLvl w:val="0"/>
              <w:rPr>
                <w:b w:val="0"/>
              </w:rPr>
            </w:pPr>
          </w:p>
        </w:tc>
        <w:tc>
          <w:tcPr>
            <w:tcW w:w="1080" w:type="dxa"/>
          </w:tcPr>
          <w:p w14:paraId="5D65AD80" w14:textId="77777777" w:rsidR="0033091E" w:rsidRDefault="0033091E">
            <w:pPr>
              <w:pStyle w:val="Heading1"/>
              <w:spacing w:after="120"/>
              <w:outlineLvl w:val="0"/>
              <w:rPr>
                <w:b w:val="0"/>
              </w:rPr>
            </w:pPr>
          </w:p>
        </w:tc>
        <w:tc>
          <w:tcPr>
            <w:tcW w:w="3555" w:type="dxa"/>
            <w:gridSpan w:val="3"/>
          </w:tcPr>
          <w:p w14:paraId="20BE00D0" w14:textId="77777777" w:rsidR="0033091E" w:rsidRDefault="0033091E">
            <w:pPr>
              <w:pStyle w:val="Heading1"/>
              <w:spacing w:after="120"/>
              <w:outlineLvl w:val="0"/>
              <w:rPr>
                <w:b w:val="0"/>
              </w:rPr>
            </w:pPr>
          </w:p>
        </w:tc>
        <w:tc>
          <w:tcPr>
            <w:tcW w:w="1075" w:type="dxa"/>
          </w:tcPr>
          <w:p w14:paraId="024EAEE4" w14:textId="77777777" w:rsidR="0033091E" w:rsidRDefault="0033091E">
            <w:pPr>
              <w:pStyle w:val="Heading1"/>
              <w:spacing w:after="120"/>
              <w:outlineLvl w:val="0"/>
              <w:rPr>
                <w:b w:val="0"/>
              </w:rPr>
            </w:pPr>
          </w:p>
        </w:tc>
      </w:tr>
      <w:tr w:rsidR="0033091E" w14:paraId="26893B41" w14:textId="1F9822EB" w:rsidTr="00465175">
        <w:trPr>
          <w:trHeight w:val="346"/>
          <w:jc w:val="center"/>
        </w:trPr>
        <w:tc>
          <w:tcPr>
            <w:tcW w:w="4005" w:type="dxa"/>
            <w:gridSpan w:val="2"/>
            <w:tcMar>
              <w:top w:w="58" w:type="dxa"/>
              <w:left w:w="29" w:type="dxa"/>
              <w:bottom w:w="58" w:type="dxa"/>
              <w:right w:w="29" w:type="dxa"/>
            </w:tcMar>
          </w:tcPr>
          <w:p w14:paraId="78B66F42" w14:textId="77777777" w:rsidR="0033091E" w:rsidRDefault="0033091E">
            <w:pPr>
              <w:pStyle w:val="Heading1"/>
              <w:spacing w:after="120"/>
              <w:outlineLvl w:val="0"/>
              <w:rPr>
                <w:b w:val="0"/>
              </w:rPr>
            </w:pPr>
          </w:p>
        </w:tc>
        <w:tc>
          <w:tcPr>
            <w:tcW w:w="1080" w:type="dxa"/>
          </w:tcPr>
          <w:p w14:paraId="09D72F77" w14:textId="77777777" w:rsidR="0033091E" w:rsidRDefault="0033091E">
            <w:pPr>
              <w:pStyle w:val="Heading1"/>
              <w:spacing w:after="120"/>
              <w:outlineLvl w:val="0"/>
              <w:rPr>
                <w:b w:val="0"/>
              </w:rPr>
            </w:pPr>
          </w:p>
        </w:tc>
        <w:tc>
          <w:tcPr>
            <w:tcW w:w="3555" w:type="dxa"/>
            <w:gridSpan w:val="3"/>
          </w:tcPr>
          <w:p w14:paraId="1F449EB5" w14:textId="77777777" w:rsidR="0033091E" w:rsidRDefault="0033091E">
            <w:pPr>
              <w:pStyle w:val="Heading1"/>
              <w:spacing w:after="120"/>
              <w:outlineLvl w:val="0"/>
              <w:rPr>
                <w:b w:val="0"/>
              </w:rPr>
            </w:pPr>
          </w:p>
        </w:tc>
        <w:tc>
          <w:tcPr>
            <w:tcW w:w="1075" w:type="dxa"/>
          </w:tcPr>
          <w:p w14:paraId="2A804CCB" w14:textId="77777777" w:rsidR="0033091E" w:rsidRDefault="0033091E">
            <w:pPr>
              <w:pStyle w:val="Heading1"/>
              <w:spacing w:after="120"/>
              <w:outlineLvl w:val="0"/>
              <w:rPr>
                <w:b w:val="0"/>
              </w:rPr>
            </w:pPr>
          </w:p>
        </w:tc>
      </w:tr>
      <w:tr w:rsidR="0033091E" w14:paraId="4C397BD4" w14:textId="170ED3CD" w:rsidTr="00465175">
        <w:trPr>
          <w:trHeight w:val="335"/>
          <w:jc w:val="center"/>
        </w:trPr>
        <w:tc>
          <w:tcPr>
            <w:tcW w:w="4005" w:type="dxa"/>
            <w:gridSpan w:val="2"/>
            <w:tcMar>
              <w:top w:w="58" w:type="dxa"/>
              <w:left w:w="29" w:type="dxa"/>
              <w:bottom w:w="58" w:type="dxa"/>
              <w:right w:w="29" w:type="dxa"/>
            </w:tcMar>
          </w:tcPr>
          <w:p w14:paraId="79B2FA9C" w14:textId="77777777" w:rsidR="0033091E" w:rsidRDefault="0033091E">
            <w:pPr>
              <w:pStyle w:val="Heading1"/>
              <w:spacing w:after="120"/>
              <w:outlineLvl w:val="0"/>
              <w:rPr>
                <w:b w:val="0"/>
              </w:rPr>
            </w:pPr>
          </w:p>
        </w:tc>
        <w:tc>
          <w:tcPr>
            <w:tcW w:w="1080" w:type="dxa"/>
          </w:tcPr>
          <w:p w14:paraId="6245363F" w14:textId="77777777" w:rsidR="0033091E" w:rsidRDefault="0033091E">
            <w:pPr>
              <w:pStyle w:val="Heading1"/>
              <w:spacing w:after="120"/>
              <w:outlineLvl w:val="0"/>
              <w:rPr>
                <w:b w:val="0"/>
              </w:rPr>
            </w:pPr>
          </w:p>
        </w:tc>
        <w:tc>
          <w:tcPr>
            <w:tcW w:w="3555" w:type="dxa"/>
            <w:gridSpan w:val="3"/>
          </w:tcPr>
          <w:p w14:paraId="143EE73B" w14:textId="77777777" w:rsidR="0033091E" w:rsidRDefault="0033091E">
            <w:pPr>
              <w:pStyle w:val="Heading1"/>
              <w:spacing w:after="120"/>
              <w:outlineLvl w:val="0"/>
              <w:rPr>
                <w:b w:val="0"/>
              </w:rPr>
            </w:pPr>
          </w:p>
        </w:tc>
        <w:tc>
          <w:tcPr>
            <w:tcW w:w="1075" w:type="dxa"/>
          </w:tcPr>
          <w:p w14:paraId="2EE020F6" w14:textId="77777777" w:rsidR="0033091E" w:rsidRDefault="0033091E">
            <w:pPr>
              <w:pStyle w:val="Heading1"/>
              <w:spacing w:after="120"/>
              <w:outlineLvl w:val="0"/>
              <w:rPr>
                <w:b w:val="0"/>
              </w:rPr>
            </w:pPr>
          </w:p>
        </w:tc>
      </w:tr>
      <w:tr w:rsidR="0033091E" w14:paraId="0EF0C713" w14:textId="675D4DC3" w:rsidTr="00465175">
        <w:trPr>
          <w:trHeight w:val="346"/>
          <w:jc w:val="center"/>
        </w:trPr>
        <w:tc>
          <w:tcPr>
            <w:tcW w:w="4005" w:type="dxa"/>
            <w:gridSpan w:val="2"/>
            <w:tcMar>
              <w:top w:w="58" w:type="dxa"/>
              <w:left w:w="29" w:type="dxa"/>
              <w:bottom w:w="58" w:type="dxa"/>
              <w:right w:w="29" w:type="dxa"/>
            </w:tcMar>
          </w:tcPr>
          <w:p w14:paraId="54505319" w14:textId="77777777" w:rsidR="0033091E" w:rsidRDefault="0033091E">
            <w:pPr>
              <w:pStyle w:val="Heading1"/>
              <w:spacing w:after="120"/>
              <w:outlineLvl w:val="0"/>
              <w:rPr>
                <w:b w:val="0"/>
              </w:rPr>
            </w:pPr>
          </w:p>
        </w:tc>
        <w:tc>
          <w:tcPr>
            <w:tcW w:w="1080" w:type="dxa"/>
          </w:tcPr>
          <w:p w14:paraId="2890D32E" w14:textId="77777777" w:rsidR="0033091E" w:rsidRDefault="0033091E">
            <w:pPr>
              <w:pStyle w:val="Heading1"/>
              <w:spacing w:after="120"/>
              <w:outlineLvl w:val="0"/>
              <w:rPr>
                <w:b w:val="0"/>
              </w:rPr>
            </w:pPr>
          </w:p>
        </w:tc>
        <w:tc>
          <w:tcPr>
            <w:tcW w:w="3555" w:type="dxa"/>
            <w:gridSpan w:val="3"/>
          </w:tcPr>
          <w:p w14:paraId="5702512B" w14:textId="77777777" w:rsidR="0033091E" w:rsidRDefault="0033091E">
            <w:pPr>
              <w:pStyle w:val="Heading1"/>
              <w:spacing w:after="120"/>
              <w:outlineLvl w:val="0"/>
              <w:rPr>
                <w:b w:val="0"/>
              </w:rPr>
            </w:pPr>
          </w:p>
        </w:tc>
        <w:tc>
          <w:tcPr>
            <w:tcW w:w="1075" w:type="dxa"/>
          </w:tcPr>
          <w:p w14:paraId="017D2E3A" w14:textId="77777777" w:rsidR="0033091E" w:rsidRDefault="0033091E">
            <w:pPr>
              <w:pStyle w:val="Heading1"/>
              <w:spacing w:after="120"/>
              <w:outlineLvl w:val="0"/>
              <w:rPr>
                <w:b w:val="0"/>
              </w:rPr>
            </w:pPr>
          </w:p>
        </w:tc>
      </w:tr>
      <w:tr w:rsidR="0033091E" w14:paraId="13566DFE" w14:textId="3A630844" w:rsidTr="00465175">
        <w:trPr>
          <w:trHeight w:val="335"/>
          <w:jc w:val="center"/>
        </w:trPr>
        <w:tc>
          <w:tcPr>
            <w:tcW w:w="4005" w:type="dxa"/>
            <w:gridSpan w:val="2"/>
            <w:tcMar>
              <w:top w:w="58" w:type="dxa"/>
              <w:left w:w="29" w:type="dxa"/>
              <w:bottom w:w="58" w:type="dxa"/>
              <w:right w:w="29" w:type="dxa"/>
            </w:tcMar>
          </w:tcPr>
          <w:p w14:paraId="4611DF52" w14:textId="77777777" w:rsidR="0033091E" w:rsidRDefault="0033091E">
            <w:pPr>
              <w:pStyle w:val="Heading1"/>
              <w:spacing w:after="120"/>
              <w:outlineLvl w:val="0"/>
              <w:rPr>
                <w:b w:val="0"/>
              </w:rPr>
            </w:pPr>
          </w:p>
        </w:tc>
        <w:tc>
          <w:tcPr>
            <w:tcW w:w="1080" w:type="dxa"/>
          </w:tcPr>
          <w:p w14:paraId="36B12834" w14:textId="77777777" w:rsidR="0033091E" w:rsidRDefault="0033091E">
            <w:pPr>
              <w:pStyle w:val="Heading1"/>
              <w:spacing w:after="120"/>
              <w:outlineLvl w:val="0"/>
              <w:rPr>
                <w:b w:val="0"/>
              </w:rPr>
            </w:pPr>
          </w:p>
        </w:tc>
        <w:tc>
          <w:tcPr>
            <w:tcW w:w="3555" w:type="dxa"/>
            <w:gridSpan w:val="3"/>
          </w:tcPr>
          <w:p w14:paraId="45601D72" w14:textId="77777777" w:rsidR="0033091E" w:rsidRDefault="0033091E">
            <w:pPr>
              <w:pStyle w:val="Heading1"/>
              <w:spacing w:after="120"/>
              <w:outlineLvl w:val="0"/>
              <w:rPr>
                <w:b w:val="0"/>
              </w:rPr>
            </w:pPr>
          </w:p>
        </w:tc>
        <w:tc>
          <w:tcPr>
            <w:tcW w:w="1075" w:type="dxa"/>
          </w:tcPr>
          <w:p w14:paraId="0440DE18" w14:textId="77777777" w:rsidR="0033091E" w:rsidRDefault="0033091E">
            <w:pPr>
              <w:pStyle w:val="Heading1"/>
              <w:spacing w:after="120"/>
              <w:outlineLvl w:val="0"/>
              <w:rPr>
                <w:b w:val="0"/>
              </w:rPr>
            </w:pPr>
          </w:p>
        </w:tc>
      </w:tr>
      <w:tr w:rsidR="0033091E" w14:paraId="68DB6136" w14:textId="4794DEF0" w:rsidTr="00465175">
        <w:trPr>
          <w:trHeight w:val="346"/>
          <w:jc w:val="center"/>
        </w:trPr>
        <w:tc>
          <w:tcPr>
            <w:tcW w:w="4005" w:type="dxa"/>
            <w:gridSpan w:val="2"/>
            <w:tcMar>
              <w:top w:w="58" w:type="dxa"/>
              <w:left w:w="29" w:type="dxa"/>
              <w:bottom w:w="58" w:type="dxa"/>
              <w:right w:w="29" w:type="dxa"/>
            </w:tcMar>
          </w:tcPr>
          <w:p w14:paraId="75C65900" w14:textId="77777777" w:rsidR="0033091E" w:rsidRDefault="0033091E">
            <w:pPr>
              <w:pStyle w:val="Heading1"/>
              <w:spacing w:after="120"/>
              <w:outlineLvl w:val="0"/>
              <w:rPr>
                <w:b w:val="0"/>
              </w:rPr>
            </w:pPr>
          </w:p>
        </w:tc>
        <w:tc>
          <w:tcPr>
            <w:tcW w:w="1080" w:type="dxa"/>
          </w:tcPr>
          <w:p w14:paraId="555149E3" w14:textId="77777777" w:rsidR="0033091E" w:rsidRDefault="0033091E">
            <w:pPr>
              <w:pStyle w:val="Heading1"/>
              <w:spacing w:after="120"/>
              <w:outlineLvl w:val="0"/>
              <w:rPr>
                <w:b w:val="0"/>
              </w:rPr>
            </w:pPr>
          </w:p>
        </w:tc>
        <w:tc>
          <w:tcPr>
            <w:tcW w:w="3555" w:type="dxa"/>
            <w:gridSpan w:val="3"/>
          </w:tcPr>
          <w:p w14:paraId="2A8C7118" w14:textId="77777777" w:rsidR="0033091E" w:rsidRDefault="0033091E">
            <w:pPr>
              <w:pStyle w:val="Heading1"/>
              <w:spacing w:after="120"/>
              <w:outlineLvl w:val="0"/>
              <w:rPr>
                <w:b w:val="0"/>
              </w:rPr>
            </w:pPr>
          </w:p>
        </w:tc>
        <w:tc>
          <w:tcPr>
            <w:tcW w:w="1075" w:type="dxa"/>
          </w:tcPr>
          <w:p w14:paraId="35397B13" w14:textId="77777777" w:rsidR="0033091E" w:rsidRDefault="0033091E">
            <w:pPr>
              <w:pStyle w:val="Heading1"/>
              <w:spacing w:after="120"/>
              <w:outlineLvl w:val="0"/>
              <w:rPr>
                <w:b w:val="0"/>
              </w:rPr>
            </w:pPr>
          </w:p>
        </w:tc>
      </w:tr>
      <w:tr w:rsidR="0033091E" w14:paraId="30C54300" w14:textId="7933523A" w:rsidTr="00465175">
        <w:trPr>
          <w:trHeight w:val="335"/>
          <w:jc w:val="center"/>
        </w:trPr>
        <w:tc>
          <w:tcPr>
            <w:tcW w:w="4005" w:type="dxa"/>
            <w:gridSpan w:val="2"/>
            <w:tcMar>
              <w:top w:w="58" w:type="dxa"/>
              <w:left w:w="29" w:type="dxa"/>
              <w:bottom w:w="58" w:type="dxa"/>
              <w:right w:w="29" w:type="dxa"/>
            </w:tcMar>
          </w:tcPr>
          <w:p w14:paraId="432D3700" w14:textId="77777777" w:rsidR="0033091E" w:rsidRDefault="0033091E">
            <w:pPr>
              <w:pStyle w:val="Heading1"/>
              <w:spacing w:after="120"/>
              <w:outlineLvl w:val="0"/>
              <w:rPr>
                <w:b w:val="0"/>
              </w:rPr>
            </w:pPr>
          </w:p>
        </w:tc>
        <w:tc>
          <w:tcPr>
            <w:tcW w:w="1080" w:type="dxa"/>
          </w:tcPr>
          <w:p w14:paraId="38A3C16F" w14:textId="77777777" w:rsidR="0033091E" w:rsidRDefault="0033091E">
            <w:pPr>
              <w:pStyle w:val="Heading1"/>
              <w:spacing w:after="120"/>
              <w:outlineLvl w:val="0"/>
              <w:rPr>
                <w:b w:val="0"/>
              </w:rPr>
            </w:pPr>
          </w:p>
        </w:tc>
        <w:tc>
          <w:tcPr>
            <w:tcW w:w="3555" w:type="dxa"/>
            <w:gridSpan w:val="3"/>
          </w:tcPr>
          <w:p w14:paraId="7D408F45" w14:textId="77777777" w:rsidR="0033091E" w:rsidRDefault="0033091E">
            <w:pPr>
              <w:pStyle w:val="Heading1"/>
              <w:spacing w:after="120"/>
              <w:outlineLvl w:val="0"/>
              <w:rPr>
                <w:b w:val="0"/>
              </w:rPr>
            </w:pPr>
          </w:p>
        </w:tc>
        <w:tc>
          <w:tcPr>
            <w:tcW w:w="1075" w:type="dxa"/>
          </w:tcPr>
          <w:p w14:paraId="40E68277" w14:textId="77777777" w:rsidR="0033091E" w:rsidRDefault="0033091E">
            <w:pPr>
              <w:pStyle w:val="Heading1"/>
              <w:spacing w:after="120"/>
              <w:outlineLvl w:val="0"/>
              <w:rPr>
                <w:b w:val="0"/>
              </w:rPr>
            </w:pPr>
          </w:p>
        </w:tc>
      </w:tr>
      <w:tr w:rsidR="0033091E" w14:paraId="682E0140" w14:textId="77777777" w:rsidTr="00465175">
        <w:trPr>
          <w:trHeight w:val="238"/>
          <w:jc w:val="center"/>
        </w:trPr>
        <w:tc>
          <w:tcPr>
            <w:tcW w:w="4005" w:type="dxa"/>
            <w:gridSpan w:val="2"/>
            <w:shd w:val="clear" w:color="auto" w:fill="D9D9D9" w:themeFill="background1" w:themeFillShade="D9"/>
            <w:tcMar>
              <w:top w:w="58" w:type="dxa"/>
              <w:left w:w="29" w:type="dxa"/>
              <w:bottom w:w="58" w:type="dxa"/>
              <w:right w:w="29" w:type="dxa"/>
            </w:tcMar>
            <w:vAlign w:val="bottom"/>
          </w:tcPr>
          <w:p w14:paraId="2A52813C" w14:textId="74DB9AA5" w:rsidR="0033091E" w:rsidRDefault="00FA218B">
            <w:pPr>
              <w:pStyle w:val="Heading1"/>
              <w:spacing w:after="120"/>
              <w:outlineLvl w:val="0"/>
              <w:rPr>
                <w:b w:val="0"/>
              </w:rPr>
            </w:pPr>
            <w:r>
              <w:rPr>
                <w:b w:val="0"/>
              </w:rPr>
              <w:t>Revisions</w:t>
            </w:r>
          </w:p>
        </w:tc>
        <w:tc>
          <w:tcPr>
            <w:tcW w:w="1080" w:type="dxa"/>
            <w:shd w:val="clear" w:color="auto" w:fill="D9D9D9" w:themeFill="background1" w:themeFillShade="D9"/>
            <w:vAlign w:val="bottom"/>
          </w:tcPr>
          <w:p w14:paraId="3A34B75E" w14:textId="52104B33" w:rsidR="0033091E" w:rsidRDefault="00FA218B">
            <w:pPr>
              <w:pStyle w:val="Heading1"/>
              <w:spacing w:after="120"/>
              <w:outlineLvl w:val="0"/>
              <w:rPr>
                <w:b w:val="0"/>
              </w:rPr>
            </w:pPr>
            <w:r>
              <w:rPr>
                <w:b w:val="0"/>
              </w:rPr>
              <w:t>Date</w:t>
            </w:r>
          </w:p>
        </w:tc>
        <w:tc>
          <w:tcPr>
            <w:tcW w:w="3555" w:type="dxa"/>
            <w:gridSpan w:val="3"/>
            <w:shd w:val="clear" w:color="auto" w:fill="D9D9D9" w:themeFill="background1" w:themeFillShade="D9"/>
            <w:vAlign w:val="bottom"/>
          </w:tcPr>
          <w:p w14:paraId="136B602A" w14:textId="30802FD2" w:rsidR="0033091E" w:rsidRDefault="00FA218B">
            <w:pPr>
              <w:pStyle w:val="Heading1"/>
              <w:spacing w:after="120"/>
              <w:outlineLvl w:val="0"/>
              <w:rPr>
                <w:b w:val="0"/>
              </w:rPr>
            </w:pPr>
            <w:r>
              <w:rPr>
                <w:b w:val="0"/>
              </w:rPr>
              <w:t>Authorized by</w:t>
            </w:r>
          </w:p>
        </w:tc>
        <w:tc>
          <w:tcPr>
            <w:tcW w:w="1075" w:type="dxa"/>
            <w:shd w:val="clear" w:color="auto" w:fill="D9D9D9" w:themeFill="background1" w:themeFillShade="D9"/>
            <w:vAlign w:val="bottom"/>
          </w:tcPr>
          <w:p w14:paraId="1954E04F" w14:textId="77777777" w:rsidR="0033091E" w:rsidRDefault="0033091E">
            <w:pPr>
              <w:pStyle w:val="Heading1"/>
              <w:spacing w:after="120"/>
              <w:outlineLvl w:val="0"/>
              <w:rPr>
                <w:b w:val="0"/>
              </w:rPr>
            </w:pPr>
          </w:p>
        </w:tc>
      </w:tr>
      <w:tr w:rsidR="0033091E" w14:paraId="390EB9A5" w14:textId="6627F1C2" w:rsidTr="00465175">
        <w:trPr>
          <w:trHeight w:val="265"/>
          <w:jc w:val="center"/>
        </w:trPr>
        <w:tc>
          <w:tcPr>
            <w:tcW w:w="4005" w:type="dxa"/>
            <w:gridSpan w:val="2"/>
            <w:tcMar>
              <w:top w:w="58" w:type="dxa"/>
              <w:left w:w="29" w:type="dxa"/>
              <w:bottom w:w="58" w:type="dxa"/>
              <w:right w:w="29" w:type="dxa"/>
            </w:tcMar>
            <w:vAlign w:val="center"/>
          </w:tcPr>
          <w:p w14:paraId="1AA8376F" w14:textId="77777777" w:rsidR="0033091E" w:rsidRDefault="0033091E">
            <w:pPr>
              <w:pStyle w:val="Heading1"/>
              <w:spacing w:after="120"/>
              <w:outlineLvl w:val="0"/>
              <w:rPr>
                <w:b w:val="0"/>
              </w:rPr>
            </w:pPr>
          </w:p>
        </w:tc>
        <w:tc>
          <w:tcPr>
            <w:tcW w:w="1080" w:type="dxa"/>
            <w:vAlign w:val="center"/>
          </w:tcPr>
          <w:p w14:paraId="42636E66" w14:textId="77777777" w:rsidR="0033091E" w:rsidRDefault="0033091E">
            <w:pPr>
              <w:pStyle w:val="Heading1"/>
              <w:spacing w:after="120"/>
              <w:outlineLvl w:val="0"/>
              <w:rPr>
                <w:b w:val="0"/>
              </w:rPr>
            </w:pPr>
          </w:p>
        </w:tc>
        <w:tc>
          <w:tcPr>
            <w:tcW w:w="3555" w:type="dxa"/>
            <w:gridSpan w:val="3"/>
            <w:vAlign w:val="center"/>
          </w:tcPr>
          <w:p w14:paraId="7B8F070F" w14:textId="77777777" w:rsidR="0033091E" w:rsidRDefault="0033091E">
            <w:pPr>
              <w:pStyle w:val="Heading1"/>
              <w:spacing w:after="120"/>
              <w:outlineLvl w:val="0"/>
              <w:rPr>
                <w:b w:val="0"/>
              </w:rPr>
            </w:pPr>
          </w:p>
        </w:tc>
        <w:tc>
          <w:tcPr>
            <w:tcW w:w="1075" w:type="dxa"/>
            <w:vAlign w:val="center"/>
          </w:tcPr>
          <w:p w14:paraId="25729A36" w14:textId="77777777" w:rsidR="0033091E" w:rsidRDefault="0033091E">
            <w:pPr>
              <w:pStyle w:val="Heading1"/>
              <w:spacing w:after="120"/>
              <w:outlineLvl w:val="0"/>
              <w:rPr>
                <w:b w:val="0"/>
              </w:rPr>
            </w:pPr>
          </w:p>
        </w:tc>
      </w:tr>
      <w:tr w:rsidR="0033091E" w14:paraId="18B1F947" w14:textId="3892D153" w:rsidTr="00465175">
        <w:trPr>
          <w:jc w:val="center"/>
        </w:trPr>
        <w:tc>
          <w:tcPr>
            <w:tcW w:w="4005" w:type="dxa"/>
            <w:gridSpan w:val="2"/>
            <w:tcMar>
              <w:top w:w="58" w:type="dxa"/>
              <w:left w:w="29" w:type="dxa"/>
              <w:bottom w:w="58" w:type="dxa"/>
              <w:right w:w="29" w:type="dxa"/>
            </w:tcMar>
            <w:vAlign w:val="center"/>
          </w:tcPr>
          <w:p w14:paraId="04F4B7B3" w14:textId="77777777" w:rsidR="0033091E" w:rsidRDefault="0033091E">
            <w:pPr>
              <w:pStyle w:val="Heading1"/>
              <w:spacing w:after="120"/>
              <w:outlineLvl w:val="0"/>
              <w:rPr>
                <w:b w:val="0"/>
              </w:rPr>
            </w:pPr>
          </w:p>
        </w:tc>
        <w:tc>
          <w:tcPr>
            <w:tcW w:w="1080" w:type="dxa"/>
            <w:vAlign w:val="center"/>
          </w:tcPr>
          <w:p w14:paraId="3B380FD1" w14:textId="77777777" w:rsidR="0033091E" w:rsidRDefault="0033091E">
            <w:pPr>
              <w:pStyle w:val="Heading1"/>
              <w:spacing w:after="120"/>
              <w:outlineLvl w:val="0"/>
              <w:rPr>
                <w:b w:val="0"/>
              </w:rPr>
            </w:pPr>
          </w:p>
        </w:tc>
        <w:tc>
          <w:tcPr>
            <w:tcW w:w="3555" w:type="dxa"/>
            <w:gridSpan w:val="3"/>
            <w:vAlign w:val="center"/>
          </w:tcPr>
          <w:p w14:paraId="70C38AD5" w14:textId="77777777" w:rsidR="0033091E" w:rsidRDefault="0033091E">
            <w:pPr>
              <w:pStyle w:val="Heading1"/>
              <w:spacing w:after="120"/>
              <w:outlineLvl w:val="0"/>
              <w:rPr>
                <w:b w:val="0"/>
              </w:rPr>
            </w:pPr>
          </w:p>
        </w:tc>
        <w:tc>
          <w:tcPr>
            <w:tcW w:w="1075" w:type="dxa"/>
            <w:vAlign w:val="center"/>
          </w:tcPr>
          <w:p w14:paraId="73753078" w14:textId="77777777" w:rsidR="0033091E" w:rsidRDefault="0033091E">
            <w:pPr>
              <w:pStyle w:val="Heading1"/>
              <w:spacing w:after="120"/>
              <w:outlineLvl w:val="0"/>
              <w:rPr>
                <w:b w:val="0"/>
              </w:rPr>
            </w:pPr>
          </w:p>
        </w:tc>
      </w:tr>
      <w:tr w:rsidR="0033091E" w14:paraId="5E0A1B29" w14:textId="71D16B32" w:rsidTr="00465175">
        <w:trPr>
          <w:jc w:val="center"/>
        </w:trPr>
        <w:tc>
          <w:tcPr>
            <w:tcW w:w="4005" w:type="dxa"/>
            <w:gridSpan w:val="2"/>
            <w:tcMar>
              <w:top w:w="58" w:type="dxa"/>
              <w:left w:w="29" w:type="dxa"/>
              <w:bottom w:w="58" w:type="dxa"/>
              <w:right w:w="29" w:type="dxa"/>
            </w:tcMar>
            <w:vAlign w:val="center"/>
          </w:tcPr>
          <w:p w14:paraId="7EB4E1D8" w14:textId="77777777" w:rsidR="0033091E" w:rsidRDefault="0033091E">
            <w:pPr>
              <w:pStyle w:val="Heading1"/>
              <w:spacing w:after="120"/>
              <w:outlineLvl w:val="0"/>
              <w:rPr>
                <w:b w:val="0"/>
              </w:rPr>
            </w:pPr>
          </w:p>
        </w:tc>
        <w:tc>
          <w:tcPr>
            <w:tcW w:w="1080" w:type="dxa"/>
            <w:vAlign w:val="center"/>
          </w:tcPr>
          <w:p w14:paraId="7C491F7D" w14:textId="77777777" w:rsidR="0033091E" w:rsidRDefault="0033091E">
            <w:pPr>
              <w:pStyle w:val="Heading1"/>
              <w:spacing w:after="120"/>
              <w:outlineLvl w:val="0"/>
              <w:rPr>
                <w:b w:val="0"/>
              </w:rPr>
            </w:pPr>
          </w:p>
        </w:tc>
        <w:tc>
          <w:tcPr>
            <w:tcW w:w="3555" w:type="dxa"/>
            <w:gridSpan w:val="3"/>
            <w:vAlign w:val="center"/>
          </w:tcPr>
          <w:p w14:paraId="1C4A00B7" w14:textId="77777777" w:rsidR="0033091E" w:rsidRDefault="0033091E">
            <w:pPr>
              <w:pStyle w:val="Heading1"/>
              <w:spacing w:after="120"/>
              <w:outlineLvl w:val="0"/>
              <w:rPr>
                <w:b w:val="0"/>
              </w:rPr>
            </w:pPr>
          </w:p>
        </w:tc>
        <w:tc>
          <w:tcPr>
            <w:tcW w:w="1075" w:type="dxa"/>
            <w:vAlign w:val="center"/>
          </w:tcPr>
          <w:p w14:paraId="0A0A43E5" w14:textId="77777777" w:rsidR="0033091E" w:rsidRDefault="0033091E">
            <w:pPr>
              <w:pStyle w:val="Heading1"/>
              <w:spacing w:after="120"/>
              <w:outlineLvl w:val="0"/>
              <w:rPr>
                <w:b w:val="0"/>
              </w:rPr>
            </w:pPr>
          </w:p>
        </w:tc>
      </w:tr>
      <w:tr w:rsidR="0033091E" w14:paraId="425E211A" w14:textId="46DB5CDE" w:rsidTr="00465175">
        <w:trPr>
          <w:jc w:val="center"/>
        </w:trPr>
        <w:tc>
          <w:tcPr>
            <w:tcW w:w="4005" w:type="dxa"/>
            <w:gridSpan w:val="2"/>
            <w:tcMar>
              <w:top w:w="58" w:type="dxa"/>
              <w:left w:w="29" w:type="dxa"/>
              <w:bottom w:w="58" w:type="dxa"/>
              <w:right w:w="29" w:type="dxa"/>
            </w:tcMar>
            <w:vAlign w:val="center"/>
          </w:tcPr>
          <w:p w14:paraId="44C0D3F4" w14:textId="77777777" w:rsidR="0033091E" w:rsidRDefault="0033091E">
            <w:pPr>
              <w:pStyle w:val="Heading1"/>
              <w:spacing w:after="120"/>
              <w:outlineLvl w:val="0"/>
              <w:rPr>
                <w:b w:val="0"/>
              </w:rPr>
            </w:pPr>
          </w:p>
        </w:tc>
        <w:tc>
          <w:tcPr>
            <w:tcW w:w="1080" w:type="dxa"/>
            <w:vAlign w:val="center"/>
          </w:tcPr>
          <w:p w14:paraId="34900C3C" w14:textId="77777777" w:rsidR="0033091E" w:rsidRDefault="0033091E">
            <w:pPr>
              <w:pStyle w:val="Heading1"/>
              <w:spacing w:after="120"/>
              <w:outlineLvl w:val="0"/>
              <w:rPr>
                <w:b w:val="0"/>
              </w:rPr>
            </w:pPr>
          </w:p>
        </w:tc>
        <w:tc>
          <w:tcPr>
            <w:tcW w:w="3555" w:type="dxa"/>
            <w:gridSpan w:val="3"/>
            <w:vAlign w:val="center"/>
          </w:tcPr>
          <w:p w14:paraId="15323669" w14:textId="77777777" w:rsidR="0033091E" w:rsidRDefault="0033091E">
            <w:pPr>
              <w:pStyle w:val="Heading1"/>
              <w:spacing w:after="120"/>
              <w:outlineLvl w:val="0"/>
              <w:rPr>
                <w:b w:val="0"/>
              </w:rPr>
            </w:pPr>
          </w:p>
        </w:tc>
        <w:tc>
          <w:tcPr>
            <w:tcW w:w="1075" w:type="dxa"/>
            <w:vAlign w:val="center"/>
          </w:tcPr>
          <w:p w14:paraId="68867EB9" w14:textId="77777777" w:rsidR="0033091E" w:rsidRDefault="0033091E">
            <w:pPr>
              <w:pStyle w:val="Heading1"/>
              <w:spacing w:after="120"/>
              <w:outlineLvl w:val="0"/>
              <w:rPr>
                <w:b w:val="0"/>
              </w:rPr>
            </w:pPr>
          </w:p>
        </w:tc>
      </w:tr>
      <w:tr w:rsidR="0033091E" w14:paraId="4D532272" w14:textId="0AB86364" w:rsidTr="00465175">
        <w:trPr>
          <w:jc w:val="center"/>
        </w:trPr>
        <w:tc>
          <w:tcPr>
            <w:tcW w:w="4005" w:type="dxa"/>
            <w:gridSpan w:val="2"/>
            <w:tcMar>
              <w:top w:w="58" w:type="dxa"/>
              <w:left w:w="29" w:type="dxa"/>
              <w:bottom w:w="58" w:type="dxa"/>
              <w:right w:w="29" w:type="dxa"/>
            </w:tcMar>
            <w:vAlign w:val="center"/>
          </w:tcPr>
          <w:p w14:paraId="3028BCCF" w14:textId="77777777" w:rsidR="0033091E" w:rsidRDefault="0033091E">
            <w:pPr>
              <w:pStyle w:val="Heading1"/>
              <w:spacing w:after="120"/>
              <w:outlineLvl w:val="0"/>
              <w:rPr>
                <w:b w:val="0"/>
              </w:rPr>
            </w:pPr>
          </w:p>
        </w:tc>
        <w:tc>
          <w:tcPr>
            <w:tcW w:w="1080" w:type="dxa"/>
            <w:vAlign w:val="center"/>
          </w:tcPr>
          <w:p w14:paraId="25E02D4A" w14:textId="77777777" w:rsidR="0033091E" w:rsidRDefault="0033091E">
            <w:pPr>
              <w:pStyle w:val="Heading1"/>
              <w:spacing w:after="120"/>
              <w:outlineLvl w:val="0"/>
              <w:rPr>
                <w:b w:val="0"/>
              </w:rPr>
            </w:pPr>
          </w:p>
        </w:tc>
        <w:tc>
          <w:tcPr>
            <w:tcW w:w="3555" w:type="dxa"/>
            <w:gridSpan w:val="3"/>
            <w:vAlign w:val="center"/>
          </w:tcPr>
          <w:p w14:paraId="24362C6D" w14:textId="77777777" w:rsidR="0033091E" w:rsidRDefault="0033091E">
            <w:pPr>
              <w:pStyle w:val="Heading1"/>
              <w:spacing w:after="120"/>
              <w:outlineLvl w:val="0"/>
              <w:rPr>
                <w:b w:val="0"/>
              </w:rPr>
            </w:pPr>
          </w:p>
        </w:tc>
        <w:tc>
          <w:tcPr>
            <w:tcW w:w="1075" w:type="dxa"/>
            <w:vAlign w:val="center"/>
          </w:tcPr>
          <w:p w14:paraId="5EC9A12F" w14:textId="77777777" w:rsidR="0033091E" w:rsidRDefault="0033091E">
            <w:pPr>
              <w:pStyle w:val="Heading1"/>
              <w:spacing w:after="120"/>
              <w:outlineLvl w:val="0"/>
              <w:rPr>
                <w:b w:val="0"/>
              </w:rPr>
            </w:pPr>
          </w:p>
        </w:tc>
      </w:tr>
    </w:tbl>
    <w:p w14:paraId="42F342FD" w14:textId="77777777" w:rsidR="00A9590B" w:rsidRDefault="00A9590B" w:rsidP="00A9590B">
      <w:pPr>
        <w:jc w:val="center"/>
      </w:pPr>
    </w:p>
    <w:p w14:paraId="6D61D39E" w14:textId="77777777" w:rsidR="00A9590B" w:rsidRDefault="00A9590B" w:rsidP="00A9590B">
      <w:pPr>
        <w:jc w:val="center"/>
      </w:pPr>
    </w:p>
    <w:p w14:paraId="1E02CF4C" w14:textId="095DC52C" w:rsidR="00A9590B" w:rsidRDefault="00A9590B" w:rsidP="00A9590B">
      <w:pPr>
        <w:jc w:val="center"/>
      </w:pPr>
      <w:r>
        <w:t>Lifespan AMC – Department of Pathology</w:t>
      </w:r>
    </w:p>
    <w:p w14:paraId="6CD753F9" w14:textId="77777777" w:rsidR="00A9590B" w:rsidRPr="00F078D7" w:rsidRDefault="00A9590B" w:rsidP="00A9590B">
      <w:pPr>
        <w:tabs>
          <w:tab w:val="center" w:pos="4320"/>
          <w:tab w:val="right" w:pos="8640"/>
        </w:tabs>
        <w:spacing w:after="0"/>
        <w:jc w:val="center"/>
        <w:rPr>
          <w:rFonts w:cs="Arial"/>
          <w:b/>
          <w:sz w:val="18"/>
          <w:szCs w:val="18"/>
        </w:rPr>
      </w:pPr>
      <w:bookmarkStart w:id="0" w:name="_Hlk24538110"/>
      <w:r w:rsidRPr="00F078D7">
        <w:rPr>
          <w:rFonts w:cs="Arial"/>
          <w:sz w:val="18"/>
          <w:szCs w:val="18"/>
        </w:rPr>
        <w:t>The Miriam Hospital ___</w:t>
      </w:r>
      <w:r w:rsidRPr="00F078D7">
        <w:rPr>
          <w:rFonts w:cs="Arial"/>
          <w:sz w:val="18"/>
          <w:szCs w:val="18"/>
        </w:rPr>
        <w:tab/>
      </w:r>
      <w:r w:rsidRPr="00F078D7">
        <w:rPr>
          <w:rFonts w:cs="Arial"/>
          <w:sz w:val="18"/>
          <w:szCs w:val="18"/>
        </w:rPr>
        <w:tab/>
        <w:t>___ Rhode Island Hospital</w:t>
      </w:r>
    </w:p>
    <w:p w14:paraId="1BBD6E98" w14:textId="77777777" w:rsidR="00A9590B" w:rsidRPr="00F078D7" w:rsidRDefault="00A9590B" w:rsidP="00A9590B">
      <w:pPr>
        <w:tabs>
          <w:tab w:val="center" w:pos="4320"/>
          <w:tab w:val="right" w:pos="8640"/>
        </w:tabs>
        <w:spacing w:after="0"/>
        <w:jc w:val="center"/>
        <w:rPr>
          <w:rFonts w:cs="Arial"/>
          <w:b/>
          <w:sz w:val="18"/>
          <w:szCs w:val="18"/>
        </w:rPr>
      </w:pPr>
      <w:r w:rsidRPr="00F078D7">
        <w:rPr>
          <w:rFonts w:cs="Arial"/>
          <w:sz w:val="18"/>
          <w:szCs w:val="18"/>
        </w:rPr>
        <w:t>164 Summit Avenue</w:t>
      </w:r>
      <w:r w:rsidRPr="00F078D7">
        <w:rPr>
          <w:rFonts w:cs="Arial"/>
          <w:sz w:val="18"/>
          <w:szCs w:val="18"/>
        </w:rPr>
        <w:tab/>
      </w:r>
      <w:r w:rsidRPr="00F078D7">
        <w:rPr>
          <w:rFonts w:cs="Arial"/>
          <w:sz w:val="18"/>
          <w:szCs w:val="18"/>
        </w:rPr>
        <w:tab/>
        <w:t>593 Eddy Street</w:t>
      </w:r>
    </w:p>
    <w:p w14:paraId="4D488FDD" w14:textId="77777777" w:rsidR="00A9590B" w:rsidRPr="00F078D7" w:rsidRDefault="00A9590B" w:rsidP="00A9590B">
      <w:pPr>
        <w:tabs>
          <w:tab w:val="center" w:pos="4320"/>
          <w:tab w:val="right" w:pos="8640"/>
        </w:tabs>
        <w:spacing w:after="0"/>
        <w:jc w:val="center"/>
        <w:rPr>
          <w:rFonts w:cs="Arial"/>
          <w:b/>
          <w:sz w:val="18"/>
          <w:szCs w:val="18"/>
        </w:rPr>
      </w:pPr>
      <w:r w:rsidRPr="00F078D7">
        <w:rPr>
          <w:rFonts w:cs="Arial"/>
          <w:sz w:val="18"/>
          <w:szCs w:val="18"/>
        </w:rPr>
        <w:t>Providence, Rhode Island 02906</w:t>
      </w:r>
      <w:r w:rsidRPr="00F078D7">
        <w:rPr>
          <w:rFonts w:cs="Arial"/>
          <w:sz w:val="18"/>
          <w:szCs w:val="18"/>
        </w:rPr>
        <w:tab/>
      </w:r>
      <w:r w:rsidRPr="00F078D7">
        <w:rPr>
          <w:rFonts w:cs="Arial"/>
          <w:sz w:val="18"/>
          <w:szCs w:val="18"/>
        </w:rPr>
        <w:tab/>
        <w:t>Providence, Rhode Island 02903</w:t>
      </w:r>
    </w:p>
    <w:bookmarkEnd w:id="0"/>
    <w:p w14:paraId="2AE24471" w14:textId="7B9E24C3" w:rsidR="00A9590B" w:rsidRDefault="00A9590B">
      <w:r>
        <w:br w:type="page"/>
      </w:r>
    </w:p>
    <w:tbl>
      <w:tblPr>
        <w:tblStyle w:val="TableGrid"/>
        <w:tblW w:w="9590" w:type="dxa"/>
        <w:tblInd w:w="-14" w:type="dxa"/>
        <w:tblLayout w:type="fixed"/>
        <w:tblLook w:val="04A0" w:firstRow="1" w:lastRow="0" w:firstColumn="1" w:lastColumn="0" w:noHBand="0" w:noVBand="1"/>
      </w:tblPr>
      <w:tblGrid>
        <w:gridCol w:w="14"/>
        <w:gridCol w:w="1460"/>
        <w:gridCol w:w="4163"/>
        <w:gridCol w:w="976"/>
        <w:gridCol w:w="2963"/>
        <w:gridCol w:w="14"/>
      </w:tblGrid>
      <w:tr w:rsidR="00876E41" w14:paraId="54106E0F" w14:textId="77777777" w:rsidTr="1F1A2264">
        <w:trPr>
          <w:gridBefore w:val="1"/>
          <w:wBefore w:w="14" w:type="dxa"/>
          <w:cantSplit/>
        </w:trPr>
        <w:tc>
          <w:tcPr>
            <w:tcW w:w="9576" w:type="dxa"/>
            <w:gridSpan w:val="5"/>
            <w:tcBorders>
              <w:bottom w:val="single" w:sz="4" w:space="0" w:color="auto"/>
              <w:right w:val="single" w:sz="4" w:space="0" w:color="auto"/>
            </w:tcBorders>
            <w:shd w:val="clear" w:color="auto" w:fill="D9D9D9" w:themeFill="background1" w:themeFillShade="D9"/>
            <w:tcMar>
              <w:top w:w="58" w:type="dxa"/>
              <w:left w:w="43" w:type="dxa"/>
              <w:bottom w:w="58" w:type="dxa"/>
              <w:right w:w="43" w:type="dxa"/>
            </w:tcMar>
            <w:vAlign w:val="center"/>
          </w:tcPr>
          <w:p w14:paraId="456879AB" w14:textId="77777777" w:rsidR="00876E41" w:rsidRDefault="00A2625A">
            <w:pPr>
              <w:pStyle w:val="Heading1"/>
              <w:outlineLvl w:val="0"/>
            </w:pPr>
            <w:r w:rsidRPr="00A2625A">
              <w:lastRenderedPageBreak/>
              <w:t xml:space="preserve">Total </w:t>
            </w:r>
            <w:proofErr w:type="spellStart"/>
            <w:r w:rsidRPr="00A2625A">
              <w:t>hCG</w:t>
            </w:r>
            <w:proofErr w:type="spellEnd"/>
          </w:p>
        </w:tc>
      </w:tr>
      <w:tr w:rsidR="00876E41" w14:paraId="2DD0D640" w14:textId="77777777" w:rsidTr="1F1A2264">
        <w:trPr>
          <w:gridBefore w:val="1"/>
          <w:wBefore w:w="14" w:type="dxa"/>
          <w:cantSplit/>
        </w:trPr>
        <w:tc>
          <w:tcPr>
            <w:tcW w:w="1460" w:type="dxa"/>
            <w:tcBorders>
              <w:right w:val="nil"/>
            </w:tcBorders>
            <w:shd w:val="clear" w:color="auto" w:fill="D9D9D9" w:themeFill="background1" w:themeFillShade="D9"/>
            <w:tcMar>
              <w:top w:w="58" w:type="dxa"/>
              <w:left w:w="29" w:type="dxa"/>
              <w:bottom w:w="58" w:type="dxa"/>
              <w:right w:w="29" w:type="dxa"/>
            </w:tcMar>
            <w:vAlign w:val="center"/>
          </w:tcPr>
          <w:p w14:paraId="155B2698" w14:textId="77777777" w:rsidR="00876E41" w:rsidRDefault="005118FF">
            <w:pPr>
              <w:rPr>
                <w:rFonts w:cs="Arial"/>
                <w:b/>
              </w:rPr>
            </w:pPr>
            <w:r>
              <w:rPr>
                <w:rFonts w:cs="Arial"/>
                <w:b/>
              </w:rPr>
              <w:t>Attributes for:</w:t>
            </w:r>
          </w:p>
        </w:tc>
        <w:tc>
          <w:tcPr>
            <w:tcW w:w="4163" w:type="dxa"/>
            <w:tcBorders>
              <w:left w:val="nil"/>
              <w:right w:val="single" w:sz="4" w:space="0" w:color="auto"/>
            </w:tcBorders>
            <w:shd w:val="clear" w:color="auto" w:fill="D9D9D9" w:themeFill="background1" w:themeFillShade="D9"/>
            <w:tcMar>
              <w:top w:w="58" w:type="dxa"/>
              <w:left w:w="29" w:type="dxa"/>
              <w:bottom w:w="58" w:type="dxa"/>
              <w:right w:w="29" w:type="dxa"/>
            </w:tcMar>
            <w:vAlign w:val="center"/>
          </w:tcPr>
          <w:p w14:paraId="64E45355" w14:textId="77777777" w:rsidR="00876E41" w:rsidRDefault="00A2625A">
            <w:r>
              <w:t>H</w:t>
            </w:r>
            <w:r w:rsidRPr="00A2625A">
              <w:t>uman chorionic gonadotropin</w:t>
            </w:r>
          </w:p>
        </w:tc>
        <w:tc>
          <w:tcPr>
            <w:tcW w:w="976" w:type="dxa"/>
            <w:tcBorders>
              <w:left w:val="single" w:sz="4" w:space="0" w:color="auto"/>
              <w:right w:val="nil"/>
            </w:tcBorders>
            <w:shd w:val="clear" w:color="auto" w:fill="D9D9D9" w:themeFill="background1" w:themeFillShade="D9"/>
            <w:tcMar>
              <w:top w:w="58" w:type="dxa"/>
              <w:left w:w="29" w:type="dxa"/>
              <w:bottom w:w="58" w:type="dxa"/>
              <w:right w:w="29" w:type="dxa"/>
            </w:tcMar>
            <w:vAlign w:val="center"/>
          </w:tcPr>
          <w:p w14:paraId="265DD3F9" w14:textId="77777777" w:rsidR="00876E41" w:rsidRDefault="005118FF">
            <w:pPr>
              <w:rPr>
                <w:rFonts w:cs="Arial"/>
                <w:b/>
              </w:rPr>
            </w:pPr>
            <w:r>
              <w:rPr>
                <w:rFonts w:cs="Arial"/>
                <w:b/>
              </w:rPr>
              <w:t>Analyzer:</w:t>
            </w:r>
          </w:p>
        </w:tc>
        <w:tc>
          <w:tcPr>
            <w:tcW w:w="2977" w:type="dxa"/>
            <w:gridSpan w:val="2"/>
            <w:tcBorders>
              <w:left w:val="nil"/>
              <w:right w:val="single" w:sz="4" w:space="0" w:color="auto"/>
            </w:tcBorders>
            <w:shd w:val="clear" w:color="auto" w:fill="D9D9D9" w:themeFill="background1" w:themeFillShade="D9"/>
            <w:tcMar>
              <w:top w:w="58" w:type="dxa"/>
              <w:left w:w="29" w:type="dxa"/>
              <w:bottom w:w="58" w:type="dxa"/>
              <w:right w:w="29" w:type="dxa"/>
            </w:tcMar>
            <w:vAlign w:val="center"/>
          </w:tcPr>
          <w:p w14:paraId="7899C71A" w14:textId="77777777" w:rsidR="00EB46CC" w:rsidRPr="00EB46CC" w:rsidRDefault="00EB46CC" w:rsidP="00EB46CC">
            <w:pPr>
              <w:rPr>
                <w:rFonts w:cs="Arial"/>
              </w:rPr>
            </w:pPr>
            <w:r w:rsidRPr="00EB46CC">
              <w:rPr>
                <w:rFonts w:cs="Arial"/>
              </w:rPr>
              <w:t>ADVIA Centaur</w:t>
            </w:r>
            <w:r w:rsidRPr="00EB46CC">
              <w:rPr>
                <w:rFonts w:cs="Arial"/>
                <w:vertAlign w:val="superscript"/>
              </w:rPr>
              <w:t>®</w:t>
            </w:r>
          </w:p>
          <w:p w14:paraId="3E7833DF" w14:textId="77777777" w:rsidR="00EB46CC" w:rsidRPr="00EB46CC" w:rsidRDefault="00EB46CC" w:rsidP="00EB46CC">
            <w:pPr>
              <w:rPr>
                <w:rFonts w:cs="Arial"/>
              </w:rPr>
            </w:pPr>
            <w:r w:rsidRPr="00EB46CC">
              <w:rPr>
                <w:rFonts w:cs="Arial"/>
              </w:rPr>
              <w:t>ADVIA Centaur</w:t>
            </w:r>
            <w:r w:rsidRPr="00EB46CC">
              <w:rPr>
                <w:rFonts w:cs="Arial"/>
                <w:vertAlign w:val="superscript"/>
              </w:rPr>
              <w:t>®</w:t>
            </w:r>
            <w:r w:rsidRPr="00EB46CC">
              <w:rPr>
                <w:rFonts w:cs="Arial"/>
              </w:rPr>
              <w:t xml:space="preserve"> XP</w:t>
            </w:r>
          </w:p>
          <w:p w14:paraId="246ABC91" w14:textId="77777777" w:rsidR="00876E41" w:rsidRDefault="00EB46CC" w:rsidP="00EB46CC">
            <w:pPr>
              <w:rPr>
                <w:rFonts w:cs="Arial"/>
              </w:rPr>
            </w:pPr>
            <w:r w:rsidRPr="00EB46CC">
              <w:rPr>
                <w:rFonts w:cs="Arial"/>
              </w:rPr>
              <w:t>ADVIA Centaur</w:t>
            </w:r>
            <w:r w:rsidRPr="00EB46CC">
              <w:rPr>
                <w:rFonts w:cs="Arial"/>
                <w:vertAlign w:val="superscript"/>
              </w:rPr>
              <w:t>®</w:t>
            </w:r>
            <w:r w:rsidRPr="00EB46CC">
              <w:rPr>
                <w:rFonts w:cs="Arial"/>
              </w:rPr>
              <w:t xml:space="preserve"> XPT</w:t>
            </w:r>
          </w:p>
        </w:tc>
      </w:tr>
      <w:tr w:rsidR="00876E41" w14:paraId="4E75E7FF" w14:textId="77777777" w:rsidTr="1F1A2264">
        <w:trPr>
          <w:gridBefore w:val="1"/>
          <w:wBefore w:w="14" w:type="dxa"/>
          <w:cantSplit/>
        </w:trPr>
        <w:tc>
          <w:tcPr>
            <w:tcW w:w="9576" w:type="dxa"/>
            <w:gridSpan w:val="5"/>
            <w:tcBorders>
              <w:bottom w:val="nil"/>
              <w:right w:val="single" w:sz="4" w:space="0" w:color="auto"/>
            </w:tcBorders>
            <w:tcMar>
              <w:top w:w="58" w:type="dxa"/>
              <w:left w:w="29" w:type="dxa"/>
              <w:bottom w:w="58" w:type="dxa"/>
              <w:right w:w="29" w:type="dxa"/>
            </w:tcMar>
            <w:vAlign w:val="center"/>
          </w:tcPr>
          <w:p w14:paraId="7C045D22" w14:textId="77777777" w:rsidR="00876E41" w:rsidRDefault="005118FF">
            <w:pPr>
              <w:pStyle w:val="Heading1"/>
              <w:outlineLvl w:val="0"/>
              <w:rPr>
                <w:szCs w:val="24"/>
              </w:rPr>
            </w:pPr>
            <w:r>
              <w:rPr>
                <w:szCs w:val="24"/>
              </w:rPr>
              <w:t>Principles of the Procedure</w:t>
            </w:r>
          </w:p>
        </w:tc>
      </w:tr>
      <w:tr w:rsidR="00876E41" w14:paraId="1284EDD6" w14:textId="77777777" w:rsidTr="1F1A2264">
        <w:trPr>
          <w:gridBefore w:val="1"/>
          <w:wBefore w:w="14" w:type="dxa"/>
          <w:cantSplit/>
        </w:trPr>
        <w:tc>
          <w:tcPr>
            <w:tcW w:w="9576" w:type="dxa"/>
            <w:gridSpan w:val="5"/>
            <w:tcBorders>
              <w:top w:val="nil"/>
              <w:bottom w:val="single" w:sz="4" w:space="0" w:color="auto"/>
              <w:right w:val="single" w:sz="4" w:space="0" w:color="auto"/>
            </w:tcBorders>
            <w:tcMar>
              <w:top w:w="58" w:type="dxa"/>
              <w:left w:w="29" w:type="dxa"/>
              <w:bottom w:w="58" w:type="dxa"/>
              <w:right w:w="29" w:type="dxa"/>
            </w:tcMar>
            <w:vAlign w:val="center"/>
          </w:tcPr>
          <w:p w14:paraId="1C520B37" w14:textId="77777777" w:rsidR="00876E41" w:rsidRDefault="00A2625A" w:rsidP="00A2625A">
            <w:pPr>
              <w:pStyle w:val="Paragraph"/>
            </w:pPr>
            <w:r>
              <w:t xml:space="preserve">The ADVIA Centaur Total </w:t>
            </w:r>
            <w:proofErr w:type="spellStart"/>
            <w:r>
              <w:t>hCG</w:t>
            </w:r>
            <w:proofErr w:type="spellEnd"/>
            <w:r>
              <w:t xml:space="preserve"> (</w:t>
            </w:r>
            <w:proofErr w:type="spellStart"/>
            <w:r>
              <w:t>ThCG</w:t>
            </w:r>
            <w:proofErr w:type="spellEnd"/>
            <w:r>
              <w:t>) assay is a two-site sandwich immunoassay using direct chemiluminometric technology, which uses constant amounts of two antibodies. The first antibody, in the Lite Reagent, is a polyclonal goat anti-</w:t>
            </w:r>
            <w:proofErr w:type="spellStart"/>
            <w:r>
              <w:t>hCG</w:t>
            </w:r>
            <w:proofErr w:type="spellEnd"/>
            <w:r>
              <w:t xml:space="preserve"> antibody that has been affinity purified and labeled with acridinium ester. The second antibody, in the Solid Phase, is a purified monoclonal mouse anti-</w:t>
            </w:r>
            <w:proofErr w:type="spellStart"/>
            <w:r>
              <w:t>hCG</w:t>
            </w:r>
            <w:proofErr w:type="spellEnd"/>
            <w:r>
              <w:t xml:space="preserve"> antibody, which is covalently coupled to paramagnetic particles. These two antibodies are specific for different epitopes that are present on both the free ß-subunit and the ß-subunit of intact </w:t>
            </w:r>
            <w:proofErr w:type="spellStart"/>
            <w:r>
              <w:t>hCG</w:t>
            </w:r>
            <w:proofErr w:type="spellEnd"/>
            <w:r>
              <w:t>.</w:t>
            </w:r>
          </w:p>
        </w:tc>
      </w:tr>
      <w:tr w:rsidR="00876E41" w14:paraId="22663F91" w14:textId="77777777" w:rsidTr="1F1A2264">
        <w:trPr>
          <w:gridBefore w:val="1"/>
          <w:wBefore w:w="14" w:type="dxa"/>
          <w:cantSplit/>
        </w:trPr>
        <w:tc>
          <w:tcPr>
            <w:tcW w:w="9576" w:type="dxa"/>
            <w:gridSpan w:val="5"/>
            <w:tcBorders>
              <w:bottom w:val="nil"/>
              <w:right w:val="single" w:sz="4" w:space="0" w:color="auto"/>
            </w:tcBorders>
            <w:tcMar>
              <w:top w:w="58" w:type="dxa"/>
              <w:left w:w="29" w:type="dxa"/>
              <w:bottom w:w="58" w:type="dxa"/>
              <w:right w:w="29" w:type="dxa"/>
            </w:tcMar>
            <w:vAlign w:val="center"/>
          </w:tcPr>
          <w:p w14:paraId="10A4EEB5" w14:textId="77777777" w:rsidR="00876E41" w:rsidRDefault="005118FF">
            <w:pPr>
              <w:pStyle w:val="Heading1"/>
              <w:outlineLvl w:val="0"/>
              <w:rPr>
                <w:szCs w:val="24"/>
              </w:rPr>
            </w:pPr>
            <w:r>
              <w:rPr>
                <w:szCs w:val="24"/>
              </w:rPr>
              <w:t>Intended Use</w:t>
            </w:r>
          </w:p>
        </w:tc>
      </w:tr>
      <w:tr w:rsidR="00876E41" w14:paraId="14BE3F4E" w14:textId="77777777" w:rsidTr="1F1A2264">
        <w:trPr>
          <w:gridBefore w:val="1"/>
          <w:wBefore w:w="14" w:type="dxa"/>
          <w:cantSplit/>
        </w:trPr>
        <w:tc>
          <w:tcPr>
            <w:tcW w:w="9576" w:type="dxa"/>
            <w:gridSpan w:val="5"/>
            <w:tcBorders>
              <w:top w:val="nil"/>
              <w:bottom w:val="single" w:sz="4" w:space="0" w:color="auto"/>
              <w:right w:val="single" w:sz="4" w:space="0" w:color="auto"/>
            </w:tcBorders>
            <w:tcMar>
              <w:top w:w="58" w:type="dxa"/>
              <w:left w:w="29" w:type="dxa"/>
              <w:bottom w:w="58" w:type="dxa"/>
              <w:right w:w="29" w:type="dxa"/>
            </w:tcMar>
            <w:vAlign w:val="center"/>
          </w:tcPr>
          <w:p w14:paraId="23460B5E" w14:textId="77777777" w:rsidR="00876E41" w:rsidRDefault="00A2625A" w:rsidP="00A2625A">
            <w:pPr>
              <w:pStyle w:val="Paragraph"/>
            </w:pPr>
            <w:r>
              <w:t xml:space="preserve">For </w:t>
            </w:r>
            <w:r w:rsidRPr="00A2625A">
              <w:rPr>
                <w:i/>
              </w:rPr>
              <w:t>in vitro</w:t>
            </w:r>
            <w:r>
              <w:t xml:space="preserve"> diagnostic use in the quantitative determination of human chorionic gonadotropin (</w:t>
            </w:r>
            <w:proofErr w:type="spellStart"/>
            <w:r>
              <w:t>hCG</w:t>
            </w:r>
            <w:proofErr w:type="spellEnd"/>
            <w:r>
              <w:t>) in serum using the ADVIA Centaur</w:t>
            </w:r>
            <w:r w:rsidRPr="00A2625A">
              <w:rPr>
                <w:vertAlign w:val="superscript"/>
              </w:rPr>
              <w:t>®</w:t>
            </w:r>
            <w:r>
              <w:t xml:space="preserve">, ADVIA Centaur XP, and ADVIA Centaur XPT systems. The results obtained from </w:t>
            </w:r>
            <w:proofErr w:type="spellStart"/>
            <w:r>
              <w:t>hCG</w:t>
            </w:r>
            <w:proofErr w:type="spellEnd"/>
            <w:r>
              <w:t xml:space="preserve"> specimens are used as an aid in the assessment of pregnancy status. This assay detects the intact </w:t>
            </w:r>
            <w:proofErr w:type="spellStart"/>
            <w:r>
              <w:t>hCG</w:t>
            </w:r>
            <w:proofErr w:type="spellEnd"/>
            <w:r>
              <w:t xml:space="preserve"> molecule and free beta-subunits of the </w:t>
            </w:r>
            <w:proofErr w:type="spellStart"/>
            <w:r>
              <w:t>hCG</w:t>
            </w:r>
            <w:proofErr w:type="spellEnd"/>
            <w:r>
              <w:t xml:space="preserve"> molecule.</w:t>
            </w:r>
          </w:p>
          <w:p w14:paraId="47A15ECA" w14:textId="290A6CAE" w:rsidR="00B740AD" w:rsidRDefault="00157934" w:rsidP="00A31398">
            <w:pPr>
              <w:pStyle w:val="Paragraph"/>
            </w:pPr>
            <w:r w:rsidRPr="00032E26">
              <w:t xml:space="preserve">This method will be used for both qualitative and quantitative </w:t>
            </w:r>
            <w:proofErr w:type="spellStart"/>
            <w:r w:rsidRPr="00032E26">
              <w:t>hCG</w:t>
            </w:r>
            <w:proofErr w:type="spellEnd"/>
            <w:r w:rsidRPr="00032E26">
              <w:t xml:space="preserve"> orders received.  Results will be reported based on </w:t>
            </w:r>
            <w:r w:rsidR="00C969B5" w:rsidRPr="00032E26">
              <w:t xml:space="preserve">physician </w:t>
            </w:r>
            <w:r w:rsidRPr="00032E26">
              <w:t>orders.</w:t>
            </w:r>
          </w:p>
        </w:tc>
      </w:tr>
      <w:tr w:rsidR="00876E41" w14:paraId="53204E44" w14:textId="77777777" w:rsidTr="1F1A2264">
        <w:trPr>
          <w:gridBefore w:val="1"/>
          <w:wBefore w:w="14" w:type="dxa"/>
          <w:cantSplit/>
        </w:trPr>
        <w:tc>
          <w:tcPr>
            <w:tcW w:w="9576" w:type="dxa"/>
            <w:gridSpan w:val="5"/>
            <w:tcBorders>
              <w:bottom w:val="nil"/>
              <w:right w:val="single" w:sz="4" w:space="0" w:color="auto"/>
            </w:tcBorders>
            <w:tcMar>
              <w:top w:w="58" w:type="dxa"/>
              <w:left w:w="29" w:type="dxa"/>
              <w:bottom w:w="58" w:type="dxa"/>
              <w:right w:w="29" w:type="dxa"/>
            </w:tcMar>
            <w:vAlign w:val="center"/>
          </w:tcPr>
          <w:p w14:paraId="618F5798" w14:textId="77777777" w:rsidR="00876E41" w:rsidRDefault="005118FF">
            <w:pPr>
              <w:pStyle w:val="Heading1"/>
              <w:outlineLvl w:val="0"/>
              <w:rPr>
                <w:szCs w:val="24"/>
              </w:rPr>
            </w:pPr>
            <w:r>
              <w:rPr>
                <w:szCs w:val="24"/>
              </w:rPr>
              <w:t>Specimen Types</w:t>
            </w:r>
          </w:p>
        </w:tc>
      </w:tr>
      <w:tr w:rsidR="00876E41" w14:paraId="2D824B15" w14:textId="77777777" w:rsidTr="1F1A2264">
        <w:trPr>
          <w:gridBefore w:val="1"/>
          <w:wBefore w:w="14" w:type="dxa"/>
          <w:cantSplit/>
        </w:trPr>
        <w:tc>
          <w:tcPr>
            <w:tcW w:w="9576" w:type="dxa"/>
            <w:gridSpan w:val="5"/>
            <w:tcBorders>
              <w:top w:val="nil"/>
              <w:bottom w:val="single" w:sz="4" w:space="0" w:color="auto"/>
              <w:right w:val="single" w:sz="4" w:space="0" w:color="auto"/>
            </w:tcBorders>
            <w:tcMar>
              <w:top w:w="58" w:type="dxa"/>
              <w:left w:w="29" w:type="dxa"/>
              <w:bottom w:w="58" w:type="dxa"/>
              <w:right w:w="29" w:type="dxa"/>
            </w:tcMar>
            <w:vAlign w:val="center"/>
          </w:tcPr>
          <w:p w14:paraId="675F8EDF" w14:textId="0AA40558" w:rsidR="00876E41" w:rsidRDefault="00FD3B40" w:rsidP="00A2625A">
            <w:pPr>
              <w:pStyle w:val="Paragraph"/>
            </w:pPr>
            <w:r>
              <w:t xml:space="preserve">    </w:t>
            </w:r>
            <w:r w:rsidR="00A31398">
              <w:t xml:space="preserve">       </w:t>
            </w:r>
            <w:r>
              <w:t xml:space="preserve"> </w:t>
            </w:r>
            <w:r w:rsidR="006E1559" w:rsidRPr="006E1559">
              <w:t>Serum</w:t>
            </w:r>
          </w:p>
          <w:p w14:paraId="79C28C87" w14:textId="4538C23A" w:rsidR="00A31398" w:rsidRDefault="00A31398" w:rsidP="00A31398">
            <w:pPr>
              <w:pStyle w:val="Heading1"/>
              <w:outlineLvl w:val="0"/>
            </w:pPr>
            <w:r>
              <w:t>Test Codes</w:t>
            </w:r>
          </w:p>
          <w:p w14:paraId="25A7B508" w14:textId="35174A55" w:rsidR="00A31398" w:rsidRPr="00A31398" w:rsidRDefault="00A31398" w:rsidP="00A31398">
            <w:pPr>
              <w:pStyle w:val="Paragraph"/>
              <w:spacing w:after="0"/>
              <w:ind w:left="720"/>
            </w:pPr>
            <w:r w:rsidRPr="00A31398">
              <w:rPr>
                <w:b/>
                <w:bCs/>
              </w:rPr>
              <w:t>QBHCG</w:t>
            </w:r>
            <w:r w:rsidR="00B0506D">
              <w:rPr>
                <w:b/>
                <w:bCs/>
              </w:rPr>
              <w:t>:</w:t>
            </w:r>
            <w:r w:rsidRPr="00A31398">
              <w:t xml:space="preserve">  Quantitative Assay</w:t>
            </w:r>
          </w:p>
          <w:p w14:paraId="10130879" w14:textId="57B6F019" w:rsidR="00A31398" w:rsidRPr="00A31398" w:rsidRDefault="00A31398" w:rsidP="00A31398">
            <w:r>
              <w:rPr>
                <w:b/>
                <w:bCs/>
              </w:rPr>
              <w:t xml:space="preserve">             </w:t>
            </w:r>
            <w:r w:rsidRPr="00A31398">
              <w:rPr>
                <w:b/>
                <w:bCs/>
              </w:rPr>
              <w:t xml:space="preserve"> PREG</w:t>
            </w:r>
            <w:r w:rsidR="00B0506D">
              <w:rPr>
                <w:b/>
                <w:bCs/>
              </w:rPr>
              <w:t xml:space="preserve">: </w:t>
            </w:r>
            <w:r w:rsidRPr="00A31398">
              <w:t xml:space="preserve">  Qualitative Assay</w:t>
            </w:r>
          </w:p>
          <w:p w14:paraId="19675DB3" w14:textId="10431D2A" w:rsidR="00A31398" w:rsidRPr="00A31398" w:rsidRDefault="00A31398" w:rsidP="00A31398"/>
        </w:tc>
      </w:tr>
      <w:tr w:rsidR="00876E41" w14:paraId="31DBCE9C" w14:textId="77777777" w:rsidTr="1F1A2264">
        <w:trPr>
          <w:gridBefore w:val="1"/>
          <w:wBefore w:w="14" w:type="dxa"/>
          <w:cantSplit/>
        </w:trPr>
        <w:tc>
          <w:tcPr>
            <w:tcW w:w="9576" w:type="dxa"/>
            <w:gridSpan w:val="5"/>
            <w:tcBorders>
              <w:bottom w:val="nil"/>
              <w:right w:val="single" w:sz="4" w:space="0" w:color="auto"/>
            </w:tcBorders>
            <w:tcMar>
              <w:top w:w="58" w:type="dxa"/>
              <w:left w:w="29" w:type="dxa"/>
              <w:bottom w:w="58" w:type="dxa"/>
              <w:right w:w="29" w:type="dxa"/>
            </w:tcMar>
            <w:vAlign w:val="center"/>
          </w:tcPr>
          <w:p w14:paraId="7A874129" w14:textId="77777777" w:rsidR="00876E41" w:rsidRDefault="005118FF">
            <w:pPr>
              <w:pStyle w:val="Heading1"/>
              <w:outlineLvl w:val="0"/>
              <w:rPr>
                <w:szCs w:val="24"/>
              </w:rPr>
            </w:pPr>
            <w:r>
              <w:rPr>
                <w:szCs w:val="24"/>
              </w:rPr>
              <w:t>Specimen Stability</w:t>
            </w:r>
          </w:p>
        </w:tc>
      </w:tr>
      <w:tr w:rsidR="00876E41" w14:paraId="24969630" w14:textId="77777777" w:rsidTr="1F1A2264">
        <w:trPr>
          <w:gridBefore w:val="1"/>
          <w:wBefore w:w="14" w:type="dxa"/>
          <w:cantSplit/>
        </w:trPr>
        <w:tc>
          <w:tcPr>
            <w:tcW w:w="9576" w:type="dxa"/>
            <w:gridSpan w:val="5"/>
            <w:tcBorders>
              <w:top w:val="nil"/>
              <w:bottom w:val="single" w:sz="4" w:space="0" w:color="auto"/>
              <w:right w:val="single" w:sz="4" w:space="0" w:color="auto"/>
            </w:tcBorders>
            <w:tcMar>
              <w:top w:w="58" w:type="dxa"/>
              <w:left w:w="29" w:type="dxa"/>
              <w:bottom w:w="58" w:type="dxa"/>
              <w:right w:w="29" w:type="dxa"/>
            </w:tcMar>
            <w:vAlign w:val="center"/>
          </w:tcPr>
          <w:p w14:paraId="5892154E" w14:textId="77777777" w:rsidR="00A2625A" w:rsidRDefault="00A2625A" w:rsidP="00A2625A">
            <w:pPr>
              <w:pStyle w:val="Bullet"/>
            </w:pPr>
            <w:r>
              <w:t>Keep tubes stoppered and upright at all times.</w:t>
            </w:r>
          </w:p>
          <w:p w14:paraId="77483AFB" w14:textId="77777777" w:rsidR="00A2625A" w:rsidRDefault="00A2625A" w:rsidP="00A2625A">
            <w:pPr>
              <w:pStyle w:val="Bullet"/>
            </w:pPr>
            <w:r>
              <w:t>Do not use samples that have been stored at room temperature for longer than 8 hours.</w:t>
            </w:r>
          </w:p>
          <w:p w14:paraId="1499F79B" w14:textId="00543432" w:rsidR="7FD93455" w:rsidRDefault="7FD93455" w:rsidP="4776354D">
            <w:pPr>
              <w:pStyle w:val="Bullet"/>
            </w:pPr>
            <w:r w:rsidRPr="4776354D">
              <w:rPr>
                <w:rFonts w:eastAsia="Calibri"/>
              </w:rPr>
              <w:t>Unspun whole blood samples are stable for 24 hours.</w:t>
            </w:r>
          </w:p>
          <w:p w14:paraId="290BB3BC" w14:textId="2BC531BC" w:rsidR="00A2625A" w:rsidRDefault="00A2625A" w:rsidP="00A2625A">
            <w:pPr>
              <w:pStyle w:val="Bullet"/>
            </w:pPr>
            <w:r>
              <w:t>Tightly cap</w:t>
            </w:r>
            <w:r w:rsidR="2A6EE3E1">
              <w:t>, spin</w:t>
            </w:r>
            <w:r>
              <w:t xml:space="preserve"> and refrigerate specimens at 2–8°C if the assay is not completed within 8 hours.</w:t>
            </w:r>
          </w:p>
          <w:p w14:paraId="76513621" w14:textId="54306710" w:rsidR="00A9590B" w:rsidRDefault="00A9590B" w:rsidP="00A2625A">
            <w:pPr>
              <w:pStyle w:val="Bullet"/>
            </w:pPr>
            <w:r>
              <w:t>Add on testing may be performed on refrigerated specimens up to 7 days.</w:t>
            </w:r>
          </w:p>
        </w:tc>
      </w:tr>
      <w:tr w:rsidR="00876E41" w14:paraId="3812E779" w14:textId="77777777" w:rsidTr="1F1A2264">
        <w:trPr>
          <w:gridBefore w:val="1"/>
          <w:wBefore w:w="14" w:type="dxa"/>
          <w:cantSplit/>
        </w:trPr>
        <w:tc>
          <w:tcPr>
            <w:tcW w:w="9576" w:type="dxa"/>
            <w:gridSpan w:val="5"/>
            <w:tcBorders>
              <w:bottom w:val="nil"/>
              <w:right w:val="single" w:sz="4" w:space="0" w:color="auto"/>
            </w:tcBorders>
            <w:tcMar>
              <w:top w:w="58" w:type="dxa"/>
              <w:left w:w="29" w:type="dxa"/>
              <w:bottom w:w="58" w:type="dxa"/>
              <w:right w:w="29" w:type="dxa"/>
            </w:tcMar>
            <w:vAlign w:val="center"/>
          </w:tcPr>
          <w:p w14:paraId="400C6F34" w14:textId="77777777" w:rsidR="00876E41" w:rsidRDefault="005118FF">
            <w:pPr>
              <w:pStyle w:val="Heading1"/>
              <w:outlineLvl w:val="0"/>
              <w:rPr>
                <w:szCs w:val="24"/>
              </w:rPr>
            </w:pPr>
            <w:r>
              <w:rPr>
                <w:szCs w:val="24"/>
              </w:rPr>
              <w:t>Minimum Sample Volume</w:t>
            </w:r>
          </w:p>
        </w:tc>
      </w:tr>
      <w:tr w:rsidR="00876E41" w14:paraId="5F735B6C" w14:textId="77777777" w:rsidTr="1F1A2264">
        <w:trPr>
          <w:gridBefore w:val="1"/>
          <w:wBefore w:w="14" w:type="dxa"/>
          <w:cantSplit/>
        </w:trPr>
        <w:tc>
          <w:tcPr>
            <w:tcW w:w="9576" w:type="dxa"/>
            <w:gridSpan w:val="5"/>
            <w:tcBorders>
              <w:top w:val="nil"/>
              <w:bottom w:val="single" w:sz="4" w:space="0" w:color="auto"/>
              <w:right w:val="single" w:sz="4" w:space="0" w:color="auto"/>
            </w:tcBorders>
            <w:tcMar>
              <w:top w:w="58" w:type="dxa"/>
              <w:left w:w="29" w:type="dxa"/>
              <w:bottom w:w="58" w:type="dxa"/>
              <w:right w:w="29" w:type="dxa"/>
            </w:tcMar>
            <w:vAlign w:val="center"/>
          </w:tcPr>
          <w:p w14:paraId="4846CEAB" w14:textId="77777777" w:rsidR="00876E41" w:rsidRDefault="00A2625A" w:rsidP="00DE39EC">
            <w:pPr>
              <w:pStyle w:val="Paragraph"/>
            </w:pPr>
            <w:r>
              <w:t>5</w:t>
            </w:r>
            <w:r w:rsidR="007766AD">
              <w:t xml:space="preserve">0 </w:t>
            </w:r>
            <w:proofErr w:type="spellStart"/>
            <w:r w:rsidR="007766AD">
              <w:t>μL</w:t>
            </w:r>
            <w:proofErr w:type="spellEnd"/>
          </w:p>
        </w:tc>
      </w:tr>
      <w:tr w:rsidR="00D66CC7" w14:paraId="3C43281F" w14:textId="77777777" w:rsidTr="1F1A2264">
        <w:trPr>
          <w:gridBefore w:val="1"/>
          <w:wBefore w:w="14" w:type="dxa"/>
          <w:cantSplit/>
        </w:trPr>
        <w:tc>
          <w:tcPr>
            <w:tcW w:w="9576" w:type="dxa"/>
            <w:gridSpan w:val="5"/>
            <w:tcBorders>
              <w:bottom w:val="nil"/>
              <w:right w:val="single" w:sz="4" w:space="0" w:color="auto"/>
            </w:tcBorders>
            <w:tcMar>
              <w:top w:w="58" w:type="dxa"/>
              <w:left w:w="29" w:type="dxa"/>
              <w:bottom w:w="58" w:type="dxa"/>
              <w:right w:w="29" w:type="dxa"/>
            </w:tcMar>
            <w:vAlign w:val="center"/>
          </w:tcPr>
          <w:p w14:paraId="2670F2BF" w14:textId="77777777" w:rsidR="00D66CC7" w:rsidRDefault="00D66CC7">
            <w:pPr>
              <w:pStyle w:val="Heading1"/>
              <w:outlineLvl w:val="0"/>
              <w:rPr>
                <w:szCs w:val="24"/>
              </w:rPr>
            </w:pPr>
            <w:r>
              <w:rPr>
                <w:szCs w:val="24"/>
              </w:rPr>
              <w:t>Specimen Rejection Criteria</w:t>
            </w:r>
          </w:p>
          <w:p w14:paraId="34867B7D" w14:textId="77777777" w:rsidR="00D66CC7" w:rsidRDefault="00D66CC7" w:rsidP="00D66CC7"/>
          <w:p w14:paraId="7049049F" w14:textId="5436719A" w:rsidR="00D66CC7" w:rsidRPr="00D66CC7" w:rsidRDefault="00D66CC7" w:rsidP="00D66CC7">
            <w:r>
              <w:t xml:space="preserve">The sample must be properly labeled with the minimum of the patient’s name and date of birth. For more information on the acceptability of samples, see “Protocol for Unacceptable Samples” in the Administrative Manual and Quality Control Procedures. </w:t>
            </w:r>
          </w:p>
        </w:tc>
      </w:tr>
      <w:tr w:rsidR="00876E41" w14:paraId="48063C4B" w14:textId="77777777" w:rsidTr="1F1A2264">
        <w:trPr>
          <w:gridBefore w:val="1"/>
          <w:wBefore w:w="14" w:type="dxa"/>
          <w:cantSplit/>
        </w:trPr>
        <w:tc>
          <w:tcPr>
            <w:tcW w:w="9576" w:type="dxa"/>
            <w:gridSpan w:val="5"/>
            <w:tcBorders>
              <w:bottom w:val="nil"/>
              <w:right w:val="single" w:sz="4" w:space="0" w:color="auto"/>
            </w:tcBorders>
            <w:tcMar>
              <w:top w:w="58" w:type="dxa"/>
              <w:left w:w="29" w:type="dxa"/>
              <w:bottom w:w="58" w:type="dxa"/>
              <w:right w:w="29" w:type="dxa"/>
            </w:tcMar>
            <w:vAlign w:val="center"/>
          </w:tcPr>
          <w:p w14:paraId="67872E40" w14:textId="77777777" w:rsidR="00876E41" w:rsidRDefault="005118FF">
            <w:pPr>
              <w:pStyle w:val="Heading1"/>
              <w:outlineLvl w:val="0"/>
              <w:rPr>
                <w:szCs w:val="24"/>
              </w:rPr>
            </w:pPr>
            <w:r>
              <w:rPr>
                <w:szCs w:val="24"/>
              </w:rPr>
              <w:t>Preparing the Reagents</w:t>
            </w:r>
          </w:p>
        </w:tc>
      </w:tr>
      <w:tr w:rsidR="00876E41" w14:paraId="7E27A06E" w14:textId="77777777" w:rsidTr="1F1A2264">
        <w:trPr>
          <w:gridBefore w:val="1"/>
          <w:wBefore w:w="14" w:type="dxa"/>
          <w:cantSplit/>
        </w:trPr>
        <w:tc>
          <w:tcPr>
            <w:tcW w:w="9576" w:type="dxa"/>
            <w:gridSpan w:val="5"/>
            <w:tcBorders>
              <w:top w:val="nil"/>
              <w:bottom w:val="single" w:sz="4" w:space="0" w:color="auto"/>
              <w:right w:val="single" w:sz="4" w:space="0" w:color="auto"/>
            </w:tcBorders>
            <w:tcMar>
              <w:top w:w="58" w:type="dxa"/>
              <w:left w:w="29" w:type="dxa"/>
              <w:bottom w:w="58" w:type="dxa"/>
              <w:right w:w="29" w:type="dxa"/>
            </w:tcMar>
            <w:vAlign w:val="center"/>
          </w:tcPr>
          <w:p w14:paraId="3243EA6E" w14:textId="77777777" w:rsidR="008E3C84" w:rsidRDefault="00EB46CC" w:rsidP="00720B5B">
            <w:pPr>
              <w:pStyle w:val="Paragraph"/>
            </w:pPr>
            <w:r>
              <w:t>All reagents are liquid and ready to use.</w:t>
            </w:r>
          </w:p>
          <w:p w14:paraId="728547FD" w14:textId="77777777" w:rsidR="00432212" w:rsidRDefault="00432212" w:rsidP="00432212">
            <w:pPr>
              <w:pStyle w:val="Paragraph"/>
            </w:pPr>
            <w:r>
              <w:t>Mix all primary reagent packs by hand before loading them onto the system. Visually inspect the bottom of the reagent pack to ensure that all particles are dispersed and resuspended.</w:t>
            </w:r>
          </w:p>
        </w:tc>
      </w:tr>
      <w:tr w:rsidR="00876E41" w14:paraId="555C3EF7" w14:textId="77777777" w:rsidTr="1F1A2264">
        <w:trPr>
          <w:gridAfter w:val="1"/>
          <w:wAfter w:w="14" w:type="dxa"/>
          <w:cantSplit/>
        </w:trPr>
        <w:tc>
          <w:tcPr>
            <w:tcW w:w="9576" w:type="dxa"/>
            <w:gridSpan w:val="5"/>
            <w:tcBorders>
              <w:bottom w:val="nil"/>
              <w:right w:val="single" w:sz="4" w:space="0" w:color="auto"/>
            </w:tcBorders>
            <w:tcMar>
              <w:top w:w="58" w:type="dxa"/>
              <w:left w:w="29" w:type="dxa"/>
              <w:bottom w:w="58" w:type="dxa"/>
              <w:right w:w="29" w:type="dxa"/>
            </w:tcMar>
            <w:vAlign w:val="center"/>
          </w:tcPr>
          <w:p w14:paraId="0173DFC5" w14:textId="6F822F69" w:rsidR="00876E41" w:rsidRDefault="00495B21">
            <w:pPr>
              <w:pStyle w:val="Heading1"/>
              <w:outlineLvl w:val="0"/>
              <w:rPr>
                <w:szCs w:val="24"/>
              </w:rPr>
            </w:pPr>
            <w:r>
              <w:lastRenderedPageBreak/>
              <w:br w:type="page"/>
            </w:r>
            <w:r w:rsidR="005118FF">
              <w:rPr>
                <w:szCs w:val="24"/>
              </w:rPr>
              <w:t>Storage and Stability</w:t>
            </w:r>
          </w:p>
        </w:tc>
      </w:tr>
      <w:tr w:rsidR="00876E41" w14:paraId="3A81BF90" w14:textId="77777777" w:rsidTr="1F1A2264">
        <w:trPr>
          <w:gridAfter w:val="1"/>
          <w:wAfter w:w="14" w:type="dxa"/>
        </w:trPr>
        <w:tc>
          <w:tcPr>
            <w:tcW w:w="9576" w:type="dxa"/>
            <w:gridSpan w:val="5"/>
            <w:tcBorders>
              <w:top w:val="nil"/>
              <w:bottom w:val="single" w:sz="4" w:space="0" w:color="auto"/>
              <w:right w:val="single" w:sz="4" w:space="0" w:color="auto"/>
            </w:tcBorders>
            <w:tcMar>
              <w:top w:w="58" w:type="dxa"/>
              <w:left w:w="29" w:type="dxa"/>
              <w:bottom w:w="58" w:type="dxa"/>
              <w:right w:w="29" w:type="dxa"/>
            </w:tcMar>
            <w:vAlign w:val="center"/>
          </w:tcPr>
          <w:p w14:paraId="4EE85EA0" w14:textId="77777777" w:rsidR="009D4122" w:rsidRDefault="009D4122" w:rsidP="009D4122">
            <w:pPr>
              <w:pStyle w:val="Paragraph"/>
            </w:pPr>
            <w:r>
              <w:t>Store the reagents upright at 2–8°C.</w:t>
            </w:r>
          </w:p>
          <w:p w14:paraId="4382FDB6" w14:textId="77777777" w:rsidR="009D4122" w:rsidRDefault="009D4122" w:rsidP="009D4122">
            <w:pPr>
              <w:pStyle w:val="Paragraph"/>
            </w:pPr>
            <w:r>
              <w:t>Protect reagent packs from all heat and light sources. Reagent packs loaded on the system are protected from light. Store unused reagent packs at 2–8°C away from heat and light sources.</w:t>
            </w:r>
          </w:p>
          <w:p w14:paraId="134C03F0" w14:textId="77777777" w:rsidR="009D4122" w:rsidRDefault="009D4122" w:rsidP="009D4122">
            <w:pPr>
              <w:pStyle w:val="Paragraph"/>
            </w:pPr>
            <w:r>
              <w:t>All reagents are stable at 2–8°C until the expiration date on the packaging.</w:t>
            </w:r>
          </w:p>
          <w:p w14:paraId="663FD957" w14:textId="77777777" w:rsidR="0016417D" w:rsidRDefault="00A2625A" w:rsidP="00A2625A">
            <w:pPr>
              <w:pStyle w:val="Paragraph"/>
            </w:pPr>
            <w:r>
              <w:t xml:space="preserve">The ADVIA Centaur Total </w:t>
            </w:r>
            <w:proofErr w:type="spellStart"/>
            <w:r>
              <w:t>hCG</w:t>
            </w:r>
            <w:proofErr w:type="spellEnd"/>
            <w:r>
              <w:t xml:space="preserve"> assay reagents are stable unopened until the expiration date on the carton or onboard the system for 21 days.</w:t>
            </w:r>
          </w:p>
        </w:tc>
      </w:tr>
      <w:tr w:rsidR="00876E41" w14:paraId="4E09D3FE" w14:textId="77777777" w:rsidTr="1F1A2264">
        <w:trPr>
          <w:gridAfter w:val="1"/>
          <w:wAfter w:w="14" w:type="dxa"/>
          <w:cantSplit/>
        </w:trPr>
        <w:tc>
          <w:tcPr>
            <w:tcW w:w="9576" w:type="dxa"/>
            <w:gridSpan w:val="5"/>
            <w:tcBorders>
              <w:bottom w:val="nil"/>
              <w:right w:val="single" w:sz="4" w:space="0" w:color="auto"/>
            </w:tcBorders>
            <w:tcMar>
              <w:top w:w="58" w:type="dxa"/>
              <w:left w:w="29" w:type="dxa"/>
              <w:bottom w:w="58" w:type="dxa"/>
              <w:right w:w="29" w:type="dxa"/>
            </w:tcMar>
            <w:vAlign w:val="center"/>
          </w:tcPr>
          <w:p w14:paraId="1E9ED2CD" w14:textId="77777777" w:rsidR="00876E41" w:rsidRDefault="005118FF" w:rsidP="4776354D">
            <w:pPr>
              <w:pStyle w:val="Heading1"/>
              <w:outlineLvl w:val="0"/>
            </w:pPr>
            <w:r>
              <w:t>Calibrator Material</w:t>
            </w:r>
          </w:p>
        </w:tc>
      </w:tr>
      <w:tr w:rsidR="00876E41" w14:paraId="0261ADD4" w14:textId="77777777" w:rsidTr="1F1A2264">
        <w:trPr>
          <w:gridAfter w:val="1"/>
          <w:wAfter w:w="14" w:type="dxa"/>
          <w:cantSplit/>
        </w:trPr>
        <w:tc>
          <w:tcPr>
            <w:tcW w:w="9576" w:type="dxa"/>
            <w:gridSpan w:val="5"/>
            <w:tcBorders>
              <w:top w:val="nil"/>
              <w:bottom w:val="single" w:sz="4" w:space="0" w:color="auto"/>
              <w:right w:val="single" w:sz="4" w:space="0" w:color="auto"/>
            </w:tcBorders>
            <w:tcMar>
              <w:top w:w="58" w:type="dxa"/>
              <w:left w:w="29" w:type="dxa"/>
              <w:bottom w:w="58" w:type="dxa"/>
              <w:right w:w="29" w:type="dxa"/>
            </w:tcMar>
            <w:vAlign w:val="center"/>
          </w:tcPr>
          <w:p w14:paraId="740E0093" w14:textId="77777777" w:rsidR="00876E41" w:rsidRDefault="00A2625A" w:rsidP="007766AD">
            <w:pPr>
              <w:pStyle w:val="Paragraph"/>
            </w:pPr>
            <w:r>
              <w:t>C</w:t>
            </w:r>
            <w:r w:rsidR="00EE69AB">
              <w:t>alibrator</w:t>
            </w:r>
            <w:r>
              <w:t xml:space="preserve"> B</w:t>
            </w:r>
          </w:p>
          <w:p w14:paraId="28438FBB" w14:textId="77777777" w:rsidR="003D3313" w:rsidRDefault="003D3313" w:rsidP="003D3313">
            <w:pPr>
              <w:pStyle w:val="Paragraph"/>
            </w:pPr>
            <w:r>
              <w:t>Preparing Calibrators</w:t>
            </w:r>
          </w:p>
          <w:p w14:paraId="42EDC8F5" w14:textId="77777777" w:rsidR="003D3313" w:rsidRDefault="003D3313" w:rsidP="003D3313">
            <w:pPr>
              <w:pStyle w:val="Paragraph"/>
            </w:pPr>
            <w:r>
              <w:t>Add 5 ml of reagent grade water into each calibrator vial using a volumetric or precision pipette.</w:t>
            </w:r>
          </w:p>
          <w:p w14:paraId="3743388B" w14:textId="77777777" w:rsidR="003D3313" w:rsidRDefault="003D3313" w:rsidP="003D3313">
            <w:pPr>
              <w:pStyle w:val="Paragraph"/>
            </w:pPr>
            <w:r>
              <w:t>Let the calibrators stand for 15-20 minutes at room temperature (20-30°C) to allow lyophilized material to dissolve.</w:t>
            </w:r>
          </w:p>
          <w:p w14:paraId="28DD08A9" w14:textId="77777777" w:rsidR="003D3313" w:rsidRDefault="003D3313" w:rsidP="003D3313">
            <w:pPr>
              <w:pStyle w:val="Paragraph"/>
            </w:pPr>
            <w:r>
              <w:t>Gently swirl and invert until homogeneous.</w:t>
            </w:r>
          </w:p>
          <w:p w14:paraId="42A1FEE8" w14:textId="77777777" w:rsidR="003D3313" w:rsidRDefault="003D3313" w:rsidP="003D3313">
            <w:pPr>
              <w:pStyle w:val="Paragraph"/>
            </w:pPr>
            <w:r>
              <w:t>Reconstituted calibrators are stable 28 days at 2 - 8°C.</w:t>
            </w:r>
          </w:p>
          <w:p w14:paraId="5BBCD702" w14:textId="77777777" w:rsidR="003D3313" w:rsidRDefault="003D3313" w:rsidP="003D3313">
            <w:pPr>
              <w:pStyle w:val="Paragraph"/>
            </w:pPr>
            <w:r>
              <w:t xml:space="preserve">Dispense at least 1 ml of low and high calibrator into labeled sample cups. </w:t>
            </w:r>
          </w:p>
          <w:p w14:paraId="76914190" w14:textId="77777777" w:rsidR="003D3313" w:rsidRDefault="003D3313" w:rsidP="003D3313">
            <w:pPr>
              <w:pStyle w:val="Paragraph"/>
            </w:pPr>
            <w:r>
              <w:t>Schedule a calibration and use the lot specific barcodes labels provided. The low calibrator must precede the high calibrator.</w:t>
            </w:r>
          </w:p>
          <w:p w14:paraId="6B7814DE" w14:textId="73B07C23" w:rsidR="003D3313" w:rsidRDefault="003D3313" w:rsidP="003D3313">
            <w:pPr>
              <w:pStyle w:val="Paragraph"/>
            </w:pPr>
            <w:r>
              <w:t xml:space="preserve">Use calibrator B to </w:t>
            </w:r>
            <w:commentRangeStart w:id="1"/>
            <w:commentRangeStart w:id="2"/>
            <w:r>
              <w:t>p</w:t>
            </w:r>
            <w:r w:rsidR="4F9D5A9B">
              <w:t>erform</w:t>
            </w:r>
            <w:commentRangeEnd w:id="1"/>
            <w:r>
              <w:rPr>
                <w:rStyle w:val="CommentReference"/>
              </w:rPr>
              <w:commentReference w:id="1"/>
            </w:r>
            <w:commentRangeEnd w:id="2"/>
            <w:r>
              <w:rPr>
                <w:rStyle w:val="CommentReference"/>
              </w:rPr>
              <w:commentReference w:id="2"/>
            </w:r>
            <w:r>
              <w:t xml:space="preserve"> a two-point calibration every 28 days and:</w:t>
            </w:r>
          </w:p>
          <w:p w14:paraId="78C58B2C" w14:textId="744D8400" w:rsidR="003D3313" w:rsidRDefault="003D3313" w:rsidP="003D3313">
            <w:pPr>
              <w:pStyle w:val="Paragraph"/>
              <w:numPr>
                <w:ilvl w:val="0"/>
                <w:numId w:val="11"/>
              </w:numPr>
            </w:pPr>
            <w:r>
              <w:t>When changing lot numbers of primary reagent packs</w:t>
            </w:r>
          </w:p>
          <w:p w14:paraId="4D790102" w14:textId="3637EB93" w:rsidR="003D3313" w:rsidRDefault="003D3313" w:rsidP="003D3313">
            <w:pPr>
              <w:pStyle w:val="Paragraph"/>
              <w:numPr>
                <w:ilvl w:val="0"/>
                <w:numId w:val="11"/>
              </w:numPr>
            </w:pPr>
            <w:r>
              <w:t>When replacing some system components</w:t>
            </w:r>
          </w:p>
          <w:p w14:paraId="6A16A916" w14:textId="248412B4" w:rsidR="003D3313" w:rsidRDefault="003D3313" w:rsidP="003D3313">
            <w:pPr>
              <w:pStyle w:val="Paragraph"/>
              <w:numPr>
                <w:ilvl w:val="0"/>
                <w:numId w:val="11"/>
              </w:numPr>
            </w:pPr>
            <w:r>
              <w:t>When quality control results are repeatedly out of range</w:t>
            </w:r>
          </w:p>
        </w:tc>
      </w:tr>
    </w:tbl>
    <w:p w14:paraId="4F47310B" w14:textId="77777777" w:rsidR="003D3313" w:rsidRDefault="003D3313">
      <w:r>
        <w:rPr>
          <w:b/>
        </w:rPr>
        <w:br w:type="page"/>
      </w:r>
    </w:p>
    <w:tbl>
      <w:tblPr>
        <w:tblStyle w:val="TableGrid"/>
        <w:tblW w:w="9576" w:type="dxa"/>
        <w:tblInd w:w="-14" w:type="dxa"/>
        <w:tblLayout w:type="fixed"/>
        <w:tblLook w:val="04A0" w:firstRow="1" w:lastRow="0" w:firstColumn="1" w:lastColumn="0" w:noHBand="0" w:noVBand="1"/>
      </w:tblPr>
      <w:tblGrid>
        <w:gridCol w:w="9576"/>
      </w:tblGrid>
      <w:tr w:rsidR="00876E41" w14:paraId="2047FA0E" w14:textId="77777777" w:rsidTr="4776354D">
        <w:trPr>
          <w:cantSplit/>
        </w:trPr>
        <w:tc>
          <w:tcPr>
            <w:tcW w:w="9576" w:type="dxa"/>
            <w:tcBorders>
              <w:bottom w:val="nil"/>
              <w:right w:val="single" w:sz="4" w:space="0" w:color="auto"/>
            </w:tcBorders>
            <w:tcMar>
              <w:top w:w="58" w:type="dxa"/>
              <w:left w:w="29" w:type="dxa"/>
              <w:bottom w:w="58" w:type="dxa"/>
              <w:right w:w="29" w:type="dxa"/>
            </w:tcMar>
            <w:vAlign w:val="center"/>
          </w:tcPr>
          <w:p w14:paraId="785642A7" w14:textId="77777777" w:rsidR="00876E41" w:rsidRDefault="005118FF" w:rsidP="4776354D">
            <w:pPr>
              <w:pStyle w:val="Heading1"/>
              <w:outlineLvl w:val="0"/>
            </w:pPr>
            <w:r>
              <w:t>Quality Control Material</w:t>
            </w:r>
          </w:p>
        </w:tc>
      </w:tr>
      <w:tr w:rsidR="00876E41" w14:paraId="28D09315" w14:textId="77777777" w:rsidTr="4776354D">
        <w:trPr>
          <w:cantSplit/>
        </w:trPr>
        <w:tc>
          <w:tcPr>
            <w:tcW w:w="9576" w:type="dxa"/>
            <w:tcBorders>
              <w:top w:val="nil"/>
              <w:bottom w:val="single" w:sz="4" w:space="0" w:color="auto"/>
              <w:right w:val="single" w:sz="4" w:space="0" w:color="auto"/>
            </w:tcBorders>
            <w:tcMar>
              <w:top w:w="58" w:type="dxa"/>
              <w:left w:w="29" w:type="dxa"/>
              <w:bottom w:w="58" w:type="dxa"/>
              <w:right w:w="29" w:type="dxa"/>
            </w:tcMar>
            <w:vAlign w:val="center"/>
          </w:tcPr>
          <w:p w14:paraId="08B2842C" w14:textId="52CDB8C3" w:rsidR="003D3313" w:rsidRDefault="003D3313" w:rsidP="003D3313">
            <w:pPr>
              <w:pStyle w:val="Paragraph"/>
            </w:pPr>
            <w:r>
              <w:t xml:space="preserve">Commercially available quality control materials. Use </w:t>
            </w:r>
            <w:proofErr w:type="spellStart"/>
            <w:r w:rsidR="0C4595F1" w:rsidRPr="00032E26">
              <w:t>Biorad</w:t>
            </w:r>
            <w:proofErr w:type="spellEnd"/>
            <w:r w:rsidR="0C4595F1" w:rsidRPr="00032E26">
              <w:t xml:space="preserve"> </w:t>
            </w:r>
            <w:proofErr w:type="spellStart"/>
            <w:r w:rsidR="0C4595F1" w:rsidRPr="00032E26">
              <w:t>Lyphocheck</w:t>
            </w:r>
            <w:proofErr w:type="spellEnd"/>
            <w:r w:rsidR="0C4595F1" w:rsidRPr="00032E26">
              <w:t xml:space="preserve"> Immunoassay Plus Control 1</w:t>
            </w:r>
            <w:r>
              <w:t>&amp; 3  to monitor assay performance.</w:t>
            </w:r>
          </w:p>
          <w:p w14:paraId="43853EA3" w14:textId="77777777" w:rsidR="003D3313" w:rsidRPr="00CF65C4" w:rsidRDefault="003D3313" w:rsidP="003D3313">
            <w:pPr>
              <w:pStyle w:val="h2"/>
              <w:rPr>
                <w:rFonts w:ascii="Arial" w:hAnsi="Arial" w:cs="Arial"/>
                <w:sz w:val="20"/>
              </w:rPr>
            </w:pPr>
            <w:r w:rsidRPr="00CF65C4">
              <w:rPr>
                <w:rFonts w:ascii="Arial" w:hAnsi="Arial" w:cs="Arial"/>
                <w:sz w:val="20"/>
              </w:rPr>
              <w:t>QC Frequency</w:t>
            </w:r>
          </w:p>
          <w:p w14:paraId="69C0C4F6" w14:textId="77777777" w:rsidR="003D3313" w:rsidRPr="00CF65C4" w:rsidRDefault="003D3313" w:rsidP="003D3313">
            <w:pPr>
              <w:pStyle w:val="txt"/>
              <w:rPr>
                <w:rFonts w:ascii="Arial" w:hAnsi="Arial" w:cs="Arial"/>
                <w:sz w:val="20"/>
              </w:rPr>
            </w:pPr>
            <w:r w:rsidRPr="00CF65C4">
              <w:rPr>
                <w:rFonts w:ascii="Arial" w:hAnsi="Arial" w:cs="Arial"/>
                <w:sz w:val="20"/>
              </w:rPr>
              <w:t xml:space="preserve">Analyze at least two levels of quality control material on each day that samples are analyzed. </w:t>
            </w:r>
          </w:p>
          <w:p w14:paraId="2350F1BA" w14:textId="77777777" w:rsidR="003D3313" w:rsidRPr="00CF65C4" w:rsidRDefault="003D3313" w:rsidP="003D3313">
            <w:pPr>
              <w:pStyle w:val="txt"/>
              <w:rPr>
                <w:rFonts w:ascii="Arial" w:hAnsi="Arial" w:cs="Arial"/>
                <w:sz w:val="20"/>
              </w:rPr>
            </w:pPr>
            <w:r w:rsidRPr="00CF65C4">
              <w:rPr>
                <w:rFonts w:ascii="Arial" w:hAnsi="Arial" w:cs="Arial"/>
                <w:sz w:val="20"/>
              </w:rPr>
              <w:t xml:space="preserve">Analyze all levels of quality control material each time a two-point calibration is performed. </w:t>
            </w:r>
          </w:p>
          <w:p w14:paraId="735636AC" w14:textId="77777777" w:rsidR="003D3313" w:rsidRPr="00CF65C4" w:rsidRDefault="003D3313" w:rsidP="003D3313">
            <w:pPr>
              <w:pStyle w:val="h2"/>
              <w:rPr>
                <w:rFonts w:ascii="Arial" w:hAnsi="Arial" w:cs="Arial"/>
                <w:sz w:val="20"/>
              </w:rPr>
            </w:pPr>
            <w:r w:rsidRPr="00CF65C4">
              <w:rPr>
                <w:rFonts w:ascii="Arial" w:hAnsi="Arial" w:cs="Arial"/>
                <w:sz w:val="20"/>
              </w:rPr>
              <w:t>Troubleshooting Out-of-Range QC Values</w:t>
            </w:r>
          </w:p>
          <w:p w14:paraId="4D7C56F9" w14:textId="77777777" w:rsidR="003D3313" w:rsidRPr="00CF65C4" w:rsidRDefault="003D3313" w:rsidP="003D3313">
            <w:pPr>
              <w:pStyle w:val="txt"/>
              <w:rPr>
                <w:rFonts w:ascii="Arial" w:hAnsi="Arial" w:cs="Arial"/>
                <w:sz w:val="20"/>
              </w:rPr>
            </w:pPr>
            <w:r w:rsidRPr="00CF65C4">
              <w:rPr>
                <w:rFonts w:ascii="Arial" w:hAnsi="Arial" w:cs="Arial"/>
                <w:sz w:val="20"/>
              </w:rPr>
              <w:t>If the quality control results do not fall within the Expected Values or within the laboratory’s established values, do not report results. Take the following actions:</w:t>
            </w:r>
          </w:p>
          <w:p w14:paraId="36217D47" w14:textId="77777777" w:rsidR="003D3313" w:rsidRPr="00CF65C4" w:rsidRDefault="003D3313" w:rsidP="003D3313">
            <w:pPr>
              <w:pStyle w:val="bl"/>
              <w:numPr>
                <w:ilvl w:val="0"/>
                <w:numId w:val="13"/>
              </w:numPr>
              <w:rPr>
                <w:rFonts w:ascii="Arial" w:hAnsi="Arial" w:cs="Arial"/>
                <w:sz w:val="20"/>
              </w:rPr>
            </w:pPr>
            <w:r w:rsidRPr="00CF65C4">
              <w:rPr>
                <w:rFonts w:ascii="Arial" w:hAnsi="Arial" w:cs="Arial"/>
                <w:sz w:val="20"/>
              </w:rPr>
              <w:t>Verify that the materials are not expired.</w:t>
            </w:r>
          </w:p>
          <w:p w14:paraId="3DCFD912" w14:textId="77777777" w:rsidR="003D3313" w:rsidRPr="00CF65C4" w:rsidRDefault="003D3313" w:rsidP="003D3313">
            <w:pPr>
              <w:pStyle w:val="bl"/>
              <w:numPr>
                <w:ilvl w:val="0"/>
                <w:numId w:val="13"/>
              </w:numPr>
              <w:rPr>
                <w:rFonts w:ascii="Arial" w:hAnsi="Arial" w:cs="Arial"/>
                <w:sz w:val="20"/>
              </w:rPr>
            </w:pPr>
            <w:r w:rsidRPr="00CF65C4">
              <w:rPr>
                <w:rFonts w:ascii="Arial" w:hAnsi="Arial" w:cs="Arial"/>
                <w:sz w:val="20"/>
              </w:rPr>
              <w:t>Verify that required maintenance was performed.</w:t>
            </w:r>
          </w:p>
          <w:p w14:paraId="69C75DEE" w14:textId="77777777" w:rsidR="003D3313" w:rsidRPr="00CF65C4" w:rsidRDefault="003D3313" w:rsidP="003D3313">
            <w:pPr>
              <w:pStyle w:val="bl"/>
              <w:numPr>
                <w:ilvl w:val="0"/>
                <w:numId w:val="13"/>
              </w:numPr>
              <w:rPr>
                <w:rFonts w:ascii="Arial" w:hAnsi="Arial" w:cs="Arial"/>
                <w:sz w:val="20"/>
              </w:rPr>
            </w:pPr>
            <w:r w:rsidRPr="00CF65C4">
              <w:rPr>
                <w:rFonts w:ascii="Arial" w:hAnsi="Arial" w:cs="Arial"/>
                <w:sz w:val="20"/>
              </w:rPr>
              <w:t>Verify that the assay was performed according to the instructions for use.</w:t>
            </w:r>
          </w:p>
          <w:p w14:paraId="206B5DDD" w14:textId="77777777" w:rsidR="003D3313" w:rsidRPr="00CF65C4" w:rsidRDefault="003D3313" w:rsidP="003D3313">
            <w:pPr>
              <w:pStyle w:val="bl"/>
              <w:numPr>
                <w:ilvl w:val="0"/>
                <w:numId w:val="13"/>
              </w:numPr>
              <w:rPr>
                <w:rFonts w:ascii="Arial" w:hAnsi="Arial" w:cs="Arial"/>
                <w:sz w:val="20"/>
              </w:rPr>
            </w:pPr>
            <w:r w:rsidRPr="00CF65C4">
              <w:rPr>
                <w:rFonts w:ascii="Arial" w:hAnsi="Arial" w:cs="Arial"/>
                <w:sz w:val="20"/>
              </w:rPr>
              <w:t>Rerun the assay with fresh quality control samples.</w:t>
            </w:r>
          </w:p>
          <w:p w14:paraId="51FC9810" w14:textId="77777777" w:rsidR="003D3313" w:rsidRDefault="003D3313" w:rsidP="003D3313">
            <w:pPr>
              <w:pStyle w:val="bl"/>
              <w:numPr>
                <w:ilvl w:val="0"/>
                <w:numId w:val="13"/>
              </w:numPr>
              <w:rPr>
                <w:rFonts w:ascii="Arial" w:hAnsi="Arial" w:cs="Arial"/>
                <w:sz w:val="20"/>
              </w:rPr>
            </w:pPr>
            <w:r w:rsidRPr="00CF65C4">
              <w:rPr>
                <w:rFonts w:ascii="Arial" w:hAnsi="Arial" w:cs="Arial"/>
                <w:sz w:val="20"/>
              </w:rPr>
              <w:t>If necessary, contact your local technical support provider or distributor for assistance.</w:t>
            </w:r>
          </w:p>
          <w:p w14:paraId="6262812A" w14:textId="77777777" w:rsidR="003D3313" w:rsidRPr="00494265" w:rsidRDefault="003D3313" w:rsidP="003D3313">
            <w:pPr>
              <w:pStyle w:val="h3"/>
              <w:pageBreakBefore/>
              <w:numPr>
                <w:ilvl w:val="12"/>
                <w:numId w:val="0"/>
              </w:numPr>
              <w:spacing w:before="0"/>
              <w:ind w:left="274"/>
              <w:rPr>
                <w:i w:val="0"/>
              </w:rPr>
            </w:pPr>
            <w:r w:rsidRPr="00494265">
              <w:rPr>
                <w:i w:val="0"/>
              </w:rPr>
              <w:t xml:space="preserve">Corrective Action </w:t>
            </w:r>
          </w:p>
          <w:p w14:paraId="780222EA" w14:textId="4B0706E6" w:rsidR="003D3313" w:rsidRPr="003D3313" w:rsidRDefault="003D3313" w:rsidP="003D3313">
            <w:pPr>
              <w:pStyle w:val="bl"/>
              <w:rPr>
                <w:rFonts w:ascii="Arial" w:hAnsi="Arial" w:cs="Arial"/>
                <w:sz w:val="20"/>
              </w:rPr>
            </w:pPr>
            <w:r w:rsidRPr="003D3313">
              <w:rPr>
                <w:rFonts w:ascii="Arial" w:hAnsi="Arial" w:cs="Arial"/>
                <w:sz w:val="20"/>
              </w:rPr>
              <w:t>Patient test results must be repeated, and corrective action taken when QC results fall outside of acceptable limits.  Refer to the Troubleshooting Out-of-Range QC Values section</w:t>
            </w:r>
          </w:p>
          <w:p w14:paraId="0450BF89" w14:textId="5978C1E0" w:rsidR="00016EC2" w:rsidRDefault="00016EC2" w:rsidP="006E1559">
            <w:pPr>
              <w:pStyle w:val="Paragraph"/>
            </w:pPr>
          </w:p>
        </w:tc>
      </w:tr>
    </w:tbl>
    <w:p w14:paraId="64A75BD4" w14:textId="77777777" w:rsidR="00495B21" w:rsidRDefault="00495B21">
      <w:r>
        <w:rPr>
          <w:b/>
        </w:rPr>
        <w:br w:type="page"/>
      </w:r>
    </w:p>
    <w:tbl>
      <w:tblPr>
        <w:tblStyle w:val="TableGrid"/>
        <w:tblW w:w="9576" w:type="dxa"/>
        <w:tblInd w:w="-14" w:type="dxa"/>
        <w:tblLayout w:type="fixed"/>
        <w:tblLook w:val="04A0" w:firstRow="1" w:lastRow="0" w:firstColumn="1" w:lastColumn="0" w:noHBand="0" w:noVBand="1"/>
      </w:tblPr>
      <w:tblGrid>
        <w:gridCol w:w="9576"/>
      </w:tblGrid>
      <w:tr w:rsidR="00876E41" w14:paraId="1463DC9F" w14:textId="77777777" w:rsidTr="1F1A2264">
        <w:trPr>
          <w:cantSplit/>
        </w:trPr>
        <w:tc>
          <w:tcPr>
            <w:tcW w:w="9576" w:type="dxa"/>
            <w:tcBorders>
              <w:bottom w:val="nil"/>
              <w:right w:val="single" w:sz="4" w:space="0" w:color="auto"/>
            </w:tcBorders>
            <w:tcMar>
              <w:top w:w="58" w:type="dxa"/>
              <w:left w:w="29" w:type="dxa"/>
              <w:bottom w:w="58" w:type="dxa"/>
              <w:right w:w="29" w:type="dxa"/>
            </w:tcMar>
            <w:vAlign w:val="center"/>
          </w:tcPr>
          <w:p w14:paraId="037AADA2" w14:textId="77777777" w:rsidR="00876E41" w:rsidRDefault="005118FF">
            <w:pPr>
              <w:pStyle w:val="Heading1"/>
              <w:outlineLvl w:val="0"/>
              <w:rPr>
                <w:szCs w:val="24"/>
              </w:rPr>
            </w:pPr>
            <w:r>
              <w:rPr>
                <w:szCs w:val="24"/>
              </w:rPr>
              <w:t>Interferences</w:t>
            </w:r>
          </w:p>
        </w:tc>
      </w:tr>
      <w:tr w:rsidR="00876E41" w14:paraId="1246F7C1" w14:textId="77777777" w:rsidTr="1F1A2264">
        <w:tc>
          <w:tcPr>
            <w:tcW w:w="9576" w:type="dxa"/>
            <w:tcBorders>
              <w:top w:val="nil"/>
              <w:bottom w:val="single" w:sz="4" w:space="0" w:color="auto"/>
              <w:right w:val="single" w:sz="4" w:space="0" w:color="auto"/>
            </w:tcBorders>
            <w:tcMar>
              <w:top w:w="58" w:type="dxa"/>
              <w:left w:w="29" w:type="dxa"/>
              <w:bottom w:w="58" w:type="dxa"/>
              <w:right w:w="29" w:type="dxa"/>
            </w:tcMar>
            <w:vAlign w:val="center"/>
          </w:tcPr>
          <w:p w14:paraId="56137F26" w14:textId="77777777" w:rsidR="004F70ED" w:rsidRDefault="00435294" w:rsidP="006E1559">
            <w:pPr>
              <w:pStyle w:val="Paragraph"/>
            </w:pPr>
            <w:r>
              <w:rPr>
                <w:noProof/>
              </w:rPr>
              <w:drawing>
                <wp:inline distT="0" distB="0" distL="0" distR="0" wp14:anchorId="0A0C335B" wp14:editId="111AEFBF">
                  <wp:extent cx="5943600" cy="998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998855"/>
                          </a:xfrm>
                          <a:prstGeom prst="rect">
                            <a:avLst/>
                          </a:prstGeom>
                        </pic:spPr>
                      </pic:pic>
                    </a:graphicData>
                  </a:graphic>
                </wp:inline>
              </w:drawing>
            </w:r>
          </w:p>
          <w:p w14:paraId="4501C845" w14:textId="77777777" w:rsidR="00435294" w:rsidRDefault="00435294" w:rsidP="00435294">
            <w:pPr>
              <w:pStyle w:val="Subheading"/>
            </w:pPr>
            <w:r>
              <w:t>High-Dose Hook Effect</w:t>
            </w:r>
          </w:p>
          <w:p w14:paraId="706CD562" w14:textId="77777777" w:rsidR="00435294" w:rsidRDefault="00435294" w:rsidP="00435294">
            <w:pPr>
              <w:pStyle w:val="Paragraph"/>
            </w:pPr>
            <w:r>
              <w:t xml:space="preserve">Patient samples with high </w:t>
            </w:r>
            <w:proofErr w:type="spellStart"/>
            <w:r>
              <w:t>hCG</w:t>
            </w:r>
            <w:proofErr w:type="spellEnd"/>
            <w:r>
              <w:t xml:space="preserve"> levels can cause a paradoxical decrease in the RLUs (high-dose hook effect). In this assay, patient samples with </w:t>
            </w:r>
            <w:proofErr w:type="spellStart"/>
            <w:r>
              <w:t>hCG</w:t>
            </w:r>
            <w:proofErr w:type="spellEnd"/>
            <w:r>
              <w:t xml:space="preserve"> levels as high as 400,000 </w:t>
            </w:r>
            <w:proofErr w:type="spellStart"/>
            <w:r>
              <w:t>mIU</w:t>
            </w:r>
            <w:proofErr w:type="spellEnd"/>
            <w:r>
              <w:t xml:space="preserve">/mL (IU/L) will assay greater than 1000 </w:t>
            </w:r>
            <w:proofErr w:type="spellStart"/>
            <w:r>
              <w:t>mIU</w:t>
            </w:r>
            <w:proofErr w:type="spellEnd"/>
            <w:r>
              <w:t>/mL (IU/L).</w:t>
            </w:r>
          </w:p>
          <w:p w14:paraId="1A42F409" w14:textId="77777777" w:rsidR="00435294" w:rsidRDefault="00435294" w:rsidP="00435294">
            <w:pPr>
              <w:pStyle w:val="Subheading"/>
            </w:pPr>
            <w:r>
              <w:t>Specificity</w:t>
            </w:r>
          </w:p>
          <w:p w14:paraId="1598B23F" w14:textId="77777777" w:rsidR="00435294" w:rsidRDefault="00435294" w:rsidP="00435294">
            <w:pPr>
              <w:pStyle w:val="Paragraph"/>
            </w:pPr>
            <w:r>
              <w:t xml:space="preserve">The cross-reactivity of the ADVIA Centaur Total </w:t>
            </w:r>
            <w:proofErr w:type="spellStart"/>
            <w:r>
              <w:t>hCG</w:t>
            </w:r>
            <w:proofErr w:type="spellEnd"/>
            <w:r>
              <w:t xml:space="preserve"> assay with TSH, LH, FSH, prolactin, and </w:t>
            </w:r>
            <w:proofErr w:type="spellStart"/>
            <w:r>
              <w:t>hGH</w:t>
            </w:r>
            <w:proofErr w:type="spellEnd"/>
            <w:r>
              <w:t xml:space="preserve"> was determined by adding these hormones to serum samples containing </w:t>
            </w:r>
            <w:proofErr w:type="spellStart"/>
            <w:r>
              <w:t>hCG</w:t>
            </w:r>
            <w:proofErr w:type="spellEnd"/>
            <w:r>
              <w:t xml:space="preserve">. The level of </w:t>
            </w:r>
            <w:proofErr w:type="spellStart"/>
            <w:r>
              <w:t>hCG</w:t>
            </w:r>
            <w:proofErr w:type="spellEnd"/>
            <w:r>
              <w:t xml:space="preserve"> in the samples was then determined.</w:t>
            </w:r>
          </w:p>
          <w:p w14:paraId="1DFADE79" w14:textId="77777777" w:rsidR="00FF31EA" w:rsidRDefault="002C2160" w:rsidP="00435294">
            <w:pPr>
              <w:pStyle w:val="Paragraph"/>
            </w:pPr>
            <w:r>
              <w:object w:dxaOrig="9360" w:dyaOrig="6795" w14:anchorId="516C2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39.6pt" o:ole="">
                  <v:imagedata r:id="rId13" o:title=""/>
                </v:shape>
                <o:OLEObject Type="Embed" ProgID="PBrush" ShapeID="_x0000_i1025" DrawAspect="Content" ObjectID="_1693221231" r:id="rId14"/>
              </w:object>
            </w:r>
          </w:p>
          <w:p w14:paraId="3C359BA7" w14:textId="77777777" w:rsidR="00435294" w:rsidRDefault="002C2160" w:rsidP="006E1559">
            <w:pPr>
              <w:pStyle w:val="Paragraph"/>
            </w:pPr>
            <w:r w:rsidRPr="002C2160">
              <w:t>Interference testing was determined according to CLSI Document EP7-A2.</w:t>
            </w:r>
          </w:p>
          <w:p w14:paraId="6FA12B62" w14:textId="6C75D14D" w:rsidR="006E1559" w:rsidRDefault="002C2160" w:rsidP="004F70ED">
            <w:pPr>
              <w:pStyle w:val="Subheading"/>
              <w:rPr>
                <w:noProof/>
              </w:rPr>
            </w:pPr>
            <w:r>
              <w:rPr>
                <w:noProof/>
              </w:rPr>
              <w:t>Other</w:t>
            </w:r>
            <w:r w:rsidR="00DF443C">
              <w:rPr>
                <w:noProof/>
              </w:rPr>
              <w:t xml:space="preserve"> Limitations</w:t>
            </w:r>
          </w:p>
          <w:p w14:paraId="150A4704" w14:textId="77777777" w:rsidR="00435294" w:rsidRDefault="00435294" w:rsidP="00435294">
            <w:pPr>
              <w:pStyle w:val="Paragraph"/>
              <w:rPr>
                <w:noProof/>
              </w:rPr>
            </w:pPr>
            <w:r>
              <w:rPr>
                <w:noProof/>
              </w:rPr>
              <w:t>There are many possible causes for these types of discordant results. Erroneous results may occur due to interference from identifiable serum constituents or patient-specific serum constituents.</w:t>
            </w:r>
          </w:p>
          <w:p w14:paraId="46531408" w14:textId="77777777" w:rsidR="00435294" w:rsidRPr="00432212" w:rsidRDefault="00435294" w:rsidP="00435294">
            <w:pPr>
              <w:pStyle w:val="Paragraph"/>
              <w:rPr>
                <w:b/>
                <w:noProof/>
              </w:rPr>
            </w:pPr>
            <w:r w:rsidRPr="00432212">
              <w:rPr>
                <w:b/>
                <w:noProof/>
              </w:rPr>
              <w:t>Erroneous results due to interference are repeatable over time.</w:t>
            </w:r>
          </w:p>
          <w:p w14:paraId="7C345DDB" w14:textId="77777777" w:rsidR="00435294" w:rsidRDefault="00435294" w:rsidP="00435294">
            <w:pPr>
              <w:pStyle w:val="Paragraph"/>
              <w:rPr>
                <w:noProof/>
              </w:rPr>
            </w:pPr>
            <w:r>
              <w:rPr>
                <w:noProof/>
              </w:rPr>
              <w:t xml:space="preserve">Persistent serum hCG results in the range of 10 to 100 mIU/mL (more typically 10 to 50 mIU/mL) over several months suggests that the patient’s blood may contain an interfering substance and produce erroneous results. </w:t>
            </w:r>
          </w:p>
          <w:p w14:paraId="00018A6E" w14:textId="77777777" w:rsidR="00435294" w:rsidRDefault="00435294" w:rsidP="00435294">
            <w:pPr>
              <w:pStyle w:val="Paragraph"/>
              <w:rPr>
                <w:noProof/>
              </w:rPr>
            </w:pPr>
            <w:r>
              <w:rPr>
                <w:noProof/>
              </w:rPr>
              <w:t>Identified sources of interference that have the potential to bind to and interfere with any component of the assay include:</w:t>
            </w:r>
          </w:p>
          <w:p w14:paraId="562858C7" w14:textId="77777777" w:rsidR="00435294" w:rsidRDefault="00435294" w:rsidP="00DF443C">
            <w:pPr>
              <w:pStyle w:val="Bullet"/>
              <w:numPr>
                <w:ilvl w:val="1"/>
                <w:numId w:val="9"/>
              </w:numPr>
              <w:rPr>
                <w:noProof/>
              </w:rPr>
            </w:pPr>
            <w:r>
              <w:rPr>
                <w:noProof/>
              </w:rPr>
              <w:t>plasma components (clotting factors)</w:t>
            </w:r>
          </w:p>
          <w:p w14:paraId="64E2BAAF" w14:textId="77777777" w:rsidR="00435294" w:rsidRDefault="00435294" w:rsidP="00DF443C">
            <w:pPr>
              <w:pStyle w:val="Bullet"/>
              <w:numPr>
                <w:ilvl w:val="1"/>
                <w:numId w:val="9"/>
              </w:numPr>
              <w:rPr>
                <w:noProof/>
              </w:rPr>
            </w:pPr>
            <w:r>
              <w:rPr>
                <w:noProof/>
              </w:rPr>
              <w:t>serum proteins (such as rheumatoid factor)</w:t>
            </w:r>
          </w:p>
          <w:p w14:paraId="6920C4F5" w14:textId="77777777" w:rsidR="00435294" w:rsidRDefault="00435294" w:rsidP="00DF443C">
            <w:pPr>
              <w:pStyle w:val="Bullet"/>
              <w:numPr>
                <w:ilvl w:val="1"/>
                <w:numId w:val="9"/>
              </w:numPr>
              <w:rPr>
                <w:noProof/>
              </w:rPr>
            </w:pPr>
            <w:r>
              <w:rPr>
                <w:noProof/>
              </w:rPr>
              <w:t>heterophile and anti-animal antibodies (such as anti-mouse, anti-rabbit, anti-goat)</w:t>
            </w:r>
          </w:p>
          <w:p w14:paraId="2930CEBC" w14:textId="77777777" w:rsidR="00435294" w:rsidRDefault="00435294" w:rsidP="00DF443C">
            <w:pPr>
              <w:pStyle w:val="Bullet"/>
              <w:numPr>
                <w:ilvl w:val="1"/>
                <w:numId w:val="9"/>
              </w:numPr>
              <w:rPr>
                <w:noProof/>
              </w:rPr>
            </w:pPr>
            <w:r>
              <w:rPr>
                <w:noProof/>
              </w:rPr>
              <w:t>anti-idiotype antibodies</w:t>
            </w:r>
          </w:p>
          <w:p w14:paraId="5077D312" w14:textId="77777777" w:rsidR="00435294" w:rsidRDefault="00435294" w:rsidP="00435294">
            <w:pPr>
              <w:pStyle w:val="Paragraph"/>
              <w:rPr>
                <w:noProof/>
              </w:rPr>
            </w:pPr>
            <w:r>
              <w:rPr>
                <w:noProof/>
              </w:rPr>
              <w:t>Interference can also be caused by:</w:t>
            </w:r>
          </w:p>
          <w:p w14:paraId="1FE92C0A" w14:textId="77777777" w:rsidR="00435294" w:rsidRDefault="00435294" w:rsidP="00DF443C">
            <w:pPr>
              <w:pStyle w:val="Bullet"/>
              <w:numPr>
                <w:ilvl w:val="1"/>
                <w:numId w:val="9"/>
              </w:numPr>
              <w:rPr>
                <w:noProof/>
              </w:rPr>
            </w:pPr>
            <w:r>
              <w:rPr>
                <w:noProof/>
              </w:rPr>
              <w:t>drugs and drug metabolites</w:t>
            </w:r>
          </w:p>
          <w:p w14:paraId="4F4B2E95" w14:textId="77777777" w:rsidR="00A110FA" w:rsidRDefault="00435294" w:rsidP="00DF443C">
            <w:pPr>
              <w:pStyle w:val="Bullet"/>
              <w:numPr>
                <w:ilvl w:val="1"/>
                <w:numId w:val="9"/>
              </w:numPr>
              <w:rPr>
                <w:noProof/>
              </w:rPr>
            </w:pPr>
            <w:r>
              <w:rPr>
                <w:noProof/>
              </w:rPr>
              <w:t>cross-reacting substances</w:t>
            </w:r>
          </w:p>
        </w:tc>
      </w:tr>
      <w:tr w:rsidR="00876E41" w14:paraId="2C70D5BB" w14:textId="77777777" w:rsidTr="1F1A2264">
        <w:trPr>
          <w:cantSplit/>
        </w:trPr>
        <w:tc>
          <w:tcPr>
            <w:tcW w:w="9576" w:type="dxa"/>
            <w:tcBorders>
              <w:bottom w:val="nil"/>
              <w:right w:val="single" w:sz="4" w:space="0" w:color="auto"/>
            </w:tcBorders>
            <w:tcMar>
              <w:top w:w="58" w:type="dxa"/>
              <w:left w:w="29" w:type="dxa"/>
              <w:bottom w:w="58" w:type="dxa"/>
              <w:right w:w="29" w:type="dxa"/>
            </w:tcMar>
            <w:vAlign w:val="center"/>
          </w:tcPr>
          <w:p w14:paraId="479B50A0" w14:textId="77777777" w:rsidR="00876E41" w:rsidRDefault="00720B5B">
            <w:pPr>
              <w:pStyle w:val="Heading1"/>
              <w:outlineLvl w:val="0"/>
              <w:rPr>
                <w:szCs w:val="24"/>
              </w:rPr>
            </w:pPr>
            <w:r w:rsidRPr="00720B5B">
              <w:rPr>
                <w:szCs w:val="24"/>
              </w:rPr>
              <w:t>Calculation</w:t>
            </w:r>
            <w:r w:rsidR="00DE39EC" w:rsidRPr="00DE39EC">
              <w:rPr>
                <w:szCs w:val="24"/>
              </w:rPr>
              <w:t xml:space="preserve"> </w:t>
            </w:r>
            <w:r w:rsidR="005118FF">
              <w:rPr>
                <w:szCs w:val="24"/>
              </w:rPr>
              <w:t>of Results</w:t>
            </w:r>
          </w:p>
        </w:tc>
      </w:tr>
      <w:tr w:rsidR="00876E41" w14:paraId="22CB4D95" w14:textId="77777777" w:rsidTr="1F1A2264">
        <w:tc>
          <w:tcPr>
            <w:tcW w:w="9576" w:type="dxa"/>
            <w:tcBorders>
              <w:top w:val="nil"/>
              <w:bottom w:val="single" w:sz="4" w:space="0" w:color="auto"/>
              <w:right w:val="single" w:sz="4" w:space="0" w:color="auto"/>
            </w:tcBorders>
            <w:tcMar>
              <w:top w:w="58" w:type="dxa"/>
              <w:left w:w="29" w:type="dxa"/>
              <w:bottom w:w="58" w:type="dxa"/>
              <w:right w:w="29" w:type="dxa"/>
            </w:tcMar>
            <w:vAlign w:val="center"/>
          </w:tcPr>
          <w:p w14:paraId="00FADE43" w14:textId="77777777" w:rsidR="00DF443C" w:rsidRDefault="00435294" w:rsidP="00435294">
            <w:pPr>
              <w:pStyle w:val="Paragraph"/>
            </w:pPr>
            <w:r>
              <w:t xml:space="preserve">The system reports serum </w:t>
            </w:r>
            <w:proofErr w:type="spellStart"/>
            <w:r>
              <w:t>hCG</w:t>
            </w:r>
            <w:proofErr w:type="spellEnd"/>
            <w:r>
              <w:t xml:space="preserve"> results in </w:t>
            </w:r>
            <w:proofErr w:type="spellStart"/>
            <w:r>
              <w:t>mIU</w:t>
            </w:r>
            <w:proofErr w:type="spellEnd"/>
            <w:r>
              <w:t xml:space="preserve">/mL (common units) or IU/L (SI units), depending on the units defined when setting up the assay. The conversion formula is 1 </w:t>
            </w:r>
            <w:proofErr w:type="spellStart"/>
            <w:r>
              <w:t>mIU</w:t>
            </w:r>
            <w:proofErr w:type="spellEnd"/>
            <w:r>
              <w:t>/mL = 1 IU/L.</w:t>
            </w:r>
          </w:p>
          <w:p w14:paraId="7FC424F8" w14:textId="774389E7" w:rsidR="00DE39EC" w:rsidRPr="00E062C7" w:rsidRDefault="00DF443C" w:rsidP="00435294">
            <w:pPr>
              <w:pStyle w:val="Paragraph"/>
            </w:pPr>
            <w:r>
              <w:t xml:space="preserve"> Lifespan reports </w:t>
            </w:r>
            <w:proofErr w:type="spellStart"/>
            <w:r>
              <w:t>mIU</w:t>
            </w:r>
            <w:proofErr w:type="spellEnd"/>
            <w:r>
              <w:t xml:space="preserve">/mL for </w:t>
            </w:r>
            <w:r w:rsidR="00B96607">
              <w:t>Q</w:t>
            </w:r>
            <w:r>
              <w:t xml:space="preserve">uantitative tests. </w:t>
            </w:r>
          </w:p>
        </w:tc>
      </w:tr>
      <w:tr w:rsidR="00876E41" w14:paraId="0B39D41D" w14:textId="77777777" w:rsidTr="1F1A2264">
        <w:trPr>
          <w:cantSplit/>
        </w:trPr>
        <w:tc>
          <w:tcPr>
            <w:tcW w:w="9576" w:type="dxa"/>
            <w:tcBorders>
              <w:bottom w:val="nil"/>
              <w:right w:val="single" w:sz="4" w:space="0" w:color="auto"/>
            </w:tcBorders>
            <w:tcMar>
              <w:top w:w="58" w:type="dxa"/>
              <w:left w:w="29" w:type="dxa"/>
              <w:bottom w:w="58" w:type="dxa"/>
              <w:right w:w="29" w:type="dxa"/>
            </w:tcMar>
            <w:vAlign w:val="center"/>
          </w:tcPr>
          <w:p w14:paraId="6C6C20F9" w14:textId="77777777" w:rsidR="00876E41" w:rsidRDefault="005118FF">
            <w:pPr>
              <w:pStyle w:val="Heading1"/>
              <w:outlineLvl w:val="0"/>
              <w:rPr>
                <w:szCs w:val="24"/>
              </w:rPr>
            </w:pPr>
            <w:r>
              <w:rPr>
                <w:szCs w:val="24"/>
              </w:rPr>
              <w:t>Analytical Measuring Range</w:t>
            </w:r>
          </w:p>
        </w:tc>
      </w:tr>
      <w:tr w:rsidR="00876E41" w14:paraId="29506DF7" w14:textId="77777777" w:rsidTr="1F1A2264">
        <w:trPr>
          <w:cantSplit/>
        </w:trPr>
        <w:tc>
          <w:tcPr>
            <w:tcW w:w="9576" w:type="dxa"/>
            <w:tcBorders>
              <w:top w:val="nil"/>
              <w:right w:val="single" w:sz="4" w:space="0" w:color="auto"/>
            </w:tcBorders>
            <w:shd w:val="clear" w:color="auto" w:fill="auto"/>
            <w:tcMar>
              <w:top w:w="58" w:type="dxa"/>
              <w:left w:w="29" w:type="dxa"/>
              <w:bottom w:w="58" w:type="dxa"/>
              <w:right w:w="29" w:type="dxa"/>
            </w:tcMar>
            <w:vAlign w:val="center"/>
          </w:tcPr>
          <w:p w14:paraId="34B2F483" w14:textId="733A262F" w:rsidR="00876E41" w:rsidRPr="00032E26" w:rsidRDefault="5FC65E4B" w:rsidP="4776354D">
            <w:pPr>
              <w:pStyle w:val="Paragraph"/>
            </w:pPr>
            <w:r w:rsidRPr="00032E26">
              <w:t xml:space="preserve">        </w:t>
            </w:r>
            <w:r w:rsidR="603BCF98" w:rsidRPr="00032E26">
              <w:t xml:space="preserve">2.0–1000 </w:t>
            </w:r>
            <w:proofErr w:type="spellStart"/>
            <w:r w:rsidR="603BCF98" w:rsidRPr="00032E26">
              <w:t>mIU</w:t>
            </w:r>
            <w:proofErr w:type="spellEnd"/>
            <w:r w:rsidR="603BCF98" w:rsidRPr="00032E26">
              <w:t xml:space="preserve">/mL </w:t>
            </w:r>
          </w:p>
          <w:p w14:paraId="63769D47" w14:textId="481EE598" w:rsidR="00032E26" w:rsidRPr="00032E26" w:rsidRDefault="00032E26" w:rsidP="00032E26">
            <w:pPr>
              <w:pStyle w:val="Heading1"/>
              <w:outlineLvl w:val="0"/>
            </w:pPr>
            <w:r>
              <w:t>Clinical Reportable Range</w:t>
            </w:r>
          </w:p>
          <w:p w14:paraId="448B267D" w14:textId="713FF915" w:rsidR="007A27A8" w:rsidRPr="00032E26" w:rsidRDefault="5FC65E4B" w:rsidP="4776354D">
            <w:pPr>
              <w:pStyle w:val="Paragraph"/>
            </w:pPr>
            <w:r w:rsidRPr="00032E26">
              <w:t xml:space="preserve">       </w:t>
            </w:r>
            <w:r w:rsidR="458C4902" w:rsidRPr="00032E26">
              <w:t xml:space="preserve">2.0 - &gt;200,000 </w:t>
            </w:r>
            <w:proofErr w:type="spellStart"/>
            <w:r w:rsidR="458C4902" w:rsidRPr="00032E26">
              <w:t>mIU</w:t>
            </w:r>
            <w:proofErr w:type="spellEnd"/>
            <w:r w:rsidR="458C4902" w:rsidRPr="00032E26">
              <w:t>/mL</w:t>
            </w:r>
          </w:p>
        </w:tc>
      </w:tr>
      <w:tr w:rsidR="00876E41" w14:paraId="054DE07E" w14:textId="77777777" w:rsidTr="1F1A2264">
        <w:tc>
          <w:tcPr>
            <w:tcW w:w="9576" w:type="dxa"/>
            <w:tcBorders>
              <w:bottom w:val="nil"/>
              <w:right w:val="single" w:sz="4" w:space="0" w:color="auto"/>
            </w:tcBorders>
            <w:tcMar>
              <w:top w:w="58" w:type="dxa"/>
              <w:left w:w="29" w:type="dxa"/>
              <w:bottom w:w="58" w:type="dxa"/>
              <w:right w:w="29" w:type="dxa"/>
            </w:tcMar>
            <w:vAlign w:val="center"/>
          </w:tcPr>
          <w:p w14:paraId="0D976D6F" w14:textId="77777777" w:rsidR="00876E41" w:rsidRDefault="005118FF">
            <w:pPr>
              <w:pStyle w:val="Heading1"/>
              <w:outlineLvl w:val="0"/>
              <w:rPr>
                <w:szCs w:val="24"/>
              </w:rPr>
            </w:pPr>
            <w:r>
              <w:rPr>
                <w:szCs w:val="24"/>
              </w:rPr>
              <w:t>Dilutions</w:t>
            </w:r>
          </w:p>
        </w:tc>
      </w:tr>
      <w:tr w:rsidR="00876E41" w14:paraId="13C42BE7" w14:textId="77777777" w:rsidTr="1F1A2264">
        <w:trPr>
          <w:cantSplit/>
        </w:trPr>
        <w:tc>
          <w:tcPr>
            <w:tcW w:w="9576" w:type="dxa"/>
            <w:tcBorders>
              <w:top w:val="nil"/>
              <w:right w:val="single" w:sz="4" w:space="0" w:color="auto"/>
            </w:tcBorders>
            <w:tcMar>
              <w:top w:w="58" w:type="dxa"/>
              <w:left w:w="29" w:type="dxa"/>
              <w:bottom w:w="58" w:type="dxa"/>
              <w:right w:w="29" w:type="dxa"/>
            </w:tcMar>
            <w:vAlign w:val="center"/>
          </w:tcPr>
          <w:p w14:paraId="17A9F8D9" w14:textId="77777777" w:rsidR="00435294" w:rsidRDefault="00435294" w:rsidP="00435294">
            <w:pPr>
              <w:pStyle w:val="Paragraph"/>
            </w:pPr>
            <w:r>
              <w:t>The following information pertains to dilutions:</w:t>
            </w:r>
          </w:p>
          <w:p w14:paraId="6EBC63B6" w14:textId="77777777" w:rsidR="00435294" w:rsidRDefault="00435294" w:rsidP="00435294">
            <w:pPr>
              <w:pStyle w:val="Bullet"/>
            </w:pPr>
            <w:r>
              <w:t xml:space="preserve">Serum samples with </w:t>
            </w:r>
            <w:proofErr w:type="spellStart"/>
            <w:r>
              <w:t>hCG</w:t>
            </w:r>
            <w:proofErr w:type="spellEnd"/>
            <w:r>
              <w:t xml:space="preserve"> levels greater than 1000 </w:t>
            </w:r>
            <w:proofErr w:type="spellStart"/>
            <w:r>
              <w:t>mIU</w:t>
            </w:r>
            <w:proofErr w:type="spellEnd"/>
            <w:r>
              <w:t>/mL (IU/L) must be diluted and retested to obtain accurate results.</w:t>
            </w:r>
          </w:p>
          <w:p w14:paraId="4C4A36E0" w14:textId="77777777" w:rsidR="00435294" w:rsidRDefault="00435294" w:rsidP="00435294">
            <w:pPr>
              <w:pStyle w:val="Bullet"/>
            </w:pPr>
            <w:r>
              <w:t>Patient samples can be automatically diluted by the system or prepared manually.</w:t>
            </w:r>
          </w:p>
          <w:p w14:paraId="56280FA8" w14:textId="77777777" w:rsidR="00435294" w:rsidRDefault="00435294" w:rsidP="00435294">
            <w:pPr>
              <w:pStyle w:val="Bullet"/>
            </w:pPr>
            <w:r>
              <w:t xml:space="preserve">For automatic dilutions, ensure that ADVIA Centaur </w:t>
            </w:r>
            <w:proofErr w:type="spellStart"/>
            <w:r>
              <w:t>ThCG</w:t>
            </w:r>
            <w:proofErr w:type="spellEnd"/>
            <w:r>
              <w:t xml:space="preserve"> Diluent is loaded and set the</w:t>
            </w:r>
            <w:r w:rsidR="008B51FA">
              <w:t xml:space="preserve"> </w:t>
            </w:r>
            <w:r>
              <w:t>system parameters as follows:</w:t>
            </w:r>
          </w:p>
          <w:p w14:paraId="59ED8987" w14:textId="77777777" w:rsidR="00435294" w:rsidRDefault="00435294" w:rsidP="0073239B">
            <w:pPr>
              <w:ind w:left="374"/>
            </w:pPr>
            <w:r>
              <w:t xml:space="preserve">Dilution point: ≤ 1000 </w:t>
            </w:r>
            <w:proofErr w:type="spellStart"/>
            <w:r>
              <w:t>mIU</w:t>
            </w:r>
            <w:proofErr w:type="spellEnd"/>
            <w:r>
              <w:t>/mL (IU/L)</w:t>
            </w:r>
          </w:p>
          <w:p w14:paraId="1BC316BF" w14:textId="0D4BD140" w:rsidR="004F70ED" w:rsidRDefault="603BCF98" w:rsidP="4776354D">
            <w:pPr>
              <w:spacing w:after="200" w:line="259" w:lineRule="auto"/>
              <w:ind w:left="374"/>
            </w:pPr>
            <w:r>
              <w:t>Dilution factor: 5, 10, 100, 200</w:t>
            </w:r>
            <w:r w:rsidR="2DE402C6">
              <w:t xml:space="preserve"> are available. Lifespan analyzers are preset to perform a x200 dilution when the diluent is on board.</w:t>
            </w:r>
            <w:r w:rsidR="25474B2E">
              <w:t xml:space="preserve">  </w:t>
            </w:r>
            <w:r w:rsidR="4921073A">
              <w:t>T</w:t>
            </w:r>
            <w:r w:rsidR="25474B2E">
              <w:t>he system automatically calculates the result using the preset dilution value of 200.</w:t>
            </w:r>
          </w:p>
          <w:p w14:paraId="13ED5AE1" w14:textId="0EFF4907" w:rsidR="004F70ED" w:rsidRDefault="25A8EA2B" w:rsidP="4776354D">
            <w:pPr>
              <w:spacing w:after="200" w:line="259" w:lineRule="auto"/>
              <w:ind w:left="374"/>
              <w:rPr>
                <w:rFonts w:eastAsia="Calibri"/>
              </w:rPr>
            </w:pPr>
            <w:r w:rsidRPr="4776354D">
              <w:rPr>
                <w:rFonts w:eastAsia="Calibri"/>
              </w:rPr>
              <w:t>The maximum reportable value is 200,000 and values greater than that are reported as &gt;200000.</w:t>
            </w:r>
          </w:p>
        </w:tc>
      </w:tr>
      <w:tr w:rsidR="00876E41" w14:paraId="71532AA0" w14:textId="77777777" w:rsidTr="1F1A2264">
        <w:trPr>
          <w:cantSplit/>
        </w:trPr>
        <w:tc>
          <w:tcPr>
            <w:tcW w:w="9576" w:type="dxa"/>
            <w:tcBorders>
              <w:bottom w:val="nil"/>
              <w:right w:val="single" w:sz="4" w:space="0" w:color="auto"/>
            </w:tcBorders>
            <w:tcMar>
              <w:top w:w="58" w:type="dxa"/>
              <w:left w:w="29" w:type="dxa"/>
              <w:bottom w:w="58" w:type="dxa"/>
              <w:right w:w="29" w:type="dxa"/>
            </w:tcMar>
            <w:vAlign w:val="center"/>
          </w:tcPr>
          <w:p w14:paraId="67D4FF4D" w14:textId="77777777" w:rsidR="00876E41" w:rsidRDefault="005118FF">
            <w:pPr>
              <w:pStyle w:val="Heading1"/>
              <w:outlineLvl w:val="0"/>
              <w:rPr>
                <w:szCs w:val="24"/>
              </w:rPr>
            </w:pPr>
            <w:r>
              <w:rPr>
                <w:szCs w:val="24"/>
              </w:rPr>
              <w:t>Sensitivity</w:t>
            </w:r>
          </w:p>
        </w:tc>
      </w:tr>
      <w:tr w:rsidR="00876E41" w14:paraId="28B62DED" w14:textId="77777777" w:rsidTr="1F1A2264">
        <w:tc>
          <w:tcPr>
            <w:tcW w:w="9576" w:type="dxa"/>
            <w:tcBorders>
              <w:top w:val="nil"/>
              <w:right w:val="single" w:sz="4" w:space="0" w:color="auto"/>
            </w:tcBorders>
            <w:tcMar>
              <w:top w:w="58" w:type="dxa"/>
              <w:left w:w="29" w:type="dxa"/>
              <w:bottom w:w="58" w:type="dxa"/>
              <w:right w:w="29" w:type="dxa"/>
            </w:tcMar>
            <w:vAlign w:val="center"/>
          </w:tcPr>
          <w:p w14:paraId="1E972D6B" w14:textId="77777777" w:rsidR="002A5EEF" w:rsidRDefault="008B51FA" w:rsidP="008B51FA">
            <w:pPr>
              <w:pStyle w:val="Paragraph"/>
            </w:pPr>
            <w:r>
              <w:t xml:space="preserve">The ADVIA Centaur Total </w:t>
            </w:r>
            <w:proofErr w:type="spellStart"/>
            <w:r>
              <w:t>hCG</w:t>
            </w:r>
            <w:proofErr w:type="spellEnd"/>
            <w:r>
              <w:t xml:space="preserve"> assay measures </w:t>
            </w:r>
            <w:proofErr w:type="spellStart"/>
            <w:r>
              <w:t>hCG</w:t>
            </w:r>
            <w:proofErr w:type="spellEnd"/>
            <w:r>
              <w:t xml:space="preserve"> concentrations up to 1000 </w:t>
            </w:r>
            <w:proofErr w:type="spellStart"/>
            <w:r>
              <w:t>mIU</w:t>
            </w:r>
            <w:proofErr w:type="spellEnd"/>
            <w:r>
              <w:t xml:space="preserve">/mL (IU/L) with a minimum detectable concentration (analytical sensitivity) of 2.0 </w:t>
            </w:r>
            <w:proofErr w:type="spellStart"/>
            <w:r>
              <w:t>mIU</w:t>
            </w:r>
            <w:proofErr w:type="spellEnd"/>
            <w:r>
              <w:t xml:space="preserve">/mL (IU/L). Analytical sensitivity is defined as the concentration of </w:t>
            </w:r>
            <w:proofErr w:type="spellStart"/>
            <w:r>
              <w:t>hCG</w:t>
            </w:r>
            <w:proofErr w:type="spellEnd"/>
            <w:r>
              <w:t xml:space="preserve"> that corresponds to the RLUs that are two standard deviations greater than the mean RLUs of 20 replicate determinations of the Total </w:t>
            </w:r>
            <w:proofErr w:type="spellStart"/>
            <w:r>
              <w:t>hCG</w:t>
            </w:r>
            <w:proofErr w:type="spellEnd"/>
            <w:r>
              <w:t xml:space="preserve"> zero standard.</w:t>
            </w:r>
          </w:p>
        </w:tc>
      </w:tr>
      <w:tr w:rsidR="00876E41" w14:paraId="2F2CB0E4" w14:textId="77777777" w:rsidTr="1F1A2264">
        <w:trPr>
          <w:cantSplit/>
        </w:trPr>
        <w:tc>
          <w:tcPr>
            <w:tcW w:w="9576" w:type="dxa"/>
            <w:tcBorders>
              <w:bottom w:val="nil"/>
              <w:right w:val="single" w:sz="4" w:space="0" w:color="auto"/>
            </w:tcBorders>
            <w:shd w:val="clear" w:color="auto" w:fill="auto"/>
            <w:tcMar>
              <w:top w:w="58" w:type="dxa"/>
              <w:left w:w="29" w:type="dxa"/>
              <w:bottom w:w="58" w:type="dxa"/>
              <w:right w:w="29" w:type="dxa"/>
            </w:tcMar>
            <w:vAlign w:val="center"/>
          </w:tcPr>
          <w:p w14:paraId="700C9E95" w14:textId="24DF47FA" w:rsidR="00876E41" w:rsidRDefault="005118FF" w:rsidP="4776354D">
            <w:pPr>
              <w:pStyle w:val="Heading1"/>
              <w:outlineLvl w:val="0"/>
            </w:pPr>
            <w:r>
              <w:t>Expected Values</w:t>
            </w:r>
          </w:p>
        </w:tc>
      </w:tr>
      <w:tr w:rsidR="4776354D" w14:paraId="3D1E2F2E" w14:textId="77777777" w:rsidTr="1F1A2264">
        <w:trPr>
          <w:cantSplit/>
        </w:trPr>
        <w:tc>
          <w:tcPr>
            <w:tcW w:w="9576" w:type="dxa"/>
            <w:tcBorders>
              <w:bottom w:val="nil"/>
              <w:right w:val="single" w:sz="4" w:space="0" w:color="auto"/>
            </w:tcBorders>
            <w:shd w:val="clear" w:color="auto" w:fill="auto"/>
            <w:tcMar>
              <w:top w:w="58" w:type="dxa"/>
              <w:left w:w="29" w:type="dxa"/>
              <w:bottom w:w="58" w:type="dxa"/>
              <w:right w:w="29" w:type="dxa"/>
            </w:tcMar>
            <w:vAlign w:val="center"/>
          </w:tcPr>
          <w:p w14:paraId="244BBD39" w14:textId="1E52ED0E" w:rsidR="4776354D" w:rsidRDefault="4776354D" w:rsidP="4776354D">
            <w:pPr>
              <w:pStyle w:val="Heading1"/>
              <w:outlineLvl w:val="0"/>
              <w:rPr>
                <w:rFonts w:eastAsia="Calibri"/>
                <w:bCs/>
                <w:szCs w:val="24"/>
              </w:rPr>
            </w:pPr>
          </w:p>
        </w:tc>
      </w:tr>
      <w:tr w:rsidR="00876E41" w14:paraId="4D495C42" w14:textId="77777777" w:rsidTr="1F1A2264">
        <w:trPr>
          <w:cantSplit/>
        </w:trPr>
        <w:tc>
          <w:tcPr>
            <w:tcW w:w="9576" w:type="dxa"/>
            <w:tcBorders>
              <w:top w:val="nil"/>
              <w:bottom w:val="nil"/>
              <w:right w:val="single" w:sz="4" w:space="0" w:color="auto"/>
            </w:tcBorders>
            <w:tcMar>
              <w:top w:w="58" w:type="dxa"/>
              <w:left w:w="29" w:type="dxa"/>
              <w:bottom w:w="58" w:type="dxa"/>
              <w:right w:w="29" w:type="dxa"/>
            </w:tcMar>
            <w:vAlign w:val="center"/>
          </w:tcPr>
          <w:p w14:paraId="602E95E6" w14:textId="070B6788" w:rsidR="00157934" w:rsidRDefault="00157934" w:rsidP="00157934">
            <w:pPr>
              <w:pStyle w:val="Subheading"/>
            </w:pPr>
            <w:r w:rsidRPr="00B740AD">
              <w:rPr>
                <w:b w:val="0"/>
                <w:bCs/>
              </w:rPr>
              <w:t>Qualitative</w:t>
            </w:r>
            <w:r w:rsidR="00B740AD" w:rsidRPr="00B740AD">
              <w:rPr>
                <w:b w:val="0"/>
                <w:bCs/>
              </w:rPr>
              <w:t xml:space="preserve"> </w:t>
            </w:r>
            <w:r w:rsidR="00B740AD">
              <w:t xml:space="preserve">(PREG): </w:t>
            </w:r>
            <w:r>
              <w:t xml:space="preserve">   </w:t>
            </w:r>
            <w:r w:rsidRPr="00157934">
              <w:rPr>
                <w:b w:val="0"/>
                <w:bCs/>
              </w:rPr>
              <w:t>Negative</w:t>
            </w:r>
          </w:p>
          <w:p w14:paraId="608AF0EB" w14:textId="5E4C4FF3" w:rsidR="00876E41" w:rsidRDefault="00157934" w:rsidP="00157934">
            <w:pPr>
              <w:pStyle w:val="Subheading"/>
            </w:pPr>
            <w:r w:rsidRPr="00B740AD">
              <w:rPr>
                <w:b w:val="0"/>
                <w:bCs/>
              </w:rPr>
              <w:t>Quantitative</w:t>
            </w:r>
            <w:r>
              <w:t xml:space="preserve"> </w:t>
            </w:r>
            <w:r w:rsidR="00B740AD">
              <w:t>(QBHCG)</w:t>
            </w:r>
            <w:r>
              <w:t xml:space="preserve">: </w:t>
            </w:r>
            <w:commentRangeStart w:id="3"/>
            <w:commentRangeStart w:id="4"/>
            <w:r>
              <w:t xml:space="preserve"> </w:t>
            </w:r>
            <w:r w:rsidR="5A46CC68">
              <w:rPr>
                <w:b w:val="0"/>
              </w:rPr>
              <w:t xml:space="preserve">≤ </w:t>
            </w:r>
            <w:r>
              <w:rPr>
                <w:b w:val="0"/>
              </w:rPr>
              <w:t>5</w:t>
            </w:r>
            <w:r w:rsidR="3A4EDC58">
              <w:rPr>
                <w:b w:val="0"/>
              </w:rPr>
              <w:t xml:space="preserve"> </w:t>
            </w:r>
            <w:proofErr w:type="spellStart"/>
            <w:r>
              <w:rPr>
                <w:b w:val="0"/>
              </w:rPr>
              <w:t>mIU</w:t>
            </w:r>
            <w:proofErr w:type="spellEnd"/>
            <w:r>
              <w:rPr>
                <w:b w:val="0"/>
              </w:rPr>
              <w:t>/mL</w:t>
            </w:r>
            <w:r w:rsidR="02F3294D">
              <w:rPr>
                <w:b w:val="0"/>
              </w:rPr>
              <w:t>- Healthy nonpregnant females, males, and post-menopausal females</w:t>
            </w:r>
            <w:commentRangeEnd w:id="3"/>
            <w:r>
              <w:rPr>
                <w:rStyle w:val="CommentReference"/>
              </w:rPr>
              <w:commentReference w:id="3"/>
            </w:r>
            <w:commentRangeEnd w:id="4"/>
            <w:r>
              <w:rPr>
                <w:rStyle w:val="CommentReference"/>
              </w:rPr>
              <w:commentReference w:id="4"/>
            </w:r>
            <w:r w:rsidR="02F3294D">
              <w:rPr>
                <w:b w:val="0"/>
              </w:rPr>
              <w:t xml:space="preserve">  </w:t>
            </w:r>
          </w:p>
        </w:tc>
      </w:tr>
      <w:tr w:rsidR="00876E41" w14:paraId="5CEEF9FD" w14:textId="77777777" w:rsidTr="1F1A2264">
        <w:trPr>
          <w:cantSplit/>
        </w:trPr>
        <w:tc>
          <w:tcPr>
            <w:tcW w:w="9576" w:type="dxa"/>
            <w:tcBorders>
              <w:bottom w:val="nil"/>
              <w:right w:val="single" w:sz="4" w:space="0" w:color="auto"/>
            </w:tcBorders>
            <w:tcMar>
              <w:top w:w="58" w:type="dxa"/>
              <w:left w:w="29" w:type="dxa"/>
              <w:bottom w:w="58" w:type="dxa"/>
              <w:right w:w="29" w:type="dxa"/>
            </w:tcMar>
            <w:vAlign w:val="center"/>
          </w:tcPr>
          <w:p w14:paraId="01ACCADC" w14:textId="77777777" w:rsidR="00876E41" w:rsidRDefault="005118FF">
            <w:pPr>
              <w:pStyle w:val="Heading1"/>
              <w:outlineLvl w:val="0"/>
              <w:rPr>
                <w:szCs w:val="24"/>
              </w:rPr>
            </w:pPr>
            <w:r>
              <w:rPr>
                <w:szCs w:val="24"/>
              </w:rPr>
              <w:t>Critical Values</w:t>
            </w:r>
          </w:p>
        </w:tc>
      </w:tr>
      <w:tr w:rsidR="00876E41" w14:paraId="36475548" w14:textId="77777777" w:rsidTr="1F1A2264">
        <w:trPr>
          <w:cantSplit/>
        </w:trPr>
        <w:tc>
          <w:tcPr>
            <w:tcW w:w="9576" w:type="dxa"/>
            <w:tcBorders>
              <w:top w:val="nil"/>
              <w:right w:val="single" w:sz="4" w:space="0" w:color="auto"/>
            </w:tcBorders>
            <w:tcMar>
              <w:top w:w="58" w:type="dxa"/>
              <w:left w:w="29" w:type="dxa"/>
              <w:bottom w:w="58" w:type="dxa"/>
              <w:right w:w="29" w:type="dxa"/>
            </w:tcMar>
            <w:vAlign w:val="center"/>
          </w:tcPr>
          <w:p w14:paraId="210660A3" w14:textId="77777777" w:rsidR="00876E41" w:rsidRDefault="00DF443C">
            <w:pPr>
              <w:pStyle w:val="Paragraph"/>
            </w:pPr>
            <w:r>
              <w:t>There are no critical values with this test.</w:t>
            </w:r>
          </w:p>
          <w:p w14:paraId="56F95539" w14:textId="30A40FFE" w:rsidR="00B740AD" w:rsidRDefault="00B740AD" w:rsidP="00D76E1A">
            <w:pPr>
              <w:pStyle w:val="h3"/>
              <w:ind w:left="0"/>
            </w:pPr>
          </w:p>
        </w:tc>
      </w:tr>
      <w:tr w:rsidR="00876E41" w14:paraId="275960D6" w14:textId="77777777" w:rsidTr="1F1A2264">
        <w:trPr>
          <w:cantSplit/>
        </w:trPr>
        <w:tc>
          <w:tcPr>
            <w:tcW w:w="9576" w:type="dxa"/>
            <w:tcBorders>
              <w:bottom w:val="nil"/>
              <w:right w:val="single" w:sz="4" w:space="0" w:color="auto"/>
            </w:tcBorders>
            <w:tcMar>
              <w:top w:w="58" w:type="dxa"/>
              <w:left w:w="29" w:type="dxa"/>
              <w:bottom w:w="58" w:type="dxa"/>
              <w:right w:w="29" w:type="dxa"/>
            </w:tcMar>
            <w:vAlign w:val="center"/>
          </w:tcPr>
          <w:p w14:paraId="699F825F" w14:textId="77777777" w:rsidR="00876E41" w:rsidRDefault="005118FF">
            <w:pPr>
              <w:pStyle w:val="Heading1"/>
              <w:outlineLvl w:val="0"/>
              <w:rPr>
                <w:szCs w:val="24"/>
              </w:rPr>
            </w:pPr>
            <w:r>
              <w:rPr>
                <w:szCs w:val="24"/>
              </w:rPr>
              <w:t>Reporting</w:t>
            </w:r>
          </w:p>
        </w:tc>
      </w:tr>
      <w:tr w:rsidR="00876E41" w14:paraId="24F0157C" w14:textId="77777777" w:rsidTr="1F1A2264">
        <w:trPr>
          <w:cantSplit/>
        </w:trPr>
        <w:tc>
          <w:tcPr>
            <w:tcW w:w="9576" w:type="dxa"/>
            <w:tcBorders>
              <w:top w:val="nil"/>
              <w:bottom w:val="nil"/>
              <w:right w:val="single" w:sz="4" w:space="0" w:color="auto"/>
            </w:tcBorders>
            <w:tcMar>
              <w:top w:w="58" w:type="dxa"/>
              <w:left w:w="29" w:type="dxa"/>
              <w:bottom w:w="58" w:type="dxa"/>
              <w:right w:w="29" w:type="dxa"/>
            </w:tcMar>
            <w:vAlign w:val="center"/>
          </w:tcPr>
          <w:p w14:paraId="5DBC6B7D" w14:textId="229790F7" w:rsidR="00876E41" w:rsidRPr="00DD39E8" w:rsidRDefault="009F59C0">
            <w:pPr>
              <w:pStyle w:val="Paragraph"/>
              <w:rPr>
                <w:b/>
                <w:bCs/>
              </w:rPr>
            </w:pPr>
            <w:r>
              <w:rPr>
                <w:b/>
                <w:bCs/>
              </w:rPr>
              <w:t xml:space="preserve">QBHCG - </w:t>
            </w:r>
            <w:r w:rsidR="00DD39E8" w:rsidRPr="009F59C0">
              <w:t>Quantitative values with</w:t>
            </w:r>
            <w:r w:rsidR="00CB4AA1" w:rsidRPr="009F59C0">
              <w:t xml:space="preserve"> Reported</w:t>
            </w:r>
            <w:r w:rsidR="00DD39E8" w:rsidRPr="009F59C0">
              <w:t xml:space="preserve"> Interpretation</w:t>
            </w:r>
          </w:p>
          <w:p w14:paraId="541E7AC6" w14:textId="7DAA6171" w:rsidR="00DD39E8" w:rsidRDefault="00DD39E8" w:rsidP="00CB4AA1">
            <w:pPr>
              <w:pStyle w:val="Paragraph"/>
              <w:spacing w:after="0" w:line="276" w:lineRule="auto"/>
            </w:pPr>
            <w:r w:rsidRPr="00DD39E8">
              <w:t xml:space="preserve">            </w:t>
            </w:r>
            <w:r w:rsidR="00CB4AA1">
              <w:t xml:space="preserve">Reportable range : </w:t>
            </w:r>
            <w:r w:rsidRPr="00DD39E8">
              <w:t xml:space="preserve">&lt; 2.0 </w:t>
            </w:r>
            <w:r w:rsidR="00CB4AA1">
              <w:t xml:space="preserve">-  &gt;200,000 </w:t>
            </w:r>
            <w:proofErr w:type="spellStart"/>
            <w:r w:rsidR="00CB4AA1" w:rsidRPr="00DD39E8">
              <w:t>mIU</w:t>
            </w:r>
            <w:proofErr w:type="spellEnd"/>
            <w:r w:rsidR="00CB4AA1" w:rsidRPr="00DD39E8">
              <w:t xml:space="preserve">/mL  </w:t>
            </w:r>
          </w:p>
          <w:p w14:paraId="1D2950BF" w14:textId="66BBE731" w:rsidR="00CB4AA1" w:rsidRDefault="00CB4AA1" w:rsidP="00CB4AA1">
            <w:pPr>
              <w:pStyle w:val="Paragraph"/>
              <w:spacing w:after="0"/>
              <w:ind w:left="1440"/>
            </w:pPr>
            <w:r>
              <w:t>Gestational Age    Expected QBHCG values (</w:t>
            </w:r>
            <w:proofErr w:type="spellStart"/>
            <w:r w:rsidR="1D417010">
              <w:t>m</w:t>
            </w:r>
            <w:commentRangeStart w:id="5"/>
            <w:commentRangeStart w:id="6"/>
            <w:r>
              <w:t>IU</w:t>
            </w:r>
            <w:proofErr w:type="spellEnd"/>
            <w:r>
              <w:t>/ML</w:t>
            </w:r>
            <w:commentRangeEnd w:id="5"/>
            <w:r>
              <w:rPr>
                <w:rStyle w:val="CommentReference"/>
              </w:rPr>
              <w:commentReference w:id="5"/>
            </w:r>
            <w:commentRangeEnd w:id="6"/>
            <w:r>
              <w:rPr>
                <w:rStyle w:val="CommentReference"/>
              </w:rPr>
              <w:commentReference w:id="6"/>
            </w:r>
            <w:r>
              <w:t>)</w:t>
            </w:r>
          </w:p>
          <w:p w14:paraId="550B8388" w14:textId="77777777" w:rsidR="00CB4AA1" w:rsidRDefault="00CB4AA1" w:rsidP="00CB4AA1">
            <w:pPr>
              <w:pStyle w:val="Paragraph"/>
              <w:spacing w:after="0"/>
              <w:ind w:left="1440"/>
            </w:pPr>
            <w:r>
              <w:t>0.2-1 week         5 - 50</w:t>
            </w:r>
          </w:p>
          <w:p w14:paraId="35C1D192" w14:textId="77777777" w:rsidR="00CB4AA1" w:rsidRDefault="00CB4AA1" w:rsidP="00CB4AA1">
            <w:pPr>
              <w:pStyle w:val="Paragraph"/>
              <w:spacing w:after="0"/>
              <w:ind w:left="1440"/>
            </w:pPr>
            <w:r>
              <w:t>1 - 2 weeks        50 - 500</w:t>
            </w:r>
          </w:p>
          <w:p w14:paraId="6791ADB8" w14:textId="77777777" w:rsidR="00CB4AA1" w:rsidRDefault="00CB4AA1" w:rsidP="00CB4AA1">
            <w:pPr>
              <w:pStyle w:val="Paragraph"/>
              <w:spacing w:after="0"/>
              <w:ind w:left="1440"/>
            </w:pPr>
            <w:r>
              <w:t>2 - 3 weeks        100 - 5,000</w:t>
            </w:r>
          </w:p>
          <w:p w14:paraId="5AC26A52" w14:textId="77777777" w:rsidR="00CB4AA1" w:rsidRDefault="00CB4AA1" w:rsidP="00CB4AA1">
            <w:pPr>
              <w:pStyle w:val="Paragraph"/>
              <w:spacing w:after="0"/>
              <w:ind w:left="1440"/>
            </w:pPr>
            <w:r>
              <w:t>3 - 4 weeks        500 - 10,000</w:t>
            </w:r>
          </w:p>
          <w:p w14:paraId="6F75BD01" w14:textId="77777777" w:rsidR="00CB4AA1" w:rsidRDefault="00CB4AA1" w:rsidP="00CB4AA1">
            <w:pPr>
              <w:pStyle w:val="Paragraph"/>
              <w:spacing w:after="0"/>
              <w:ind w:left="1440"/>
            </w:pPr>
            <w:r>
              <w:t>4 - 5 weeks        1,000 - 50,000</w:t>
            </w:r>
          </w:p>
          <w:p w14:paraId="12E0BAD0" w14:textId="77777777" w:rsidR="00CB4AA1" w:rsidRDefault="00CB4AA1" w:rsidP="00CB4AA1">
            <w:pPr>
              <w:pStyle w:val="Paragraph"/>
              <w:spacing w:after="0"/>
              <w:ind w:left="1440"/>
            </w:pPr>
            <w:r>
              <w:t>5 - 6 weeks        10,000 - 100,000</w:t>
            </w:r>
          </w:p>
          <w:p w14:paraId="526B8352" w14:textId="77777777" w:rsidR="00CB4AA1" w:rsidRDefault="00CB4AA1" w:rsidP="00CB4AA1">
            <w:pPr>
              <w:pStyle w:val="Paragraph"/>
              <w:spacing w:after="0"/>
              <w:ind w:left="1440"/>
            </w:pPr>
            <w:r>
              <w:t>6 - 8 weeks        15,000 - 200,000</w:t>
            </w:r>
          </w:p>
          <w:p w14:paraId="5850DAFC" w14:textId="0199BEC1" w:rsidR="00CB4AA1" w:rsidRPr="00DD39E8" w:rsidRDefault="00CB4AA1" w:rsidP="00CB4AA1">
            <w:pPr>
              <w:pStyle w:val="Paragraph"/>
              <w:spacing w:after="0"/>
              <w:ind w:left="1440"/>
            </w:pPr>
            <w:r>
              <w:t>2 - 3 months       10,000 - 100,000</w:t>
            </w:r>
          </w:p>
          <w:p w14:paraId="38FF0AD6" w14:textId="77777777" w:rsidR="00CB4AA1" w:rsidRDefault="00CB4AA1" w:rsidP="00CB4AA1">
            <w:pPr>
              <w:pStyle w:val="Paragraph"/>
              <w:rPr>
                <w:b/>
              </w:rPr>
            </w:pPr>
          </w:p>
          <w:p w14:paraId="731F7519" w14:textId="0E9C6E19" w:rsidR="00CB4AA1" w:rsidRDefault="009F59C0" w:rsidP="00CB4AA1">
            <w:pPr>
              <w:pStyle w:val="Paragraph"/>
              <w:rPr>
                <w:b/>
              </w:rPr>
            </w:pPr>
            <w:r>
              <w:rPr>
                <w:b/>
              </w:rPr>
              <w:t xml:space="preserve">PREG - </w:t>
            </w:r>
            <w:r w:rsidR="00CB4AA1" w:rsidRPr="009F59C0">
              <w:rPr>
                <w:bCs/>
              </w:rPr>
              <w:t>Qualitative interpretations as follows:</w:t>
            </w:r>
          </w:p>
          <w:p w14:paraId="18DC3220" w14:textId="56D40F82" w:rsidR="00CB4AA1" w:rsidRDefault="02F3294D" w:rsidP="4776354D">
            <w:pPr>
              <w:pStyle w:val="bl"/>
              <w:numPr>
                <w:ilvl w:val="0"/>
                <w:numId w:val="14"/>
              </w:numPr>
              <w:ind w:left="630"/>
            </w:pPr>
            <w:commentRangeStart w:id="7"/>
            <w:commentRangeStart w:id="8"/>
            <w:proofErr w:type="spellStart"/>
            <w:r>
              <w:t>hCG</w:t>
            </w:r>
            <w:proofErr w:type="spellEnd"/>
            <w:r>
              <w:t xml:space="preserve"> &lt; 2.0 </w:t>
            </w:r>
            <w:proofErr w:type="spellStart"/>
            <w:r>
              <w:t>mIU</w:t>
            </w:r>
            <w:proofErr w:type="spellEnd"/>
            <w:r>
              <w:t xml:space="preserve">/mL </w:t>
            </w:r>
            <w:r w:rsidRPr="1F1A2264">
              <w:rPr>
                <w:b/>
                <w:bCs/>
              </w:rPr>
              <w:t>is Negative</w:t>
            </w:r>
            <w:r w:rsidR="76B57569" w:rsidRPr="1F1A2264">
              <w:rPr>
                <w:b/>
                <w:bCs/>
              </w:rPr>
              <w:t xml:space="preserve"> </w:t>
            </w:r>
          </w:p>
          <w:p w14:paraId="527BBAC8" w14:textId="5A90FB18" w:rsidR="00CB4AA1" w:rsidRDefault="02F3294D" w:rsidP="00CB4AA1">
            <w:pPr>
              <w:pStyle w:val="bl"/>
              <w:numPr>
                <w:ilvl w:val="0"/>
                <w:numId w:val="14"/>
              </w:numPr>
              <w:ind w:left="630"/>
              <w:rPr>
                <w:b/>
                <w:bCs/>
              </w:rPr>
            </w:pPr>
            <w:proofErr w:type="spellStart"/>
            <w:r>
              <w:t>hCG</w:t>
            </w:r>
            <w:proofErr w:type="spellEnd"/>
            <w:r>
              <w:t xml:space="preserve"> </w:t>
            </w:r>
            <w:r w:rsidR="76B57569">
              <w:t xml:space="preserve">  </w:t>
            </w:r>
            <w:r>
              <w:t>2.0</w:t>
            </w:r>
            <w:r w:rsidR="76B57569">
              <w:t xml:space="preserve">  - </w:t>
            </w:r>
            <w:commentRangeStart w:id="9"/>
            <w:commentRangeStart w:id="10"/>
            <w:commentRangeStart w:id="11"/>
            <w:r>
              <w:t xml:space="preserve"> 3</w:t>
            </w:r>
            <w:r w:rsidR="4B3AC6B9">
              <w:t>9</w:t>
            </w:r>
            <w:r>
              <w:t>.0</w:t>
            </w:r>
            <w:commentRangeEnd w:id="9"/>
            <w:r>
              <w:rPr>
                <w:rStyle w:val="CommentReference"/>
              </w:rPr>
              <w:commentReference w:id="9"/>
            </w:r>
            <w:commentRangeEnd w:id="10"/>
            <w:r>
              <w:rPr>
                <w:rStyle w:val="CommentReference"/>
              </w:rPr>
              <w:commentReference w:id="10"/>
            </w:r>
            <w:commentRangeEnd w:id="11"/>
            <w:r>
              <w:rPr>
                <w:rStyle w:val="CommentReference"/>
              </w:rPr>
              <w:commentReference w:id="11"/>
            </w:r>
            <w:r>
              <w:t xml:space="preserve"> </w:t>
            </w:r>
            <w:proofErr w:type="spellStart"/>
            <w:r>
              <w:t>mIU</w:t>
            </w:r>
            <w:proofErr w:type="spellEnd"/>
            <w:r>
              <w:t xml:space="preserve">/mL is </w:t>
            </w:r>
            <w:r w:rsidRPr="1F1A2264">
              <w:rPr>
                <w:b/>
                <w:bCs/>
              </w:rPr>
              <w:t>Indeterminate</w:t>
            </w:r>
          </w:p>
          <w:p w14:paraId="08E67817" w14:textId="79CE08BC" w:rsidR="003E09A4" w:rsidRDefault="003E09A4" w:rsidP="003E09A4">
            <w:pPr>
              <w:pStyle w:val="bl"/>
              <w:ind w:hanging="4"/>
            </w:pPr>
            <w:r>
              <w:t>The following comment will be reported with Indeterminate and Negative results:</w:t>
            </w:r>
          </w:p>
          <w:p w14:paraId="6BDFF2B6" w14:textId="1BA44B39" w:rsidR="003E09A4" w:rsidRPr="003E09A4" w:rsidRDefault="003E09A4" w:rsidP="003E09A4">
            <w:pPr>
              <w:pStyle w:val="bl"/>
              <w:ind w:left="1444" w:hanging="4"/>
              <w:rPr>
                <w:i/>
                <w:iCs/>
              </w:rPr>
            </w:pPr>
            <w:r w:rsidRPr="003E09A4">
              <w:rPr>
                <w:i/>
                <w:iCs/>
              </w:rPr>
              <w:t xml:space="preserve">A Negative or Indeterminate result does not rule out pregnancy.  A patient with a negative or Indeterminate result should be redrawn in two days and assayed again because </w:t>
            </w:r>
            <w:proofErr w:type="spellStart"/>
            <w:r w:rsidRPr="003E09A4">
              <w:rPr>
                <w:i/>
                <w:iCs/>
              </w:rPr>
              <w:t>hCG</w:t>
            </w:r>
            <w:proofErr w:type="spellEnd"/>
            <w:r w:rsidRPr="003E09A4">
              <w:rPr>
                <w:i/>
                <w:iCs/>
              </w:rPr>
              <w:t xml:space="preserve"> doubles every 48 hours. </w:t>
            </w:r>
          </w:p>
          <w:p w14:paraId="6FB97D98" w14:textId="447EE102" w:rsidR="00CB4AA1" w:rsidRPr="00D76E1A" w:rsidRDefault="02F3294D" w:rsidP="4776354D">
            <w:pPr>
              <w:pStyle w:val="bl"/>
              <w:numPr>
                <w:ilvl w:val="0"/>
                <w:numId w:val="14"/>
              </w:numPr>
              <w:ind w:left="630"/>
            </w:pPr>
            <w:proofErr w:type="spellStart"/>
            <w:r>
              <w:t>hCG</w:t>
            </w:r>
            <w:proofErr w:type="spellEnd"/>
            <w:r w:rsidR="76B57569">
              <w:t xml:space="preserve">  &gt;3</w:t>
            </w:r>
            <w:r w:rsidR="5F535B80">
              <w:t>9</w:t>
            </w:r>
            <w:r>
              <w:t xml:space="preserve"> </w:t>
            </w:r>
            <w:proofErr w:type="spellStart"/>
            <w:r>
              <w:t>mIU</w:t>
            </w:r>
            <w:proofErr w:type="spellEnd"/>
            <w:r>
              <w:t xml:space="preserve">/mL is </w:t>
            </w:r>
            <w:r w:rsidRPr="1F1A2264">
              <w:rPr>
                <w:b/>
                <w:bCs/>
              </w:rPr>
              <w:t>Positive</w:t>
            </w:r>
            <w:commentRangeEnd w:id="7"/>
            <w:r>
              <w:rPr>
                <w:rStyle w:val="CommentReference"/>
              </w:rPr>
              <w:commentReference w:id="7"/>
            </w:r>
            <w:commentRangeEnd w:id="8"/>
            <w:r>
              <w:rPr>
                <w:rStyle w:val="CommentReference"/>
              </w:rPr>
              <w:commentReference w:id="8"/>
            </w:r>
          </w:p>
          <w:p w14:paraId="38D1867E" w14:textId="77777777" w:rsidR="00D76E1A" w:rsidRDefault="00D76E1A" w:rsidP="00D76E1A">
            <w:pPr>
              <w:pStyle w:val="Heading1"/>
              <w:ind w:left="270"/>
              <w:outlineLvl w:val="0"/>
            </w:pPr>
          </w:p>
          <w:p w14:paraId="2AE4C1EB" w14:textId="41695F61" w:rsidR="00DD39E8" w:rsidRPr="00D76E1A" w:rsidRDefault="00D76E1A" w:rsidP="00D76E1A">
            <w:pPr>
              <w:pStyle w:val="Heading1"/>
              <w:ind w:left="270"/>
              <w:rPr>
                <w:sz w:val="20"/>
              </w:rPr>
            </w:pPr>
            <w:r w:rsidRPr="00D76E1A">
              <w:rPr>
                <w:sz w:val="20"/>
              </w:rPr>
              <w:t>Courtesy Call</w:t>
            </w:r>
            <w:r w:rsidRPr="00D76E1A">
              <w:rPr>
                <w:sz w:val="20"/>
              </w:rPr>
              <w:t xml:space="preserve"> - </w:t>
            </w:r>
            <w:r w:rsidRPr="00D76E1A">
              <w:rPr>
                <w:bCs/>
                <w:sz w:val="20"/>
              </w:rPr>
              <w:t xml:space="preserve"> (PREG)</w:t>
            </w:r>
            <w:r w:rsidRPr="00D76E1A">
              <w:rPr>
                <w:b w:val="0"/>
                <w:sz w:val="20"/>
              </w:rPr>
              <w:t xml:space="preserve"> – All Positive results called to Emergency Dept</w:t>
            </w:r>
          </w:p>
        </w:tc>
      </w:tr>
      <w:tr w:rsidR="00DD39E8" w14:paraId="6A60C7C2" w14:textId="77777777" w:rsidTr="1F1A2264">
        <w:trPr>
          <w:cantSplit/>
        </w:trPr>
        <w:tc>
          <w:tcPr>
            <w:tcW w:w="9576" w:type="dxa"/>
            <w:tcBorders>
              <w:top w:val="nil"/>
              <w:bottom w:val="single" w:sz="4" w:space="0" w:color="auto"/>
              <w:right w:val="single" w:sz="4" w:space="0" w:color="auto"/>
            </w:tcBorders>
            <w:tcMar>
              <w:top w:w="58" w:type="dxa"/>
              <w:left w:w="29" w:type="dxa"/>
              <w:bottom w:w="58" w:type="dxa"/>
              <w:right w:w="29" w:type="dxa"/>
            </w:tcMar>
            <w:vAlign w:val="center"/>
          </w:tcPr>
          <w:p w14:paraId="1DCA064F" w14:textId="77777777" w:rsidR="00DD39E8" w:rsidRPr="00DD39E8" w:rsidRDefault="00DD39E8">
            <w:pPr>
              <w:pStyle w:val="Paragraph"/>
              <w:rPr>
                <w:b/>
                <w:bCs/>
              </w:rPr>
            </w:pPr>
          </w:p>
        </w:tc>
      </w:tr>
    </w:tbl>
    <w:p w14:paraId="297509F8" w14:textId="77777777" w:rsidR="00876E41" w:rsidRDefault="005118FF">
      <w:pPr>
        <w:tabs>
          <w:tab w:val="left" w:pos="630"/>
        </w:tabs>
        <w:spacing w:before="200"/>
        <w:ind w:hanging="7"/>
        <w:rPr>
          <w:rFonts w:cs="Arial"/>
        </w:rPr>
      </w:pPr>
      <w:r>
        <w:rPr>
          <w:rFonts w:cs="Arial"/>
          <w:noProof/>
        </w:rPr>
        <mc:AlternateContent>
          <mc:Choice Requires="wps">
            <w:drawing>
              <wp:anchor distT="0" distB="0" distL="114300" distR="114300" simplePos="0" relativeHeight="251658240" behindDoc="0" locked="0" layoutInCell="1" allowOverlap="1" wp14:anchorId="3C8825DF" wp14:editId="4E21B88C">
                <wp:simplePos x="0" y="0"/>
                <wp:positionH relativeFrom="column">
                  <wp:posOffset>-85725</wp:posOffset>
                </wp:positionH>
                <wp:positionV relativeFrom="paragraph">
                  <wp:posOffset>4473575</wp:posOffset>
                </wp:positionV>
                <wp:extent cx="5553075" cy="2286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28600"/>
                        </a:xfrm>
                        <a:prstGeom prst="rect">
                          <a:avLst/>
                        </a:prstGeom>
                        <a:solidFill>
                          <a:srgbClr val="FFFFFF"/>
                        </a:solidFill>
                        <a:ln w="9525">
                          <a:noFill/>
                          <a:miter lim="800000"/>
                          <a:headEnd/>
                          <a:tailEnd/>
                        </a:ln>
                      </wps:spPr>
                      <wps:txbx>
                        <w:txbxContent>
                          <w:p w14:paraId="32DCF80A" w14:textId="2E4B0561" w:rsidR="00876E41" w:rsidRDefault="00BA0E4A">
                            <w:r>
                              <w:rPr>
                                <w:rFonts w:cs="Arial"/>
                                <w:sz w:val="18"/>
                                <w:szCs w:val="18"/>
                              </w:rPr>
                              <w:t xml:space="preserve">Siemens document number: </w:t>
                            </w:r>
                            <w:r w:rsidR="008B51FA" w:rsidRPr="008B51FA">
                              <w:rPr>
                                <w:rFonts w:cs="Arial"/>
                                <w:sz w:val="18"/>
                                <w:szCs w:val="18"/>
                              </w:rPr>
                              <w:t>10634917</w:t>
                            </w:r>
                            <w:r w:rsidR="008F5FB1">
                              <w:rPr>
                                <w:rFonts w:cs="Arial"/>
                                <w:sz w:val="18"/>
                                <w:szCs w:val="18"/>
                              </w:rPr>
                              <w:t>K</w:t>
                            </w:r>
                            <w:r w:rsidR="008B51FA" w:rsidRPr="008B51FA">
                              <w:rPr>
                                <w:rFonts w:cs="Arial"/>
                                <w:sz w:val="18"/>
                                <w:szCs w:val="18"/>
                              </w:rPr>
                              <w:t>_eThCG_XP_EN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825DF" id="_x0000_t202" coordsize="21600,21600" o:spt="202" path="m,l,21600r21600,l21600,xe">
                <v:stroke joinstyle="miter"/>
                <v:path gradientshapeok="t" o:connecttype="rect"/>
              </v:shapetype>
              <v:shape id="Text Box 2" o:spid="_x0000_s1026" type="#_x0000_t202" style="position:absolute;margin-left:-6.75pt;margin-top:352.25pt;width:43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" stroked="f">
                <v:textbox>
                  <w:txbxContent>
                    <w:p w14:paraId="32DCF80A" w14:textId="2E4B0561" w:rsidR="00876E41" w:rsidRDefault="00BA0E4A">
                      <w:r>
                        <w:rPr>
                          <w:rFonts w:cs="Arial"/>
                          <w:sz w:val="18"/>
                          <w:szCs w:val="18"/>
                        </w:rPr>
                        <w:t xml:space="preserve">Siemens document number: </w:t>
                      </w:r>
                      <w:r w:rsidR="008B51FA" w:rsidRPr="008B51FA">
                        <w:rPr>
                          <w:rFonts w:cs="Arial"/>
                          <w:sz w:val="18"/>
                          <w:szCs w:val="18"/>
                        </w:rPr>
                        <w:t>10634917</w:t>
                      </w:r>
                      <w:r w:rsidR="008F5FB1">
                        <w:rPr>
                          <w:rFonts w:cs="Arial"/>
                          <w:sz w:val="18"/>
                          <w:szCs w:val="18"/>
                        </w:rPr>
                        <w:t>K</w:t>
                      </w:r>
                      <w:r w:rsidR="008B51FA" w:rsidRPr="008B51FA">
                        <w:rPr>
                          <w:rFonts w:cs="Arial"/>
                          <w:sz w:val="18"/>
                          <w:szCs w:val="18"/>
                        </w:rPr>
                        <w:t>_eThCG_XP_EN</w:t>
                      </w:r>
                    </w:p>
                  </w:txbxContent>
                </v:textbox>
              </v:shape>
            </w:pict>
          </mc:Fallback>
        </mc:AlternateContent>
      </w:r>
      <w:r>
        <w:rPr>
          <w:rFonts w:cs="Arial"/>
          <w:b/>
        </w:rPr>
        <w:t>Note</w:t>
      </w:r>
      <w:r>
        <w:rPr>
          <w:rFonts w:cs="Arial"/>
        </w:rPr>
        <w:tab/>
        <w:t>Appendices L1 and L3 of CLSI QMS02-A6, published 2/28/2013, guided the creation of this document.</w:t>
      </w:r>
    </w:p>
    <w:sectPr w:rsidR="00876E41">
      <w:headerReference w:type="default" r:id="rId15"/>
      <w:footerReference w:type="default" r:id="rId16"/>
      <w:pgSz w:w="12240" w:h="15840" w:code="1"/>
      <w:pgMar w:top="1440" w:right="1440" w:bottom="1440" w:left="1440" w:header="720" w:footer="43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rowell, Sheryl" w:date="2021-08-31T07:32:00Z" w:initials="CS">
    <w:p w14:paraId="7AC66409" w14:textId="0BF831AE" w:rsidR="4776354D" w:rsidRDefault="4776354D">
      <w:r>
        <w:t>Biorad Lyphocheck Immunoassay Plus Control 1 and 3</w:t>
      </w:r>
      <w:r>
        <w:annotationRef/>
      </w:r>
      <w:r>
        <w:rPr>
          <w:rStyle w:val="CommentReference"/>
        </w:rPr>
        <w:annotationRef/>
      </w:r>
    </w:p>
  </w:comment>
  <w:comment w:id="2" w:author="Debra Napert" w:date="2021-08-31T12:53:00Z" w:initials="NA">
    <w:p w14:paraId="239CDB85" w14:textId="38B21EE7" w:rsidR="4776354D" w:rsidRDefault="4776354D">
      <w:r>
        <w:t>ok</w:t>
      </w:r>
      <w:r>
        <w:annotationRef/>
      </w:r>
      <w:r>
        <w:rPr>
          <w:rStyle w:val="CommentReference"/>
        </w:rPr>
        <w:annotationRef/>
      </w:r>
    </w:p>
  </w:comment>
  <w:comment w:id="3" w:author="Crowell, Shannah l" w:date="2021-08-31T08:29:00Z" w:initials="Cl">
    <w:p w14:paraId="4D11E688" w14:textId="4D1FE9E8" w:rsidR="4776354D" w:rsidRDefault="4776354D">
      <w:r>
        <w:t xml:space="preserve">The quantitative expected value of &lt; or equal to 5, contradicts the Qualitative interpretation of &lt;2 in the section below it. </w:t>
      </w:r>
      <w:r>
        <w:annotationRef/>
      </w:r>
      <w:r>
        <w:rPr>
          <w:rStyle w:val="CommentReference"/>
        </w:rPr>
        <w:annotationRef/>
      </w:r>
    </w:p>
  </w:comment>
  <w:comment w:id="4" w:author="Debra Napert" w:date="2021-08-31T13:20:00Z" w:initials="NA">
    <w:p w14:paraId="25907CE9" w14:textId="77C9282D" w:rsidR="4776354D" w:rsidRDefault="4776354D">
      <w:r>
        <w:t>Dr. Grisson confirmed this is ok.</w:t>
      </w:r>
      <w:r>
        <w:annotationRef/>
      </w:r>
      <w:r>
        <w:rPr>
          <w:rStyle w:val="CommentReference"/>
        </w:rPr>
        <w:annotationRef/>
      </w:r>
    </w:p>
  </w:comment>
  <w:comment w:id="5" w:author="Petrie, Robert F" w:date="2021-09-03T06:44:00Z" w:initials="PRF">
    <w:p w14:paraId="7ED5ECA8" w14:textId="77777777" w:rsidR="00122046" w:rsidRDefault="00122046">
      <w:pPr>
        <w:pStyle w:val="CommentText"/>
      </w:pPr>
      <w:r>
        <w:rPr>
          <w:rStyle w:val="CommentReference"/>
        </w:rPr>
        <w:annotationRef/>
      </w:r>
      <w:r w:rsidR="00FE14BF">
        <w:t>m</w:t>
      </w:r>
      <w:r w:rsidR="00EC1297">
        <w:t xml:space="preserve">IU/mL </w:t>
      </w:r>
      <w:r w:rsidR="00A871BA">
        <w:t>….to be consistent.</w:t>
      </w:r>
      <w:r>
        <w:rPr>
          <w:rStyle w:val="CommentReference"/>
        </w:rPr>
        <w:annotationRef/>
      </w:r>
    </w:p>
    <w:p w14:paraId="424E2AC5" w14:textId="5069F98B" w:rsidR="00834507" w:rsidRDefault="00834507">
      <w:pPr>
        <w:pStyle w:val="CommentText"/>
      </w:pPr>
    </w:p>
  </w:comment>
  <w:comment w:id="6" w:author="Napert, Debra A" w:date="2021-09-15T13:03:00Z" w:initials="NA">
    <w:p w14:paraId="3BECC3D0" w14:textId="7C77F3E2" w:rsidR="1F1A2264" w:rsidRDefault="1F1A2264">
      <w:pPr>
        <w:pStyle w:val="CommentText"/>
      </w:pPr>
      <w:r>
        <w:t>ok</w:t>
      </w:r>
      <w:r>
        <w:rPr>
          <w:rStyle w:val="CommentReference"/>
        </w:rPr>
        <w:annotationRef/>
      </w:r>
    </w:p>
  </w:comment>
  <w:comment w:id="9" w:author="Crowell, Shannah l" w:date="2021-08-31T08:35:00Z" w:initials="Cl">
    <w:p w14:paraId="29012427" w14:textId="53AE704A" w:rsidR="4776354D" w:rsidRDefault="4776354D">
      <w:r>
        <w:t>Soft has indeterminate up to 39 and positive &gt;39. Did this change to 33? If so, changes need to be made in soft again</w:t>
      </w:r>
      <w:r>
        <w:annotationRef/>
      </w:r>
      <w:r>
        <w:rPr>
          <w:rStyle w:val="CommentReference"/>
        </w:rPr>
        <w:annotationRef/>
      </w:r>
    </w:p>
  </w:comment>
  <w:comment w:id="10" w:author="Crowell, Sheryl" w:date="2021-08-31T09:03:00Z" w:initials="CS">
    <w:p w14:paraId="33A9EE84" w14:textId="3C4BDA2D" w:rsidR="4776354D" w:rsidRDefault="4776354D">
      <w:r>
        <w:t>all numerical reporting details need to reviewed and agreed upon</w:t>
      </w:r>
      <w:r>
        <w:annotationRef/>
      </w:r>
      <w:r>
        <w:rPr>
          <w:rStyle w:val="CommentReference"/>
        </w:rPr>
        <w:annotationRef/>
      </w:r>
    </w:p>
  </w:comment>
  <w:comment w:id="11" w:author="Debra Napert" w:date="2021-08-31T12:52:00Z" w:initials="NA">
    <w:p w14:paraId="1EA85B23" w14:textId="45CDD91B" w:rsidR="4776354D" w:rsidRDefault="4776354D">
      <w:r>
        <w:t xml:space="preserve">sorry- 39 was my typo.  i am going to send interps to RG for his review. </w:t>
      </w:r>
      <w:r>
        <w:annotationRef/>
      </w:r>
      <w:r>
        <w:rPr>
          <w:rStyle w:val="CommentReference"/>
        </w:rPr>
        <w:annotationRef/>
      </w:r>
    </w:p>
  </w:comment>
  <w:comment w:id="7" w:author="Crowell, Shannah l" w:date="2021-08-31T08:30:00Z" w:initials="Cl">
    <w:p w14:paraId="2048907B" w14:textId="288A97C4" w:rsidR="4776354D" w:rsidRDefault="4776354D">
      <w:r>
        <w:t xml:space="preserve">When the memo goes out to doctors about the change in methodology for qualitative HCG, will they be receiving this interpretation? </w:t>
      </w:r>
      <w:r>
        <w:annotationRef/>
      </w:r>
      <w:r>
        <w:rPr>
          <w:rStyle w:val="CommentReference"/>
        </w:rPr>
        <w:annotationRef/>
      </w:r>
    </w:p>
  </w:comment>
  <w:comment w:id="8" w:author="Debra Napert" w:date="2021-08-31T13:20:00Z" w:initials="NA">
    <w:p w14:paraId="042F123E" w14:textId="2A7BED3B" w:rsidR="4776354D" w:rsidRDefault="4776354D">
      <w:r>
        <w:t>? Dr. Grisson?  Not really new method...</w:t>
      </w:r>
      <w: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66409" w15:done="1"/>
  <w15:commentEx w15:paraId="239CDB85" w15:paraIdParent="7AC66409" w15:done="1"/>
  <w15:commentEx w15:paraId="4D11E688" w15:done="1"/>
  <w15:commentEx w15:paraId="25907CE9" w15:paraIdParent="4D11E688" w15:done="1"/>
  <w15:commentEx w15:paraId="424E2AC5" w15:done="1"/>
  <w15:commentEx w15:paraId="3BECC3D0" w15:paraIdParent="424E2AC5" w15:done="1"/>
  <w15:commentEx w15:paraId="29012427" w15:done="1"/>
  <w15:commentEx w15:paraId="33A9EE84" w15:paraIdParent="29012427" w15:done="1"/>
  <w15:commentEx w15:paraId="1EA85B23" w15:paraIdParent="29012427" w15:done="1"/>
  <w15:commentEx w15:paraId="2048907B" w15:done="1"/>
  <w15:commentEx w15:paraId="042F123E" w15:paraIdParent="204890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EF275" w16cex:dateUtc="2021-08-31T11:32:00Z"/>
  <w16cex:commentExtensible w16cex:durableId="68A809E3" w16cex:dateUtc="2021-08-31T16:53:00Z"/>
  <w16cex:commentExtensible w16cex:durableId="741BB3DC" w16cex:dateUtc="2021-08-31T12:29:00Z"/>
  <w16cex:commentExtensible w16cex:durableId="4494876E" w16cex:dateUtc="2021-08-31T17:20:00Z"/>
  <w16cex:commentExtensible w16cex:durableId="24DC42C1" w16cex:dateUtc="2021-09-03T10:44:00Z"/>
  <w16cex:commentExtensible w16cex:durableId="36D4512B" w16cex:dateUtc="2021-09-15T17:03:00Z"/>
  <w16cex:commentExtensible w16cex:durableId="5E476691" w16cex:dateUtc="2021-08-31T12:35:00Z"/>
  <w16cex:commentExtensible w16cex:durableId="1844AA4E" w16cex:dateUtc="2021-08-31T13:03:00Z"/>
  <w16cex:commentExtensible w16cex:durableId="5603F5CD" w16cex:dateUtc="2021-08-31T16:52:00Z"/>
  <w16cex:commentExtensible w16cex:durableId="6905E2E4" w16cex:dateUtc="2021-08-31T12:30:00Z"/>
  <w16cex:commentExtensible w16cex:durableId="33C99F0E" w16cex:dateUtc="2021-08-31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66409" w16cid:durableId="2C6EF275"/>
  <w16cid:commentId w16cid:paraId="239CDB85" w16cid:durableId="68A809E3"/>
  <w16cid:commentId w16cid:paraId="4D11E688" w16cid:durableId="741BB3DC"/>
  <w16cid:commentId w16cid:paraId="25907CE9" w16cid:durableId="4494876E"/>
  <w16cid:commentId w16cid:paraId="424E2AC5" w16cid:durableId="24DC42C1"/>
  <w16cid:commentId w16cid:paraId="3BECC3D0" w16cid:durableId="36D4512B"/>
  <w16cid:commentId w16cid:paraId="29012427" w16cid:durableId="5E476691"/>
  <w16cid:commentId w16cid:paraId="33A9EE84" w16cid:durableId="1844AA4E"/>
  <w16cid:commentId w16cid:paraId="1EA85B23" w16cid:durableId="5603F5CD"/>
  <w16cid:commentId w16cid:paraId="2048907B" w16cid:durableId="6905E2E4"/>
  <w16cid:commentId w16cid:paraId="042F123E" w16cid:durableId="33C99F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9178" w14:textId="77777777" w:rsidR="007B4161" w:rsidRDefault="007B4161">
      <w:pPr>
        <w:spacing w:after="0"/>
      </w:pPr>
      <w:r>
        <w:separator/>
      </w:r>
    </w:p>
  </w:endnote>
  <w:endnote w:type="continuationSeparator" w:id="0">
    <w:p w14:paraId="0A437519" w14:textId="77777777" w:rsidR="007B4161" w:rsidRDefault="007B4161">
      <w:pPr>
        <w:spacing w:after="0"/>
      </w:pPr>
      <w:r>
        <w:continuationSeparator/>
      </w:r>
    </w:p>
  </w:endnote>
  <w:endnote w:type="continuationNotice" w:id="1">
    <w:p w14:paraId="06C758FD" w14:textId="77777777" w:rsidR="007B4161" w:rsidRDefault="007B41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emens Sans">
    <w:altName w:val="Times New Roman"/>
    <w:charset w:val="00"/>
    <w:family w:val="auto"/>
    <w:pitch w:val="variable"/>
    <w:sig w:usb0="800000AF" w:usb1="0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5D3E" w14:textId="77777777" w:rsidR="00876E41" w:rsidRDefault="0083418D">
    <w:pPr>
      <w:pStyle w:val="Footer"/>
      <w:tabs>
        <w:tab w:val="clear" w:pos="4680"/>
      </w:tabs>
      <w:rPr>
        <w:sz w:val="18"/>
        <w:szCs w:val="18"/>
      </w:rPr>
    </w:pPr>
    <w:r w:rsidRPr="0083418D">
      <w:rPr>
        <w:sz w:val="18"/>
        <w:szCs w:val="18"/>
      </w:rPr>
      <w:t xml:space="preserve">ADVIA Centaur, ADVIA Centaur XP, and ADVIA Centaur XPT </w:t>
    </w:r>
    <w:proofErr w:type="spellStart"/>
    <w:r w:rsidR="0020016F">
      <w:rPr>
        <w:sz w:val="18"/>
        <w:szCs w:val="18"/>
      </w:rPr>
      <w:t>hCG</w:t>
    </w:r>
    <w:proofErr w:type="spellEnd"/>
    <w:r w:rsidR="00DE39EC" w:rsidRPr="00DE39EC">
      <w:rPr>
        <w:sz w:val="18"/>
        <w:szCs w:val="18"/>
      </w:rPr>
      <w:t xml:space="preserve"> </w:t>
    </w:r>
    <w:r w:rsidRPr="0083418D">
      <w:rPr>
        <w:sz w:val="18"/>
        <w:szCs w:val="18"/>
      </w:rPr>
      <w:t>Technical Procedure</w:t>
    </w:r>
    <w:r w:rsidR="005118FF">
      <w:rPr>
        <w:sz w:val="18"/>
        <w:szCs w:val="18"/>
      </w:rPr>
      <w:tab/>
    </w:r>
    <w:r w:rsidR="005118FF">
      <w:rPr>
        <w:sz w:val="18"/>
        <w:szCs w:val="18"/>
      </w:rPr>
      <w:fldChar w:fldCharType="begin"/>
    </w:r>
    <w:r w:rsidR="005118FF">
      <w:rPr>
        <w:sz w:val="18"/>
        <w:szCs w:val="18"/>
      </w:rPr>
      <w:instrText xml:space="preserve"> PAGE  \* Arabic  \* MERGEFORMAT </w:instrText>
    </w:r>
    <w:r w:rsidR="005118FF">
      <w:rPr>
        <w:sz w:val="18"/>
        <w:szCs w:val="18"/>
      </w:rPr>
      <w:fldChar w:fldCharType="separate"/>
    </w:r>
    <w:r w:rsidR="002C2160">
      <w:rPr>
        <w:noProof/>
        <w:sz w:val="18"/>
        <w:szCs w:val="18"/>
      </w:rPr>
      <w:t>1</w:t>
    </w:r>
    <w:r w:rsidR="005118FF">
      <w:rPr>
        <w:sz w:val="18"/>
        <w:szCs w:val="18"/>
      </w:rPr>
      <w:fldChar w:fldCharType="end"/>
    </w:r>
    <w:r w:rsidR="005118FF">
      <w:rPr>
        <w:sz w:val="18"/>
        <w:szCs w:val="18"/>
      </w:rPr>
      <w:t xml:space="preserve"> of </w:t>
    </w:r>
    <w:r w:rsidR="005118FF">
      <w:rPr>
        <w:sz w:val="18"/>
        <w:szCs w:val="18"/>
      </w:rPr>
      <w:fldChar w:fldCharType="begin"/>
    </w:r>
    <w:r w:rsidR="005118FF">
      <w:rPr>
        <w:sz w:val="18"/>
        <w:szCs w:val="18"/>
      </w:rPr>
      <w:instrText xml:space="preserve"> NUMPAGES   \* MERGEFORMAT </w:instrText>
    </w:r>
    <w:r w:rsidR="005118FF">
      <w:rPr>
        <w:sz w:val="18"/>
        <w:szCs w:val="18"/>
      </w:rPr>
      <w:fldChar w:fldCharType="separate"/>
    </w:r>
    <w:r w:rsidR="002C2160">
      <w:rPr>
        <w:noProof/>
        <w:sz w:val="18"/>
        <w:szCs w:val="18"/>
      </w:rPr>
      <w:t>6</w:t>
    </w:r>
    <w:r w:rsidR="005118F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0003" w14:textId="77777777" w:rsidR="007B4161" w:rsidRDefault="007B4161">
      <w:pPr>
        <w:spacing w:after="0"/>
      </w:pPr>
      <w:r>
        <w:separator/>
      </w:r>
    </w:p>
  </w:footnote>
  <w:footnote w:type="continuationSeparator" w:id="0">
    <w:p w14:paraId="2DD1A951" w14:textId="77777777" w:rsidR="007B4161" w:rsidRDefault="007B4161">
      <w:pPr>
        <w:spacing w:after="0"/>
      </w:pPr>
      <w:r>
        <w:continuationSeparator/>
      </w:r>
    </w:p>
  </w:footnote>
  <w:footnote w:type="continuationNotice" w:id="1">
    <w:p w14:paraId="03B115A7" w14:textId="77777777" w:rsidR="007B4161" w:rsidRDefault="007B41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553B" w14:textId="111F6B53" w:rsidR="00876E41" w:rsidRDefault="0033091E">
    <w:pPr>
      <w:pStyle w:val="Header"/>
      <w:tabs>
        <w:tab w:val="clear" w:pos="4680"/>
      </w:tabs>
      <w:spacing w:after="120"/>
      <w:rPr>
        <w:b/>
      </w:rPr>
    </w:pPr>
    <w:r>
      <w:rPr>
        <w:b/>
      </w:rPr>
      <w:t>Lifespan AMC – Biochemistry Department</w:t>
    </w:r>
    <w:r w:rsidR="005118FF">
      <w:rPr>
        <w:b/>
      </w:rPr>
      <w:tab/>
    </w:r>
  </w:p>
</w:hdr>
</file>

<file path=word/intelligence.xml><?xml version="1.0" encoding="utf-8"?>
<int:Intelligence xmlns:int="http://schemas.microsoft.com/office/intelligence/2019/intelligence">
  <int:IntelligenceSettings/>
  <int:Manifest>
    <int:ParagraphRange paragraphId="1803031774" textId="1940945955" start="28" length="37" invalidationStart="28" invalidationLength="37" id="M8wLQmNR"/>
  </int:Manifest>
  <int:Observations>
    <int:Content id="M8wLQmN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E4CE6A"/>
    <w:lvl w:ilvl="0">
      <w:numFmt w:val="bullet"/>
      <w:lvlText w:val="*"/>
      <w:lvlJc w:val="left"/>
    </w:lvl>
  </w:abstractNum>
  <w:abstractNum w:abstractNumId="1" w15:restartNumberingAfterBreak="0">
    <w:nsid w:val="0E8D5ADE"/>
    <w:multiLevelType w:val="hybridMultilevel"/>
    <w:tmpl w:val="5B5A0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21E06"/>
    <w:multiLevelType w:val="hybridMultilevel"/>
    <w:tmpl w:val="0FB281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64562"/>
    <w:multiLevelType w:val="hybridMultilevel"/>
    <w:tmpl w:val="1A2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D6C58"/>
    <w:multiLevelType w:val="hybridMultilevel"/>
    <w:tmpl w:val="DA5A340A"/>
    <w:lvl w:ilvl="0" w:tplc="BE0C5726">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942CE"/>
    <w:multiLevelType w:val="hybridMultilevel"/>
    <w:tmpl w:val="46BA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C3530"/>
    <w:multiLevelType w:val="hybridMultilevel"/>
    <w:tmpl w:val="D156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92F18"/>
    <w:multiLevelType w:val="hybridMultilevel"/>
    <w:tmpl w:val="14BE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2526B"/>
    <w:multiLevelType w:val="hybridMultilevel"/>
    <w:tmpl w:val="3CF87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4279F"/>
    <w:multiLevelType w:val="hybridMultilevel"/>
    <w:tmpl w:val="92125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F4750"/>
    <w:multiLevelType w:val="hybridMultilevel"/>
    <w:tmpl w:val="15CC8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D62A7"/>
    <w:multiLevelType w:val="hybridMultilevel"/>
    <w:tmpl w:val="2F02A736"/>
    <w:lvl w:ilvl="0" w:tplc="CFAEF2D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F1927"/>
    <w:multiLevelType w:val="hybridMultilevel"/>
    <w:tmpl w:val="D156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3671F"/>
    <w:multiLevelType w:val="hybridMultilevel"/>
    <w:tmpl w:val="58F40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436242"/>
    <w:multiLevelType w:val="multilevel"/>
    <w:tmpl w:val="DE5AE33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12"/>
  </w:num>
  <w:num w:numId="6">
    <w:abstractNumId w:val="10"/>
  </w:num>
  <w:num w:numId="7">
    <w:abstractNumId w:val="6"/>
  </w:num>
  <w:num w:numId="8">
    <w:abstractNumId w:val="8"/>
  </w:num>
  <w:num w:numId="9">
    <w:abstractNumId w:val="4"/>
  </w:num>
  <w:num w:numId="10">
    <w:abstractNumId w:val="5"/>
  </w:num>
  <w:num w:numId="11">
    <w:abstractNumId w:val="3"/>
  </w:num>
  <w:num w:numId="12">
    <w:abstractNumId w:val="11"/>
  </w:num>
  <w:num w:numId="13">
    <w:abstractNumId w:val="0"/>
    <w:lvlOverride w:ilvl="0">
      <w:lvl w:ilvl="0">
        <w:start w:val="1"/>
        <w:numFmt w:val="bullet"/>
        <w:lvlText w:val="•"/>
        <w:legacy w:legacy="1" w:legacySpace="120" w:legacyIndent="360"/>
        <w:lvlJc w:val="left"/>
        <w:pPr>
          <w:ind w:left="634" w:hanging="360"/>
        </w:pPr>
      </w:lvl>
    </w:lvlOverride>
  </w:num>
  <w:num w:numId="14">
    <w:abstractNumId w:val="14"/>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owell, Sheryl">
    <w15:presenceInfo w15:providerId="AD" w15:userId="S::scrowell@lifespan.org::28c36613-ae1d-46e6-881e-42f9d71b83e7"/>
  </w15:person>
  <w15:person w15:author="Debra Napert">
    <w15:presenceInfo w15:providerId="AD" w15:userId="S::dnapert@lifespan.org::6462d00f-2891-4a21-b4ce-32de9582916e"/>
  </w15:person>
  <w15:person w15:author="Crowell, Shannah l">
    <w15:presenceInfo w15:providerId="AD" w15:userId="S::331735@lifespan.org::0b54d2ee-86ca-4688-9683-e47a37952989"/>
  </w15:person>
  <w15:person w15:author="Petrie, Robert F">
    <w15:presenceInfo w15:providerId="AD" w15:userId="S::RPetrie@Lifespan.org::55c0e0bd-8020-4c84-9e2d-b35b86dfa4e5"/>
  </w15:person>
  <w15:person w15:author="Napert, Debra A">
    <w15:presenceInfo w15:providerId="AD" w15:userId="S::dnapert@lifespan.org::6462d00f-2891-4a21-b4ce-32de9582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revisionView w:comments="0" w:insDel="0" w:formatting="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30"/>
    <w:rsid w:val="00016EC2"/>
    <w:rsid w:val="00032E26"/>
    <w:rsid w:val="0003575B"/>
    <w:rsid w:val="00062E49"/>
    <w:rsid w:val="00082538"/>
    <w:rsid w:val="000A4207"/>
    <w:rsid w:val="000A5D2E"/>
    <w:rsid w:val="000C14B5"/>
    <w:rsid w:val="000E7049"/>
    <w:rsid w:val="00114477"/>
    <w:rsid w:val="00122046"/>
    <w:rsid w:val="00125424"/>
    <w:rsid w:val="00157934"/>
    <w:rsid w:val="0016417D"/>
    <w:rsid w:val="00195F12"/>
    <w:rsid w:val="001A4F43"/>
    <w:rsid w:val="001A784B"/>
    <w:rsid w:val="001C6F2C"/>
    <w:rsid w:val="001E45ED"/>
    <w:rsid w:val="0020016F"/>
    <w:rsid w:val="002A5B67"/>
    <w:rsid w:val="002A5EEF"/>
    <w:rsid w:val="002B4C9C"/>
    <w:rsid w:val="002C2160"/>
    <w:rsid w:val="00304E97"/>
    <w:rsid w:val="0033091E"/>
    <w:rsid w:val="003476E8"/>
    <w:rsid w:val="00352C77"/>
    <w:rsid w:val="00364EF6"/>
    <w:rsid w:val="0037592D"/>
    <w:rsid w:val="003D3313"/>
    <w:rsid w:val="003E09A4"/>
    <w:rsid w:val="00432212"/>
    <w:rsid w:val="00435294"/>
    <w:rsid w:val="004505F2"/>
    <w:rsid w:val="00465175"/>
    <w:rsid w:val="00495B21"/>
    <w:rsid w:val="004D4E7A"/>
    <w:rsid w:val="004F70ED"/>
    <w:rsid w:val="005118FF"/>
    <w:rsid w:val="00576C95"/>
    <w:rsid w:val="005823AE"/>
    <w:rsid w:val="005F0477"/>
    <w:rsid w:val="006258BF"/>
    <w:rsid w:val="00667776"/>
    <w:rsid w:val="006E1559"/>
    <w:rsid w:val="006E3CB8"/>
    <w:rsid w:val="00720B5B"/>
    <w:rsid w:val="0073239B"/>
    <w:rsid w:val="00732EFA"/>
    <w:rsid w:val="00751E99"/>
    <w:rsid w:val="00773DF6"/>
    <w:rsid w:val="007766AD"/>
    <w:rsid w:val="007A27A8"/>
    <w:rsid w:val="007B4161"/>
    <w:rsid w:val="007E5C29"/>
    <w:rsid w:val="008151DA"/>
    <w:rsid w:val="00815950"/>
    <w:rsid w:val="0083418D"/>
    <w:rsid w:val="00834507"/>
    <w:rsid w:val="008374B5"/>
    <w:rsid w:val="00876E41"/>
    <w:rsid w:val="00887934"/>
    <w:rsid w:val="008979F9"/>
    <w:rsid w:val="008B51A1"/>
    <w:rsid w:val="008B51FA"/>
    <w:rsid w:val="008E3C84"/>
    <w:rsid w:val="008F5FB1"/>
    <w:rsid w:val="00912BD8"/>
    <w:rsid w:val="00924ED5"/>
    <w:rsid w:val="009406F6"/>
    <w:rsid w:val="00953DEB"/>
    <w:rsid w:val="009558E0"/>
    <w:rsid w:val="00971A7B"/>
    <w:rsid w:val="009C131F"/>
    <w:rsid w:val="009D4122"/>
    <w:rsid w:val="009F2F30"/>
    <w:rsid w:val="009F59C0"/>
    <w:rsid w:val="00A110FA"/>
    <w:rsid w:val="00A11B26"/>
    <w:rsid w:val="00A2625A"/>
    <w:rsid w:val="00A31398"/>
    <w:rsid w:val="00A36BB2"/>
    <w:rsid w:val="00A659F7"/>
    <w:rsid w:val="00A871BA"/>
    <w:rsid w:val="00A9590B"/>
    <w:rsid w:val="00AB6108"/>
    <w:rsid w:val="00AD748F"/>
    <w:rsid w:val="00B0506D"/>
    <w:rsid w:val="00B06C3E"/>
    <w:rsid w:val="00B5165E"/>
    <w:rsid w:val="00B51851"/>
    <w:rsid w:val="00B731B1"/>
    <w:rsid w:val="00B740AD"/>
    <w:rsid w:val="00B8544C"/>
    <w:rsid w:val="00B96607"/>
    <w:rsid w:val="00BA0E4A"/>
    <w:rsid w:val="00BA6BA4"/>
    <w:rsid w:val="00BB2595"/>
    <w:rsid w:val="00BD141B"/>
    <w:rsid w:val="00C545BE"/>
    <w:rsid w:val="00C935B8"/>
    <w:rsid w:val="00C969B5"/>
    <w:rsid w:val="00CB4AA1"/>
    <w:rsid w:val="00D66CC7"/>
    <w:rsid w:val="00D76E1A"/>
    <w:rsid w:val="00DD39E8"/>
    <w:rsid w:val="00DE39EC"/>
    <w:rsid w:val="00DE5864"/>
    <w:rsid w:val="00DF443C"/>
    <w:rsid w:val="00E03EB3"/>
    <w:rsid w:val="00E062C7"/>
    <w:rsid w:val="00E5447A"/>
    <w:rsid w:val="00E634AF"/>
    <w:rsid w:val="00E74E05"/>
    <w:rsid w:val="00EB46CC"/>
    <w:rsid w:val="00EC1297"/>
    <w:rsid w:val="00ED0756"/>
    <w:rsid w:val="00EE69AB"/>
    <w:rsid w:val="00F25995"/>
    <w:rsid w:val="00F35A6C"/>
    <w:rsid w:val="00F73D17"/>
    <w:rsid w:val="00FA218B"/>
    <w:rsid w:val="00FB6E0B"/>
    <w:rsid w:val="00FC4293"/>
    <w:rsid w:val="00FD3B40"/>
    <w:rsid w:val="00FE14BF"/>
    <w:rsid w:val="00FF31EA"/>
    <w:rsid w:val="02BA0146"/>
    <w:rsid w:val="02F3294D"/>
    <w:rsid w:val="0835C483"/>
    <w:rsid w:val="088FF784"/>
    <w:rsid w:val="0C4595F1"/>
    <w:rsid w:val="10A78779"/>
    <w:rsid w:val="1157826D"/>
    <w:rsid w:val="12FE5DF1"/>
    <w:rsid w:val="13DA97B1"/>
    <w:rsid w:val="14D2EB2E"/>
    <w:rsid w:val="15329480"/>
    <w:rsid w:val="1D417010"/>
    <w:rsid w:val="1F1A2264"/>
    <w:rsid w:val="1F1E11A4"/>
    <w:rsid w:val="25474B2E"/>
    <w:rsid w:val="25A8EA2B"/>
    <w:rsid w:val="2A6EE3E1"/>
    <w:rsid w:val="2A8A9CA1"/>
    <w:rsid w:val="2DE402C6"/>
    <w:rsid w:val="300E08B8"/>
    <w:rsid w:val="308190C0"/>
    <w:rsid w:val="30D57A45"/>
    <w:rsid w:val="3450B53A"/>
    <w:rsid w:val="3481B1C8"/>
    <w:rsid w:val="34DE51E7"/>
    <w:rsid w:val="3A4EDC58"/>
    <w:rsid w:val="3E6F33C4"/>
    <w:rsid w:val="3F144AD3"/>
    <w:rsid w:val="40EAE660"/>
    <w:rsid w:val="4270BF23"/>
    <w:rsid w:val="458C4902"/>
    <w:rsid w:val="4776354D"/>
    <w:rsid w:val="4921073A"/>
    <w:rsid w:val="4B3AC6B9"/>
    <w:rsid w:val="4B6DEA39"/>
    <w:rsid w:val="4F9D5A9B"/>
    <w:rsid w:val="5494B257"/>
    <w:rsid w:val="5A46CC68"/>
    <w:rsid w:val="5AAF22DB"/>
    <w:rsid w:val="5BA75A94"/>
    <w:rsid w:val="5F535B80"/>
    <w:rsid w:val="5FC65E4B"/>
    <w:rsid w:val="603BCF98"/>
    <w:rsid w:val="611E645F"/>
    <w:rsid w:val="646B6440"/>
    <w:rsid w:val="67891559"/>
    <w:rsid w:val="68F39018"/>
    <w:rsid w:val="6DB8561A"/>
    <w:rsid w:val="6F90FF4A"/>
    <w:rsid w:val="743312FB"/>
    <w:rsid w:val="74741671"/>
    <w:rsid w:val="75CEE35C"/>
    <w:rsid w:val="76B57569"/>
    <w:rsid w:val="76E24149"/>
    <w:rsid w:val="79EBCBC4"/>
    <w:rsid w:val="7B8CBD93"/>
    <w:rsid w:val="7BCA9CD8"/>
    <w:rsid w:val="7CD5A898"/>
    <w:rsid w:val="7DC0CCE4"/>
    <w:rsid w:val="7E01D05A"/>
    <w:rsid w:val="7FBF071C"/>
    <w:rsid w:val="7FD9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BD18EB"/>
  <w15:docId w15:val="{8E130C87-523C-4629-BD7C-7279756C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emens Sans" w:eastAsiaTheme="minorHAnsi" w:hAnsi="Siemens Sans"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pPr>
      <w:keepNext/>
      <w:spacing w:after="0"/>
      <w:outlineLvl w:val="0"/>
    </w:pPr>
    <w:rPr>
      <w:rFonts w:cs="Arial"/>
      <w:b/>
      <w:sz w:val="24"/>
    </w:rPr>
  </w:style>
  <w:style w:type="paragraph" w:styleId="Heading2">
    <w:name w:val="heading 2"/>
    <w:basedOn w:val="Normal"/>
    <w:next w:val="Normal"/>
    <w:link w:val="Heading2Char"/>
    <w:uiPriority w:val="9"/>
    <w:semiHidden/>
    <w:unhideWhenUsed/>
    <w:qFormat/>
    <w:rsid w:val="003D33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b/>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Arial" w:hAnsi="Arial"/>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numPr>
        <w:numId w:val="9"/>
      </w:numPr>
      <w:spacing w:after="240"/>
      <w:ind w:left="374"/>
      <w:contextualSpacing/>
    </w:pPr>
    <w:rPr>
      <w:rFonts w:cs="Arial"/>
    </w:rPr>
  </w:style>
  <w:style w:type="paragraph" w:customStyle="1" w:styleId="Paragraph">
    <w:name w:val="Paragraph"/>
    <w:basedOn w:val="Normal"/>
    <w:qFormat/>
    <w:pPr>
      <w:spacing w:after="240"/>
    </w:pPr>
    <w:rPr>
      <w:rFonts w:cs="Arial"/>
    </w:rPr>
  </w:style>
  <w:style w:type="paragraph" w:customStyle="1" w:styleId="Subheading">
    <w:name w:val="Subheading"/>
    <w:basedOn w:val="Paragraph"/>
    <w:next w:val="Paragraph"/>
    <w:qFormat/>
    <w:rPr>
      <w:b/>
    </w:rPr>
  </w:style>
  <w:style w:type="paragraph" w:styleId="BalloonText">
    <w:name w:val="Balloon Text"/>
    <w:basedOn w:val="Normal"/>
    <w:link w:val="BalloonTextChar"/>
    <w:uiPriority w:val="99"/>
    <w:semiHidden/>
    <w:unhideWhenUsed/>
    <w:rsid w:val="00EB46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6CC"/>
    <w:rPr>
      <w:rFonts w:ascii="Tahoma" w:hAnsi="Tahoma" w:cs="Tahoma"/>
      <w:sz w:val="16"/>
      <w:szCs w:val="16"/>
    </w:rPr>
  </w:style>
  <w:style w:type="paragraph" w:customStyle="1" w:styleId="txt">
    <w:name w:val="txt"/>
    <w:basedOn w:val="Normal"/>
    <w:rsid w:val="003D3313"/>
    <w:pPr>
      <w:overflowPunct w:val="0"/>
      <w:autoSpaceDE w:val="0"/>
      <w:autoSpaceDN w:val="0"/>
      <w:adjustRightInd w:val="0"/>
      <w:spacing w:after="120"/>
      <w:ind w:left="274"/>
      <w:textAlignment w:val="baseline"/>
    </w:pPr>
    <w:rPr>
      <w:rFonts w:ascii="Times New Roman" w:eastAsia="Times New Roman" w:hAnsi="Times New Roman" w:cs="Times New Roman"/>
      <w:sz w:val="22"/>
    </w:rPr>
  </w:style>
  <w:style w:type="paragraph" w:customStyle="1" w:styleId="bl">
    <w:name w:val="bl"/>
    <w:rsid w:val="003D3313"/>
    <w:pPr>
      <w:overflowPunct w:val="0"/>
      <w:autoSpaceDE w:val="0"/>
      <w:autoSpaceDN w:val="0"/>
      <w:adjustRightInd w:val="0"/>
      <w:spacing w:before="60" w:after="60"/>
      <w:ind w:left="634" w:hanging="360"/>
      <w:textAlignment w:val="baseline"/>
    </w:pPr>
    <w:rPr>
      <w:rFonts w:ascii="Times New Roman" w:eastAsia="Times New Roman" w:hAnsi="Times New Roman" w:cs="Times New Roman"/>
      <w:sz w:val="22"/>
    </w:rPr>
  </w:style>
  <w:style w:type="paragraph" w:customStyle="1" w:styleId="h2">
    <w:name w:val="h2"/>
    <w:basedOn w:val="Normal"/>
    <w:next w:val="txt"/>
    <w:rsid w:val="003D3313"/>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eastAsia="Times New Roman" w:hAnsi="Arial Narrow" w:cs="Times New Roman"/>
      <w:b/>
      <w:kern w:val="30"/>
      <w:sz w:val="28"/>
    </w:rPr>
  </w:style>
  <w:style w:type="paragraph" w:customStyle="1" w:styleId="h3">
    <w:name w:val="h3"/>
    <w:basedOn w:val="Heading2"/>
    <w:rsid w:val="003D3313"/>
    <w:pPr>
      <w:keepLines w:val="0"/>
      <w:overflowPunct w:val="0"/>
      <w:autoSpaceDE w:val="0"/>
      <w:autoSpaceDN w:val="0"/>
      <w:adjustRightInd w:val="0"/>
      <w:spacing w:before="160" w:after="80"/>
      <w:ind w:left="270"/>
      <w:textAlignment w:val="baseline"/>
      <w:outlineLvl w:val="9"/>
    </w:pPr>
    <w:rPr>
      <w:rFonts w:ascii="Arial Narrow" w:eastAsia="Times New Roman" w:hAnsi="Arial Narrow" w:cs="Times New Roman"/>
      <w:b/>
      <w:i/>
      <w:color w:val="auto"/>
      <w:sz w:val="24"/>
      <w:szCs w:val="20"/>
    </w:rPr>
  </w:style>
  <w:style w:type="character" w:customStyle="1" w:styleId="Heading2Char">
    <w:name w:val="Heading 2 Char"/>
    <w:basedOn w:val="DefaultParagraphFont"/>
    <w:link w:val="Heading2"/>
    <w:uiPriority w:val="9"/>
    <w:semiHidden/>
    <w:rsid w:val="003D3313"/>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E5C29"/>
    <w:rPr>
      <w:b/>
      <w:bCs/>
    </w:rPr>
  </w:style>
  <w:style w:type="character" w:customStyle="1" w:styleId="CommentSubjectChar">
    <w:name w:val="Comment Subject Char"/>
    <w:basedOn w:val="CommentTextChar"/>
    <w:link w:val="CommentSubject"/>
    <w:uiPriority w:val="99"/>
    <w:semiHidden/>
    <w:rsid w:val="007E5C2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f0f4f017094244bf" Type="http://schemas.microsoft.com/office/2019/09/relationships/intelligence" Target="intelligenc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Others\Templates%20and%20Guidelines\NEW%20CLSI%20Template_HC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B968-9AE8-4D2D-99C4-E2CC127F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CLSI Template_HCL</Template>
  <TotalTime>64</TotalTime>
  <Pages>8</Pages>
  <Words>1421</Words>
  <Characters>8106</Characters>
  <Application>Microsoft Office Word</Application>
  <DocSecurity>0</DocSecurity>
  <Lines>67</Lines>
  <Paragraphs>19</Paragraphs>
  <ScaleCrop>false</ScaleCrop>
  <Company>Siemens AG</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Deepha Selvaraj</dc:creator>
  <cp:lastModifiedBy>Napert, Debra A</cp:lastModifiedBy>
  <cp:revision>11</cp:revision>
  <cp:lastPrinted>2016-03-17T16:19:00Z</cp:lastPrinted>
  <dcterms:created xsi:type="dcterms:W3CDTF">2021-09-15T17:06:00Z</dcterms:created>
  <dcterms:modified xsi:type="dcterms:W3CDTF">2021-09-15T18:27:00Z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-708103676</vt:i4>
  </property>
  <property fmtid="{D5CDD505-2E9C-101B-9397-08002B2CF9AE}" pid="3" name="_NewReviewCycle">
    <vt:lpwstr/>
  </property>
  <property fmtid="{D5CDD505-2E9C-101B-9397-08002B2CF9AE}" pid="4" name="_EmailSubject">
    <vt:lpwstr>eThCG CLSI Review</vt:lpwstr>
  </property>
  <property fmtid="{D5CDD505-2E9C-101B-9397-08002B2CF9AE}" pid="5" name="_AuthorEmail">
    <vt:lpwstr>russell.bleakney@siemens.com</vt:lpwstr>
  </property>
  <property fmtid="{D5CDD505-2E9C-101B-9397-08002B2CF9AE}" pid="6" name="_AuthorEmailDisplayName">
    <vt:lpwstr>Bleakney, Russell (HC LD ENG UID PLD-CAI GG)</vt:lpwstr>
  </property>
  <property fmtid="{D5CDD505-2E9C-101B-9397-08002B2CF9AE}" pid="7" name="_ReviewingToolsShownOnce">
    <vt:lpwstr/>
  </property>
</Properties>
</file>