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BA69" w14:textId="1620365D" w:rsidR="000C30E0" w:rsidRPr="00A234CF" w:rsidRDefault="000C30E0" w:rsidP="000C30E0">
      <w:pPr>
        <w:spacing w:after="0" w:line="240" w:lineRule="auto"/>
        <w:jc w:val="center"/>
        <w:rPr>
          <w:rFonts w:eastAsia="Times New Roman" w:cstheme="minorHAnsi"/>
          <w:b/>
          <w:sz w:val="24"/>
          <w:szCs w:val="24"/>
        </w:rPr>
      </w:pPr>
      <w:r w:rsidRPr="00A234CF">
        <w:rPr>
          <w:rFonts w:eastAsia="Times New Roman" w:cstheme="minorHAnsi"/>
          <w:b/>
          <w:sz w:val="24"/>
          <w:szCs w:val="24"/>
          <w:u w:val="single"/>
        </w:rPr>
        <w:t>PROCEDURE</w:t>
      </w:r>
      <w:r w:rsidRPr="00A234CF">
        <w:rPr>
          <w:rFonts w:eastAsia="Times New Roman" w:cstheme="minorHAnsi"/>
          <w:b/>
          <w:sz w:val="24"/>
          <w:szCs w:val="24"/>
        </w:rPr>
        <w:t xml:space="preserve">: </w:t>
      </w:r>
      <w:r w:rsidR="000B1E2C" w:rsidRPr="00A234CF">
        <w:rPr>
          <w:rFonts w:cstheme="minorHAnsi"/>
          <w:b/>
          <w:bCs/>
          <w:sz w:val="24"/>
          <w:szCs w:val="24"/>
        </w:rPr>
        <w:t>Quality Control &amp; Quality Assessment (</w:t>
      </w:r>
      <w:r w:rsidR="00A234CF">
        <w:rPr>
          <w:rFonts w:cstheme="minorHAnsi"/>
          <w:b/>
          <w:bCs/>
          <w:sz w:val="24"/>
          <w:szCs w:val="24"/>
        </w:rPr>
        <w:t>NP</w:t>
      </w:r>
      <w:r w:rsidR="000B1E2C" w:rsidRPr="00A234CF">
        <w:rPr>
          <w:rFonts w:cstheme="minorHAnsi"/>
          <w:b/>
          <w:bCs/>
          <w:sz w:val="24"/>
          <w:szCs w:val="24"/>
        </w:rPr>
        <w:t>H)</w:t>
      </w:r>
    </w:p>
    <w:p w14:paraId="27F6438F" w14:textId="77777777" w:rsidR="000C30E0" w:rsidRPr="00A234CF" w:rsidRDefault="000C30E0" w:rsidP="000C30E0">
      <w:pPr>
        <w:spacing w:after="0" w:line="240" w:lineRule="auto"/>
        <w:rPr>
          <w:rFonts w:eastAsia="Times New Roman" w:cstheme="minorHAnsi"/>
          <w:sz w:val="24"/>
          <w:szCs w:val="24"/>
        </w:rPr>
      </w:pPr>
    </w:p>
    <w:p w14:paraId="7E66F16A" w14:textId="77777777" w:rsidR="000B1E2C" w:rsidRPr="00A234CF" w:rsidRDefault="000B1E2C" w:rsidP="000B1E2C">
      <w:pPr>
        <w:widowControl w:val="0"/>
        <w:numPr>
          <w:ilvl w:val="0"/>
          <w:numId w:val="12"/>
        </w:numPr>
        <w:autoSpaceDE w:val="0"/>
        <w:autoSpaceDN w:val="0"/>
        <w:adjustRightInd w:val="0"/>
        <w:spacing w:after="0" w:line="240" w:lineRule="auto"/>
        <w:rPr>
          <w:rFonts w:cstheme="minorHAnsi"/>
          <w:b/>
          <w:sz w:val="24"/>
          <w:szCs w:val="24"/>
        </w:rPr>
      </w:pPr>
      <w:r w:rsidRPr="00A234CF">
        <w:rPr>
          <w:rFonts w:cstheme="minorHAnsi"/>
          <w:b/>
          <w:sz w:val="24"/>
          <w:szCs w:val="24"/>
        </w:rPr>
        <w:t>Principle</w:t>
      </w:r>
    </w:p>
    <w:p w14:paraId="4E486EA9" w14:textId="77777777" w:rsidR="000B1E2C" w:rsidRPr="00A234CF" w:rsidRDefault="000B1E2C" w:rsidP="000B1E2C">
      <w:pPr>
        <w:widowControl w:val="0"/>
        <w:numPr>
          <w:ilvl w:val="1"/>
          <w:numId w:val="12"/>
        </w:numPr>
        <w:autoSpaceDE w:val="0"/>
        <w:autoSpaceDN w:val="0"/>
        <w:adjustRightInd w:val="0"/>
        <w:spacing w:after="0" w:line="240" w:lineRule="auto"/>
        <w:rPr>
          <w:rFonts w:cstheme="minorHAnsi"/>
          <w:b/>
          <w:sz w:val="24"/>
          <w:szCs w:val="24"/>
        </w:rPr>
      </w:pPr>
      <w:r w:rsidRPr="00A234CF">
        <w:rPr>
          <w:rFonts w:cstheme="minorHAnsi"/>
          <w:sz w:val="24"/>
          <w:szCs w:val="24"/>
        </w:rPr>
        <w:t>Quality Control (QC) programs ensure that test results generated by the laboratory are accurate, reliable, and reproducible by assessing the quality of specimens and monitoring the performance of test procedures, reagents, and instruments while evaluating the performance of technologists performing the tests.</w:t>
      </w:r>
    </w:p>
    <w:p w14:paraId="3D63744C" w14:textId="77777777" w:rsidR="000B1E2C" w:rsidRPr="00A234CF" w:rsidRDefault="000B1E2C" w:rsidP="000B1E2C">
      <w:pPr>
        <w:widowControl w:val="0"/>
        <w:numPr>
          <w:ilvl w:val="1"/>
          <w:numId w:val="12"/>
        </w:numPr>
        <w:autoSpaceDE w:val="0"/>
        <w:autoSpaceDN w:val="0"/>
        <w:adjustRightInd w:val="0"/>
        <w:spacing w:after="0" w:line="240" w:lineRule="auto"/>
        <w:rPr>
          <w:rFonts w:cstheme="minorHAnsi"/>
          <w:b/>
          <w:sz w:val="24"/>
          <w:szCs w:val="24"/>
        </w:rPr>
      </w:pPr>
      <w:r w:rsidRPr="00A234CF">
        <w:rPr>
          <w:rFonts w:cstheme="minorHAnsi"/>
          <w:sz w:val="24"/>
          <w:szCs w:val="24"/>
        </w:rPr>
        <w:t>The laboratory’s quality control practices must meet or exceed the requirements specified in the manufacturer’s package insert. If there are no specifications from the manufacturer, an IQCP must be established.</w:t>
      </w:r>
    </w:p>
    <w:p w14:paraId="3427F351" w14:textId="77777777" w:rsidR="000B1E2C" w:rsidRPr="00A234CF" w:rsidRDefault="000B1E2C" w:rsidP="000B1E2C">
      <w:pPr>
        <w:widowControl w:val="0"/>
        <w:autoSpaceDE w:val="0"/>
        <w:autoSpaceDN w:val="0"/>
        <w:adjustRightInd w:val="0"/>
        <w:spacing w:after="0" w:line="240" w:lineRule="auto"/>
        <w:ind w:left="1080"/>
        <w:rPr>
          <w:rFonts w:cstheme="minorHAnsi"/>
          <w:b/>
          <w:sz w:val="24"/>
          <w:szCs w:val="24"/>
        </w:rPr>
      </w:pPr>
    </w:p>
    <w:p w14:paraId="24523065" w14:textId="77777777" w:rsidR="000B1E2C" w:rsidRPr="00A234CF" w:rsidRDefault="000B1E2C" w:rsidP="000B1E2C">
      <w:pPr>
        <w:widowControl w:val="0"/>
        <w:numPr>
          <w:ilvl w:val="0"/>
          <w:numId w:val="12"/>
        </w:numPr>
        <w:autoSpaceDE w:val="0"/>
        <w:autoSpaceDN w:val="0"/>
        <w:adjustRightInd w:val="0"/>
        <w:spacing w:after="0" w:line="240" w:lineRule="auto"/>
        <w:rPr>
          <w:rFonts w:cstheme="minorHAnsi"/>
          <w:b/>
          <w:sz w:val="24"/>
          <w:szCs w:val="24"/>
        </w:rPr>
      </w:pPr>
      <w:r w:rsidRPr="00A234CF">
        <w:rPr>
          <w:rFonts w:eastAsia="Times New Roman" w:cstheme="minorHAnsi"/>
          <w:b/>
          <w:sz w:val="24"/>
          <w:szCs w:val="24"/>
        </w:rPr>
        <w:t>NPH QC Procedures</w:t>
      </w:r>
    </w:p>
    <w:p w14:paraId="61322D0D" w14:textId="0D2111EB" w:rsidR="000C30E0" w:rsidRPr="00A234CF" w:rsidRDefault="000C30E0" w:rsidP="000B1E2C">
      <w:pPr>
        <w:widowControl w:val="0"/>
        <w:numPr>
          <w:ilvl w:val="1"/>
          <w:numId w:val="12"/>
        </w:numPr>
        <w:autoSpaceDE w:val="0"/>
        <w:autoSpaceDN w:val="0"/>
        <w:adjustRightInd w:val="0"/>
        <w:spacing w:after="0" w:line="240" w:lineRule="auto"/>
        <w:rPr>
          <w:rFonts w:cstheme="minorHAnsi"/>
          <w:b/>
          <w:sz w:val="24"/>
          <w:szCs w:val="24"/>
        </w:rPr>
      </w:pPr>
      <w:r w:rsidRPr="00A234CF">
        <w:rPr>
          <w:rFonts w:eastAsia="Times New Roman" w:cstheme="minorHAnsi"/>
          <w:sz w:val="24"/>
          <w:szCs w:val="24"/>
        </w:rPr>
        <w:t>Procedure manuals are located at the appropriate bench or in a particular area according to testing performed</w:t>
      </w:r>
      <w:r w:rsidR="000B1E2C" w:rsidRPr="00A234CF">
        <w:rPr>
          <w:rFonts w:eastAsia="Times New Roman" w:cstheme="minorHAnsi"/>
          <w:sz w:val="24"/>
          <w:szCs w:val="24"/>
        </w:rPr>
        <w:t xml:space="preserve"> and </w:t>
      </w:r>
      <w:r w:rsidRPr="00A234CF">
        <w:rPr>
          <w:rFonts w:eastAsia="Times New Roman" w:cstheme="minorHAnsi"/>
          <w:sz w:val="24"/>
          <w:szCs w:val="24"/>
        </w:rPr>
        <w:t>on the “</w:t>
      </w:r>
      <w:r w:rsidR="000B1E2C" w:rsidRPr="00A234CF">
        <w:rPr>
          <w:rFonts w:eastAsia="Times New Roman" w:cstheme="minorHAnsi"/>
          <w:sz w:val="24"/>
          <w:szCs w:val="24"/>
        </w:rPr>
        <w:t>N</w:t>
      </w:r>
      <w:r w:rsidRPr="00A234CF">
        <w:rPr>
          <w:rFonts w:eastAsia="Times New Roman" w:cstheme="minorHAnsi"/>
          <w:sz w:val="24"/>
          <w:szCs w:val="24"/>
        </w:rPr>
        <w:t>” drive.</w:t>
      </w:r>
    </w:p>
    <w:p w14:paraId="1CB63546" w14:textId="1156C5B4" w:rsidR="000B1E2C" w:rsidRPr="00A234CF" w:rsidRDefault="00FE7C97" w:rsidP="000B1E2C">
      <w:pPr>
        <w:widowControl w:val="0"/>
        <w:numPr>
          <w:ilvl w:val="1"/>
          <w:numId w:val="12"/>
        </w:numPr>
        <w:autoSpaceDE w:val="0"/>
        <w:autoSpaceDN w:val="0"/>
        <w:adjustRightInd w:val="0"/>
        <w:spacing w:after="0" w:line="240" w:lineRule="auto"/>
        <w:rPr>
          <w:rFonts w:cstheme="minorHAnsi"/>
          <w:b/>
          <w:sz w:val="24"/>
          <w:szCs w:val="24"/>
        </w:rPr>
      </w:pPr>
      <w:r w:rsidRPr="00A234CF">
        <w:rPr>
          <w:rFonts w:eastAsia="Times New Roman" w:cstheme="minorHAnsi"/>
          <w:sz w:val="24"/>
          <w:szCs w:val="24"/>
        </w:rPr>
        <w:t>Documentation</w:t>
      </w:r>
    </w:p>
    <w:p w14:paraId="186598DA" w14:textId="77777777" w:rsidR="000B1E2C" w:rsidRPr="00A234CF" w:rsidRDefault="000B1E2C" w:rsidP="000B1E2C">
      <w:pPr>
        <w:widowControl w:val="0"/>
        <w:numPr>
          <w:ilvl w:val="2"/>
          <w:numId w:val="12"/>
        </w:numPr>
        <w:autoSpaceDE w:val="0"/>
        <w:autoSpaceDN w:val="0"/>
        <w:adjustRightInd w:val="0"/>
        <w:spacing w:after="0" w:line="240" w:lineRule="auto"/>
        <w:rPr>
          <w:rFonts w:cstheme="minorHAnsi"/>
          <w:b/>
          <w:sz w:val="24"/>
          <w:szCs w:val="24"/>
        </w:rPr>
      </w:pPr>
      <w:r w:rsidRPr="00A234CF">
        <w:rPr>
          <w:rFonts w:cstheme="minorHAnsi"/>
          <w:sz w:val="24"/>
          <w:szCs w:val="24"/>
        </w:rPr>
        <w:t>All QC is performed by the same personnel who perform patient testing and the results are recorded on QC forms, in the patient chart, or on the instrument.</w:t>
      </w:r>
    </w:p>
    <w:p w14:paraId="0CA5A3F0"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Failed QC: Under no circumstances are patient results reported out if QC failed.</w:t>
      </w:r>
    </w:p>
    <w:p w14:paraId="498EDF44"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Records of out-of-control results and corrective actions are reviewed at least monthly by a senior technologist.</w:t>
      </w:r>
    </w:p>
    <w:p w14:paraId="14B88E46" w14:textId="77777777" w:rsidR="000B1E2C" w:rsidRPr="00A234CF" w:rsidRDefault="000B1E2C" w:rsidP="000B1E2C">
      <w:pPr>
        <w:pStyle w:val="ListParagraph"/>
        <w:numPr>
          <w:ilvl w:val="1"/>
          <w:numId w:val="12"/>
        </w:numPr>
        <w:spacing w:after="160" w:line="278" w:lineRule="auto"/>
        <w:rPr>
          <w:rFonts w:cstheme="minorHAnsi"/>
          <w:sz w:val="24"/>
          <w:szCs w:val="24"/>
        </w:rPr>
      </w:pPr>
      <w:r w:rsidRPr="00A234CF">
        <w:rPr>
          <w:rFonts w:cstheme="minorHAnsi"/>
          <w:sz w:val="24"/>
          <w:szCs w:val="24"/>
        </w:rPr>
        <w:t>Equipment function checks:</w:t>
      </w:r>
    </w:p>
    <w:p w14:paraId="4D613526"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Daily Monitoring</w:t>
      </w:r>
    </w:p>
    <w:p w14:paraId="6F081E7D"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Temperature recording of refrigerators/freezers and biosafety hood airflow are performed and documented daily.</w:t>
      </w:r>
    </w:p>
    <w:p w14:paraId="6C90FCDC"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Compliance is checked at least monthly by a senior technologist.</w:t>
      </w:r>
    </w:p>
    <w:p w14:paraId="7ACA74B7"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Slide Warmers</w:t>
      </w:r>
    </w:p>
    <w:p w14:paraId="4488DC0E"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Digital readouts are checked against an NIST thermometer annually.</w:t>
      </w:r>
    </w:p>
    <w:p w14:paraId="45C0D66E"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Recalibration is required if the deviation between the heating surface average and actual temperature exceeds 5°C.</w:t>
      </w:r>
    </w:p>
    <w:p w14:paraId="5B9B03BF"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Pipette Calibration</w:t>
      </w:r>
    </w:p>
    <w:p w14:paraId="4209E932"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Pipettes are calibrated every 6 months by an external company.</w:t>
      </w:r>
    </w:p>
    <w:p w14:paraId="2682AC34"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Digital certifications for these calibrations are maintained on the M drive at: M:\Pipette Calibration Certificates.</w:t>
      </w:r>
    </w:p>
    <w:p w14:paraId="54E5DF8C" w14:textId="77777777" w:rsidR="000B1E2C" w:rsidRPr="00A234CF" w:rsidRDefault="000B1E2C" w:rsidP="000B1E2C">
      <w:pPr>
        <w:pStyle w:val="ListParagraph"/>
        <w:numPr>
          <w:ilvl w:val="1"/>
          <w:numId w:val="12"/>
        </w:numPr>
        <w:spacing w:after="160" w:line="278" w:lineRule="auto"/>
        <w:rPr>
          <w:rFonts w:cstheme="minorHAnsi"/>
          <w:sz w:val="24"/>
          <w:szCs w:val="24"/>
        </w:rPr>
      </w:pPr>
      <w:r w:rsidRPr="00A234CF">
        <w:rPr>
          <w:rFonts w:cstheme="minorHAnsi"/>
          <w:sz w:val="24"/>
          <w:szCs w:val="24"/>
        </w:rPr>
        <w:t>Maintenance and Service:</w:t>
      </w:r>
    </w:p>
    <w:p w14:paraId="20650D98"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Service Records</w:t>
      </w:r>
    </w:p>
    <w:p w14:paraId="7990FDDD"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Preventative maintenance records are kept in the Service Reports Binder along with any QC associated with repair.</w:t>
      </w:r>
    </w:p>
    <w:p w14:paraId="36F3CC69"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Microscopes</w:t>
      </w:r>
    </w:p>
    <w:p w14:paraId="6A5014F5" w14:textId="77777777" w:rsidR="000B1E2C"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Routinely serviced every six months.</w:t>
      </w:r>
    </w:p>
    <w:p w14:paraId="2A37B60A" w14:textId="77777777" w:rsidR="00861FEA" w:rsidRPr="00A234CF" w:rsidRDefault="00861FEA" w:rsidP="00861FEA">
      <w:pPr>
        <w:pStyle w:val="ListParagraph"/>
        <w:spacing w:after="160" w:line="278" w:lineRule="auto"/>
        <w:ind w:left="1800"/>
        <w:rPr>
          <w:rFonts w:cstheme="minorHAnsi"/>
          <w:sz w:val="24"/>
          <w:szCs w:val="24"/>
        </w:rPr>
      </w:pPr>
    </w:p>
    <w:p w14:paraId="4E5A8059"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lastRenderedPageBreak/>
        <w:t>Biosafety Hoods</w:t>
      </w:r>
    </w:p>
    <w:p w14:paraId="28DEA90E"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Hoods are chemically disinfected and decontaminated after each use.</w:t>
      </w:r>
    </w:p>
    <w:p w14:paraId="6D17C2B8"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Maintenance records are located by Office of the Safety Officer.</w:t>
      </w:r>
    </w:p>
    <w:p w14:paraId="11856914"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Centrifuges</w:t>
      </w:r>
    </w:p>
    <w:p w14:paraId="7E70480A"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Checked semi-annually.</w:t>
      </w:r>
    </w:p>
    <w:p w14:paraId="0419A76F"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All adjustments recorded in the Bio-Medical department.</w:t>
      </w:r>
    </w:p>
    <w:p w14:paraId="6D0D5983" w14:textId="77777777" w:rsidR="000B1E2C" w:rsidRPr="00A234CF" w:rsidRDefault="000B1E2C" w:rsidP="000B1E2C">
      <w:pPr>
        <w:pStyle w:val="ListParagraph"/>
        <w:numPr>
          <w:ilvl w:val="2"/>
          <w:numId w:val="12"/>
        </w:numPr>
        <w:spacing w:after="160" w:line="278" w:lineRule="auto"/>
        <w:rPr>
          <w:rFonts w:cstheme="minorHAnsi"/>
          <w:sz w:val="24"/>
          <w:szCs w:val="24"/>
        </w:rPr>
      </w:pPr>
      <w:proofErr w:type="spellStart"/>
      <w:r w:rsidRPr="00A234CF">
        <w:rPr>
          <w:rFonts w:cstheme="minorHAnsi"/>
          <w:sz w:val="24"/>
          <w:szCs w:val="24"/>
        </w:rPr>
        <w:t>Aeroscout</w:t>
      </w:r>
      <w:proofErr w:type="spellEnd"/>
      <w:r w:rsidRPr="00A234CF">
        <w:rPr>
          <w:rFonts w:cstheme="minorHAnsi"/>
          <w:sz w:val="24"/>
          <w:szCs w:val="24"/>
        </w:rPr>
        <w:t xml:space="preserve"> System</w:t>
      </w:r>
    </w:p>
    <w:p w14:paraId="0258774D"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 xml:space="preserve">Temperatures are monitored by the </w:t>
      </w:r>
      <w:proofErr w:type="spellStart"/>
      <w:r w:rsidRPr="00A234CF">
        <w:rPr>
          <w:rFonts w:cstheme="minorHAnsi"/>
          <w:sz w:val="24"/>
          <w:szCs w:val="24"/>
        </w:rPr>
        <w:t>Aeroscout</w:t>
      </w:r>
      <w:proofErr w:type="spellEnd"/>
      <w:r w:rsidRPr="00A234CF">
        <w:rPr>
          <w:rFonts w:cstheme="minorHAnsi"/>
          <w:sz w:val="24"/>
          <w:szCs w:val="24"/>
        </w:rPr>
        <w:t xml:space="preserve"> system, which alerts the laboratory for exceeded limits. </w:t>
      </w:r>
    </w:p>
    <w:p w14:paraId="07200846"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Reagents must be relocated immediately to similar working equipment if limits are exceeded.</w:t>
      </w:r>
    </w:p>
    <w:p w14:paraId="0C998AA9" w14:textId="77777777" w:rsidR="000B1E2C" w:rsidRPr="00A234CF" w:rsidRDefault="000B1E2C" w:rsidP="000B1E2C">
      <w:pPr>
        <w:pStyle w:val="ListParagraph"/>
        <w:numPr>
          <w:ilvl w:val="1"/>
          <w:numId w:val="12"/>
        </w:numPr>
        <w:spacing w:after="160" w:line="278" w:lineRule="auto"/>
        <w:rPr>
          <w:rFonts w:cstheme="minorHAnsi"/>
          <w:sz w:val="24"/>
          <w:szCs w:val="24"/>
        </w:rPr>
      </w:pPr>
      <w:r w:rsidRPr="00A234CF">
        <w:rPr>
          <w:rFonts w:cstheme="minorHAnsi"/>
          <w:sz w:val="24"/>
          <w:szCs w:val="24"/>
        </w:rPr>
        <w:t>Area Decontamination</w:t>
      </w:r>
    </w:p>
    <w:p w14:paraId="41589B97" w14:textId="5D82EC9B"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 xml:space="preserve">Working areas (benches and hoods) are decontaminated daily with </w:t>
      </w:r>
      <w:r w:rsidR="007737DE">
        <w:rPr>
          <w:rFonts w:cstheme="minorHAnsi"/>
          <w:sz w:val="24"/>
          <w:szCs w:val="24"/>
        </w:rPr>
        <w:t>approved disinfectant (</w:t>
      </w:r>
      <w:proofErr w:type="spellStart"/>
      <w:r w:rsidR="007737DE">
        <w:rPr>
          <w:rFonts w:cstheme="minorHAnsi"/>
          <w:sz w:val="24"/>
          <w:szCs w:val="24"/>
        </w:rPr>
        <w:t>ie</w:t>
      </w:r>
      <w:proofErr w:type="spellEnd"/>
      <w:r w:rsidR="007737DE">
        <w:rPr>
          <w:rFonts w:cstheme="minorHAnsi"/>
          <w:sz w:val="24"/>
          <w:szCs w:val="24"/>
        </w:rPr>
        <w:t>. Sani-cloth wipes)</w:t>
      </w:r>
      <w:r w:rsidRPr="00A234CF">
        <w:rPr>
          <w:rFonts w:cstheme="minorHAnsi"/>
          <w:sz w:val="24"/>
          <w:szCs w:val="24"/>
        </w:rPr>
        <w:t xml:space="preserve"> or bleach.</w:t>
      </w:r>
    </w:p>
    <w:p w14:paraId="7F55D71A"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Compliance is checked at least monthly by a senior technologist.</w:t>
      </w:r>
    </w:p>
    <w:p w14:paraId="431CE28C" w14:textId="601D84D4" w:rsidR="000B1E2C" w:rsidRPr="00A234CF" w:rsidRDefault="000B1E2C" w:rsidP="000B1E2C">
      <w:pPr>
        <w:pStyle w:val="ListParagraph"/>
        <w:numPr>
          <w:ilvl w:val="1"/>
          <w:numId w:val="12"/>
        </w:numPr>
        <w:spacing w:after="160" w:line="278" w:lineRule="auto"/>
        <w:rPr>
          <w:rFonts w:cstheme="minorHAnsi"/>
          <w:sz w:val="24"/>
          <w:szCs w:val="24"/>
        </w:rPr>
      </w:pPr>
      <w:r w:rsidRPr="00A234CF">
        <w:rPr>
          <w:rFonts w:cstheme="minorHAnsi"/>
          <w:sz w:val="24"/>
          <w:szCs w:val="24"/>
        </w:rPr>
        <w:t>Reagents and Stains</w:t>
      </w:r>
    </w:p>
    <w:p w14:paraId="46B1FCD9"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All reagents, stains and test kits will be used within their indicated expiration dates.</w:t>
      </w:r>
    </w:p>
    <w:p w14:paraId="353DF0F7"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Gram Stain Reagents:</w:t>
      </w:r>
    </w:p>
    <w:p w14:paraId="24520F4B" w14:textId="3BC57BBB" w:rsidR="000B1E2C" w:rsidRPr="00A234CF" w:rsidRDefault="00861FEA" w:rsidP="000B1E2C">
      <w:pPr>
        <w:pStyle w:val="ListParagraph"/>
        <w:numPr>
          <w:ilvl w:val="3"/>
          <w:numId w:val="12"/>
        </w:numPr>
        <w:spacing w:after="160" w:line="278" w:lineRule="auto"/>
        <w:rPr>
          <w:rFonts w:cstheme="minorHAnsi"/>
          <w:sz w:val="24"/>
          <w:szCs w:val="24"/>
        </w:rPr>
      </w:pPr>
      <w:r>
        <w:rPr>
          <w:rFonts w:cstheme="minorHAnsi"/>
          <w:sz w:val="24"/>
          <w:szCs w:val="24"/>
        </w:rPr>
        <w:t>NPH</w:t>
      </w:r>
      <w:r w:rsidR="000B1E2C" w:rsidRPr="00A234CF">
        <w:rPr>
          <w:rFonts w:cstheme="minorHAnsi"/>
          <w:sz w:val="24"/>
          <w:szCs w:val="24"/>
        </w:rPr>
        <w:t xml:space="preserve"> receives all Gram stain reagents from Rhode Island Hospital (RIH).</w:t>
      </w:r>
    </w:p>
    <w:p w14:paraId="7B2188BC" w14:textId="109F2BCA"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 xml:space="preserve">Reagents are tested with </w:t>
      </w:r>
      <w:r w:rsidR="00866E68">
        <w:rPr>
          <w:rFonts w:cstheme="minorHAnsi"/>
          <w:sz w:val="24"/>
          <w:szCs w:val="24"/>
        </w:rPr>
        <w:t xml:space="preserve">appropriate </w:t>
      </w:r>
      <w:r w:rsidRPr="00A234CF">
        <w:rPr>
          <w:rFonts w:cstheme="minorHAnsi"/>
          <w:sz w:val="24"/>
          <w:szCs w:val="24"/>
        </w:rPr>
        <w:t>control organisms with each new batch, lot number, and shipment, and weekly thereafter.</w:t>
      </w:r>
    </w:p>
    <w:p w14:paraId="508781FE"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Labeling: Containers are labeled with contents, quantity, concentration, storage requirements, date received, date placed in service, and expiration date.</w:t>
      </w:r>
    </w:p>
    <w:p w14:paraId="7992C41D"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Reagents are stored according to manufacturers’ recommendations.</w:t>
      </w:r>
    </w:p>
    <w:p w14:paraId="0E7A7A62"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Quality Testing Frequency:</w:t>
      </w:r>
    </w:p>
    <w:p w14:paraId="0BB5C02C" w14:textId="77777777"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Each new batch, lot number, and/or shipment must be tested.</w:t>
      </w:r>
    </w:p>
    <w:p w14:paraId="5699FECC" w14:textId="77777777"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Weekly</w:t>
      </w:r>
    </w:p>
    <w:p w14:paraId="6CD0B565"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Commercial Kits</w:t>
      </w:r>
    </w:p>
    <w:p w14:paraId="1DCBC301"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Pre-Use Labeling and Storage:</w:t>
      </w:r>
    </w:p>
    <w:p w14:paraId="2D04B2A4" w14:textId="2228760C"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 xml:space="preserve">Upon receipt, kits to be </w:t>
      </w:r>
      <w:proofErr w:type="spellStart"/>
      <w:r w:rsidRPr="00A234CF">
        <w:rPr>
          <w:rFonts w:cstheme="minorHAnsi"/>
          <w:sz w:val="24"/>
          <w:szCs w:val="24"/>
        </w:rPr>
        <w:t>QC’d</w:t>
      </w:r>
      <w:proofErr w:type="spellEnd"/>
      <w:r w:rsidRPr="00A234CF">
        <w:rPr>
          <w:rFonts w:cstheme="minorHAnsi"/>
          <w:sz w:val="24"/>
          <w:szCs w:val="24"/>
        </w:rPr>
        <w:t xml:space="preserve"> are placed in a designated area for kits requiring QC.</w:t>
      </w:r>
    </w:p>
    <w:p w14:paraId="2845F6AD" w14:textId="77777777"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An orange sticker stating “DO NOT USE THIS LOT NUMBER” must be applied with the received date marked on the boxes.</w:t>
      </w:r>
    </w:p>
    <w:p w14:paraId="1F150E10" w14:textId="05457E48"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lastRenderedPageBreak/>
        <w:t>Once QC is successfully completed and recorded in the QC binder, a GREEN sticker stating “THIS LOT IS READY FOR USE” is placed on the kits but not covering the initial received date.</w:t>
      </w:r>
    </w:p>
    <w:p w14:paraId="05C92CAB"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Kits are stored according to manufacturers’ recommendations.</w:t>
      </w:r>
    </w:p>
    <w:p w14:paraId="11C36016"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Quality Testing Frequency:</w:t>
      </w:r>
    </w:p>
    <w:p w14:paraId="0F49D5CE" w14:textId="77777777"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Each new batch, lot number, and/or shipment must be tested.</w:t>
      </w:r>
    </w:p>
    <w:p w14:paraId="1E9C00F3" w14:textId="77777777"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Monthly</w:t>
      </w:r>
    </w:p>
    <w:p w14:paraId="61DD3E32"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Molecular Assays:</w:t>
      </w:r>
    </w:p>
    <w:p w14:paraId="7FA7EEC9"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QC for molecular assays is specifically addressed in each individual test procedure.</w:t>
      </w:r>
    </w:p>
    <w:p w14:paraId="68808110"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For multiplex tests, at least two analytes are individually verified for each new shipment and lot and the analytes verified are periodically rotated.</w:t>
      </w:r>
    </w:p>
    <w:p w14:paraId="24E44052"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Results must be documented on the dedicated QC sheets within their respective QC binders.</w:t>
      </w:r>
    </w:p>
    <w:p w14:paraId="638446C7"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Components of a kit may not be interchanged with those of another kit of a different lot number unless explicitly specified by the manufacturer.</w:t>
      </w:r>
    </w:p>
    <w:p w14:paraId="649C3AF3"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Kits are stored according to manufacturers’ recommendations.</w:t>
      </w:r>
    </w:p>
    <w:p w14:paraId="588E6361"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Quality Testing Frequency:</w:t>
      </w:r>
    </w:p>
    <w:p w14:paraId="698757AD" w14:textId="77777777"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Each new batch, lot number, and/or shipment must be tested.</w:t>
      </w:r>
    </w:p>
    <w:p w14:paraId="083B8714" w14:textId="77777777" w:rsidR="000B1E2C" w:rsidRPr="00A234CF" w:rsidRDefault="000B1E2C" w:rsidP="000B1E2C">
      <w:pPr>
        <w:pStyle w:val="ListParagraph"/>
        <w:numPr>
          <w:ilvl w:val="4"/>
          <w:numId w:val="12"/>
        </w:numPr>
        <w:spacing w:after="160" w:line="278" w:lineRule="auto"/>
        <w:rPr>
          <w:rFonts w:cstheme="minorHAnsi"/>
          <w:sz w:val="24"/>
          <w:szCs w:val="24"/>
        </w:rPr>
      </w:pPr>
      <w:r w:rsidRPr="00A234CF">
        <w:rPr>
          <w:rFonts w:cstheme="minorHAnsi"/>
          <w:sz w:val="24"/>
          <w:szCs w:val="24"/>
        </w:rPr>
        <w:t>Monthly</w:t>
      </w:r>
    </w:p>
    <w:p w14:paraId="6EB9CE13"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Environmental Quality Control:</w:t>
      </w:r>
    </w:p>
    <w:p w14:paraId="69239780"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 xml:space="preserve">Environmental testing is performed monthly on GeneXpert and </w:t>
      </w:r>
      <w:proofErr w:type="spellStart"/>
      <w:r w:rsidRPr="00A234CF">
        <w:rPr>
          <w:rFonts w:cstheme="minorHAnsi"/>
          <w:sz w:val="24"/>
          <w:szCs w:val="24"/>
        </w:rPr>
        <w:t>eplex</w:t>
      </w:r>
      <w:proofErr w:type="spellEnd"/>
      <w:r w:rsidRPr="00A234CF">
        <w:rPr>
          <w:rFonts w:cstheme="minorHAnsi"/>
          <w:sz w:val="24"/>
          <w:szCs w:val="24"/>
        </w:rPr>
        <w:t xml:space="preserve"> instruments to monitor potential nucleic acid contamination.</w:t>
      </w:r>
    </w:p>
    <w:p w14:paraId="1577F939"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Refer to "Appendix AP25- Core Environmental Quality Control" for detailed instructions regarding sample preparation and testing.</w:t>
      </w:r>
    </w:p>
    <w:p w14:paraId="36A0AC84" w14:textId="77777777" w:rsidR="000B1E2C" w:rsidRPr="00A234CF" w:rsidRDefault="000B1E2C" w:rsidP="000B1E2C">
      <w:pPr>
        <w:pStyle w:val="ListParagraph"/>
        <w:numPr>
          <w:ilvl w:val="1"/>
          <w:numId w:val="12"/>
        </w:numPr>
        <w:spacing w:after="160" w:line="278" w:lineRule="auto"/>
        <w:rPr>
          <w:rFonts w:cstheme="minorHAnsi"/>
          <w:sz w:val="24"/>
          <w:szCs w:val="24"/>
        </w:rPr>
      </w:pPr>
      <w:r w:rsidRPr="00A234CF">
        <w:rPr>
          <w:rFonts w:cstheme="minorHAnsi"/>
          <w:sz w:val="24"/>
          <w:szCs w:val="24"/>
        </w:rPr>
        <w:t>Correlation of Commercial Kits and Instrumentation</w:t>
      </w:r>
    </w:p>
    <w:p w14:paraId="4D070F41"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Used to monitor and assure quality and consistent results across different methods used to attain the same result.</w:t>
      </w:r>
    </w:p>
    <w:p w14:paraId="22E11F82"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Results of the comparisons must be within acceptable limits.</w:t>
      </w:r>
    </w:p>
    <w:p w14:paraId="31829179"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Frequency: twice per year (semiannually).</w:t>
      </w:r>
    </w:p>
    <w:p w14:paraId="7913A13A" w14:textId="5207F4EE"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 xml:space="preserve">Scope of Testing at </w:t>
      </w:r>
      <w:r w:rsidR="00FE7C97">
        <w:rPr>
          <w:rFonts w:cstheme="minorHAnsi"/>
          <w:sz w:val="24"/>
          <w:szCs w:val="24"/>
        </w:rPr>
        <w:t>NPH</w:t>
      </w:r>
      <w:r w:rsidRPr="00A234CF">
        <w:rPr>
          <w:rFonts w:cstheme="minorHAnsi"/>
          <w:sz w:val="24"/>
          <w:szCs w:val="24"/>
        </w:rPr>
        <w:t>:</w:t>
      </w:r>
    </w:p>
    <w:p w14:paraId="011D18D9"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 xml:space="preserve"> This requirement specifically applies to molecular testing performed on the </w:t>
      </w:r>
      <w:proofErr w:type="spellStart"/>
      <w:r w:rsidRPr="00A234CF">
        <w:rPr>
          <w:rFonts w:cstheme="minorHAnsi"/>
          <w:sz w:val="24"/>
          <w:szCs w:val="24"/>
        </w:rPr>
        <w:t>eplex</w:t>
      </w:r>
      <w:proofErr w:type="spellEnd"/>
      <w:r w:rsidRPr="00A234CF">
        <w:rPr>
          <w:rFonts w:cstheme="minorHAnsi"/>
          <w:sz w:val="24"/>
          <w:szCs w:val="24"/>
        </w:rPr>
        <w:t xml:space="preserve"> and Cepheid (COVFR, and RP2).</w:t>
      </w:r>
    </w:p>
    <w:p w14:paraId="544EEA2A"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Specimen Requirements:</w:t>
      </w:r>
    </w:p>
    <w:p w14:paraId="727A22F9" w14:textId="77777777" w:rsidR="000B1E2C"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Identical performance assessment samples (e.g., CAP ID3-A/ID3-B) and/or known previously tested patient samples are sufficient for correlation.</w:t>
      </w:r>
    </w:p>
    <w:p w14:paraId="6555528D" w14:textId="77777777" w:rsidR="00861FEA" w:rsidRPr="00A234CF" w:rsidRDefault="00861FEA" w:rsidP="00861FEA">
      <w:pPr>
        <w:pStyle w:val="ListParagraph"/>
        <w:spacing w:after="160" w:line="278" w:lineRule="auto"/>
        <w:ind w:left="1800"/>
        <w:rPr>
          <w:rFonts w:cstheme="minorHAnsi"/>
          <w:sz w:val="24"/>
          <w:szCs w:val="24"/>
        </w:rPr>
      </w:pPr>
    </w:p>
    <w:p w14:paraId="529CAE54"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lastRenderedPageBreak/>
        <w:t>Correlation Methods:</w:t>
      </w:r>
    </w:p>
    <w:p w14:paraId="5FD8C0BA"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 xml:space="preserve">GeneXpert COVFR with </w:t>
      </w:r>
      <w:proofErr w:type="spellStart"/>
      <w:r w:rsidRPr="00A234CF">
        <w:rPr>
          <w:rFonts w:cstheme="minorHAnsi"/>
          <w:sz w:val="24"/>
          <w:szCs w:val="24"/>
        </w:rPr>
        <w:t>eplex</w:t>
      </w:r>
      <w:proofErr w:type="spellEnd"/>
      <w:r w:rsidRPr="00A234CF">
        <w:rPr>
          <w:rFonts w:cstheme="minorHAnsi"/>
          <w:sz w:val="24"/>
          <w:szCs w:val="24"/>
        </w:rPr>
        <w:t xml:space="preserve"> RP2 assay</w:t>
      </w:r>
    </w:p>
    <w:p w14:paraId="19669536"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Influenza A/B, SARS-CoV-2, and RSV must be compared using previously analyzed patient specimens or CAP unknowns.</w:t>
      </w:r>
    </w:p>
    <w:p w14:paraId="0F76F2D7" w14:textId="77777777" w:rsidR="000B1E2C" w:rsidRPr="00A234CF" w:rsidRDefault="000B1E2C" w:rsidP="000B1E2C">
      <w:pPr>
        <w:pStyle w:val="ListParagraph"/>
        <w:numPr>
          <w:ilvl w:val="3"/>
          <w:numId w:val="12"/>
        </w:numPr>
        <w:spacing w:after="160" w:line="278" w:lineRule="auto"/>
        <w:rPr>
          <w:rFonts w:cstheme="minorHAnsi"/>
          <w:sz w:val="24"/>
          <w:szCs w:val="24"/>
        </w:rPr>
      </w:pPr>
      <w:r w:rsidRPr="00A234CF">
        <w:rPr>
          <w:rFonts w:cstheme="minorHAnsi"/>
          <w:sz w:val="24"/>
          <w:szCs w:val="24"/>
        </w:rPr>
        <w:t>Results from samples run on different test kits or instruments are compared; results must be identical across all platforms.</w:t>
      </w:r>
    </w:p>
    <w:p w14:paraId="614EDAC0" w14:textId="77777777" w:rsidR="000B1E2C" w:rsidRPr="00A234CF" w:rsidRDefault="000B1E2C" w:rsidP="000B1E2C">
      <w:pPr>
        <w:pStyle w:val="ListParagraph"/>
        <w:numPr>
          <w:ilvl w:val="1"/>
          <w:numId w:val="12"/>
        </w:numPr>
        <w:spacing w:after="160" w:line="278" w:lineRule="auto"/>
        <w:rPr>
          <w:rFonts w:cstheme="minorHAnsi"/>
          <w:sz w:val="24"/>
          <w:szCs w:val="24"/>
        </w:rPr>
      </w:pPr>
      <w:r w:rsidRPr="00A234CF">
        <w:rPr>
          <w:rFonts w:cstheme="minorHAnsi"/>
          <w:sz w:val="24"/>
          <w:szCs w:val="24"/>
        </w:rPr>
        <w:t>Reporting and Corrective Action:</w:t>
      </w:r>
    </w:p>
    <w:p w14:paraId="292ADDE1"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Record results on F136 – Kit Correlation – Molecular Assays.</w:t>
      </w:r>
    </w:p>
    <w:p w14:paraId="6C8ECA51"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Discrepant results must be repeated.</w:t>
      </w:r>
    </w:p>
    <w:p w14:paraId="3CF46D80"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If results do not agree, the method must be discontinued until the issue is resolved and discussed with the Laboratory Manager and Medical Director.</w:t>
      </w:r>
    </w:p>
    <w:p w14:paraId="0819ACE2" w14:textId="77777777" w:rsidR="000B1E2C" w:rsidRPr="00A234CF" w:rsidRDefault="000B1E2C" w:rsidP="000B1E2C">
      <w:pPr>
        <w:pStyle w:val="ListParagraph"/>
        <w:numPr>
          <w:ilvl w:val="1"/>
          <w:numId w:val="12"/>
        </w:numPr>
        <w:spacing w:after="160" w:line="278" w:lineRule="auto"/>
        <w:rPr>
          <w:rFonts w:cstheme="minorHAnsi"/>
          <w:sz w:val="24"/>
          <w:szCs w:val="24"/>
        </w:rPr>
      </w:pPr>
      <w:r w:rsidRPr="00A234CF">
        <w:rPr>
          <w:rFonts w:cstheme="minorHAnsi"/>
          <w:sz w:val="24"/>
          <w:szCs w:val="24"/>
        </w:rPr>
        <w:t>Patient Testing/Resulting Restrictions:</w:t>
      </w:r>
    </w:p>
    <w:p w14:paraId="5C0A045C"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If any QC testing result remains out of the accepted range, do not test patient specimens until the problem is resolved.</w:t>
      </w:r>
    </w:p>
    <w:p w14:paraId="07562859" w14:textId="77777777" w:rsidR="000B1E2C"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Do not report patient results until the QC is repeated and determined to be in control, or the test is repeated with an alternative test system or by a reference laboratory.</w:t>
      </w:r>
    </w:p>
    <w:p w14:paraId="3BDC6658" w14:textId="396B2B4C" w:rsidR="000C30E0" w:rsidRPr="00A234CF" w:rsidRDefault="000B1E2C" w:rsidP="000B1E2C">
      <w:pPr>
        <w:pStyle w:val="ListParagraph"/>
        <w:numPr>
          <w:ilvl w:val="2"/>
          <w:numId w:val="12"/>
        </w:numPr>
        <w:spacing w:after="160" w:line="278" w:lineRule="auto"/>
        <w:rPr>
          <w:rFonts w:cstheme="minorHAnsi"/>
          <w:sz w:val="24"/>
          <w:szCs w:val="24"/>
        </w:rPr>
      </w:pPr>
      <w:r w:rsidRPr="00A234CF">
        <w:rPr>
          <w:rFonts w:cstheme="minorHAnsi"/>
          <w:sz w:val="24"/>
          <w:szCs w:val="24"/>
        </w:rPr>
        <w:t>If erroneous patient results are reported due to QC failure, refer to the Corrected and Supplemental Reports Procedure. A SafetyNet report should be filed if patient care was compromised.</w:t>
      </w:r>
    </w:p>
    <w:p w14:paraId="24063EEB" w14:textId="2A052AF4" w:rsidR="00A234CF" w:rsidRPr="00A234CF" w:rsidRDefault="00FE7C97" w:rsidP="00A234CF">
      <w:pPr>
        <w:pStyle w:val="ListParagraph"/>
        <w:numPr>
          <w:ilvl w:val="0"/>
          <w:numId w:val="12"/>
        </w:numPr>
        <w:spacing w:after="160" w:line="278" w:lineRule="auto"/>
        <w:rPr>
          <w:rFonts w:cstheme="minorHAnsi"/>
          <w:b/>
          <w:bCs/>
          <w:sz w:val="24"/>
          <w:szCs w:val="24"/>
        </w:rPr>
      </w:pPr>
      <w:r>
        <w:rPr>
          <w:rFonts w:cstheme="minorHAnsi"/>
          <w:b/>
          <w:bCs/>
          <w:sz w:val="24"/>
          <w:szCs w:val="24"/>
        </w:rPr>
        <w:t>NH</w:t>
      </w:r>
      <w:r w:rsidR="00A234CF" w:rsidRPr="00A234CF">
        <w:rPr>
          <w:rFonts w:cstheme="minorHAnsi"/>
          <w:b/>
          <w:bCs/>
          <w:sz w:val="24"/>
          <w:szCs w:val="24"/>
        </w:rPr>
        <w:t xml:space="preserve"> QA Procedures</w:t>
      </w:r>
    </w:p>
    <w:p w14:paraId="1EA87EC9" w14:textId="77777777" w:rsidR="00A234CF" w:rsidRP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Gram Stain Review</w:t>
      </w:r>
    </w:p>
    <w:p w14:paraId="4114AE73" w14:textId="07C8F550" w:rsidR="00A234CF" w:rsidRP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t xml:space="preserve">Gram stains </w:t>
      </w:r>
      <w:r w:rsidR="00FE7C97">
        <w:rPr>
          <w:rFonts w:cstheme="minorHAnsi"/>
          <w:sz w:val="24"/>
          <w:szCs w:val="24"/>
        </w:rPr>
        <w:t xml:space="preserve">initially read and interpreted at NPH </w:t>
      </w:r>
      <w:r w:rsidRPr="00A234CF">
        <w:rPr>
          <w:rFonts w:cstheme="minorHAnsi"/>
          <w:sz w:val="24"/>
          <w:szCs w:val="24"/>
        </w:rPr>
        <w:t xml:space="preserve">are reviewed </w:t>
      </w:r>
      <w:r w:rsidR="00FE7C97">
        <w:rPr>
          <w:rFonts w:cstheme="minorHAnsi"/>
          <w:sz w:val="24"/>
          <w:szCs w:val="24"/>
        </w:rPr>
        <w:t xml:space="preserve">at RIH </w:t>
      </w:r>
      <w:r w:rsidRPr="00A234CF">
        <w:rPr>
          <w:rFonts w:cstheme="minorHAnsi"/>
          <w:sz w:val="24"/>
          <w:szCs w:val="24"/>
        </w:rPr>
        <w:t>to confirm the quality of smear preparation and satisfactory gram staining technique. This includes, but is not limited to, ensuring the smear is of proper thickness, free of precipitation, has proper cell distribution, and exhibits appropriate staining reactions.</w:t>
      </w:r>
    </w:p>
    <w:p w14:paraId="1E655B68" w14:textId="77777777" w:rsidR="00A234CF" w:rsidRP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t>Weekly and Monthly Reviews</w:t>
      </w:r>
    </w:p>
    <w:p w14:paraId="31706645" w14:textId="77777777" w:rsidR="00A234CF" w:rsidRPr="00A234CF" w:rsidRDefault="00A234CF" w:rsidP="00A234CF">
      <w:pPr>
        <w:pStyle w:val="ListParagraph"/>
        <w:numPr>
          <w:ilvl w:val="3"/>
          <w:numId w:val="12"/>
        </w:numPr>
        <w:spacing w:after="160" w:line="278" w:lineRule="auto"/>
        <w:rPr>
          <w:rFonts w:cstheme="minorHAnsi"/>
          <w:sz w:val="24"/>
          <w:szCs w:val="24"/>
        </w:rPr>
      </w:pPr>
      <w:r w:rsidRPr="00A234CF">
        <w:rPr>
          <w:rFonts w:cstheme="minorHAnsi"/>
          <w:sz w:val="24"/>
          <w:szCs w:val="24"/>
        </w:rPr>
        <w:t>All manually entered results must be reviewed at least weekly for accuracy.</w:t>
      </w:r>
    </w:p>
    <w:p w14:paraId="48DFEC3F" w14:textId="16F2AD61" w:rsidR="00A234CF" w:rsidRDefault="00A234CF" w:rsidP="00FE7C97">
      <w:pPr>
        <w:pStyle w:val="ListParagraph"/>
        <w:numPr>
          <w:ilvl w:val="3"/>
          <w:numId w:val="12"/>
        </w:numPr>
        <w:spacing w:after="160" w:line="278" w:lineRule="auto"/>
        <w:rPr>
          <w:rFonts w:cstheme="minorHAnsi"/>
          <w:sz w:val="24"/>
          <w:szCs w:val="24"/>
        </w:rPr>
      </w:pPr>
      <w:r w:rsidRPr="00A234CF">
        <w:rPr>
          <w:rFonts w:cstheme="minorHAnsi"/>
          <w:sz w:val="24"/>
          <w:szCs w:val="24"/>
        </w:rPr>
        <w:t>All Quality Control (QC) records, instrument maintenance records, and function checks must be reviewed, signed and dated at least monthly by the designated QC technologist.</w:t>
      </w:r>
    </w:p>
    <w:p w14:paraId="4359DB12" w14:textId="77777777" w:rsidR="00FE7C97" w:rsidRPr="00FE7C97" w:rsidRDefault="00FE7C97" w:rsidP="00FE7C97">
      <w:pPr>
        <w:pStyle w:val="ListParagraph"/>
        <w:spacing w:after="160" w:line="278" w:lineRule="auto"/>
        <w:ind w:left="1800"/>
        <w:rPr>
          <w:rFonts w:cstheme="minorHAnsi"/>
          <w:sz w:val="24"/>
          <w:szCs w:val="24"/>
        </w:rPr>
      </w:pPr>
    </w:p>
    <w:p w14:paraId="51771ACE" w14:textId="77777777" w:rsidR="00A234CF" w:rsidRPr="00A234CF" w:rsidRDefault="00A234CF" w:rsidP="00A234CF">
      <w:pPr>
        <w:pStyle w:val="ListParagraph"/>
        <w:numPr>
          <w:ilvl w:val="0"/>
          <w:numId w:val="12"/>
        </w:numPr>
        <w:spacing w:after="160" w:line="278" w:lineRule="auto"/>
        <w:rPr>
          <w:rFonts w:cstheme="minorHAnsi"/>
          <w:b/>
          <w:bCs/>
          <w:sz w:val="24"/>
          <w:szCs w:val="24"/>
        </w:rPr>
      </w:pPr>
      <w:r w:rsidRPr="00A234CF">
        <w:rPr>
          <w:rFonts w:cstheme="minorHAnsi"/>
          <w:b/>
          <w:bCs/>
          <w:sz w:val="24"/>
          <w:szCs w:val="24"/>
        </w:rPr>
        <w:t>Monitoring &amp; Statistics</w:t>
      </w:r>
    </w:p>
    <w:p w14:paraId="614C3C95" w14:textId="5C3E1BF0" w:rsidR="00A234CF" w:rsidRP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 xml:space="preserve">Statistics for </w:t>
      </w:r>
      <w:r w:rsidR="00FE7C97">
        <w:rPr>
          <w:rFonts w:cstheme="minorHAnsi"/>
          <w:sz w:val="24"/>
          <w:szCs w:val="24"/>
        </w:rPr>
        <w:t>NPH</w:t>
      </w:r>
      <w:r w:rsidRPr="00A234CF">
        <w:rPr>
          <w:rFonts w:cstheme="minorHAnsi"/>
          <w:sz w:val="24"/>
          <w:szCs w:val="24"/>
        </w:rPr>
        <w:t xml:space="preserve"> are specifically limited to the following molecular assays:</w:t>
      </w:r>
    </w:p>
    <w:p w14:paraId="44BD019C" w14:textId="77777777" w:rsid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t>Group A Strep (GASPC): Track positivity and invalid rates.</w:t>
      </w:r>
    </w:p>
    <w:p w14:paraId="29959AC8" w14:textId="2C3CA1FE" w:rsidR="00FE7C97" w:rsidRPr="00A234CF" w:rsidRDefault="00FE7C97" w:rsidP="00A234CF">
      <w:pPr>
        <w:pStyle w:val="ListParagraph"/>
        <w:numPr>
          <w:ilvl w:val="2"/>
          <w:numId w:val="12"/>
        </w:numPr>
        <w:spacing w:after="160" w:line="278" w:lineRule="auto"/>
        <w:rPr>
          <w:rFonts w:cstheme="minorHAnsi"/>
          <w:sz w:val="24"/>
          <w:szCs w:val="24"/>
        </w:rPr>
      </w:pPr>
      <w:r w:rsidRPr="00FE7C97">
        <w:rPr>
          <w:rFonts w:cstheme="minorHAnsi"/>
          <w:i/>
          <w:iCs/>
          <w:sz w:val="24"/>
          <w:szCs w:val="24"/>
        </w:rPr>
        <w:t>C</w:t>
      </w:r>
      <w:r>
        <w:rPr>
          <w:rFonts w:cstheme="minorHAnsi"/>
          <w:sz w:val="24"/>
          <w:szCs w:val="24"/>
        </w:rPr>
        <w:t xml:space="preserve">. </w:t>
      </w:r>
      <w:r>
        <w:rPr>
          <w:rFonts w:cstheme="minorHAnsi"/>
          <w:i/>
          <w:iCs/>
          <w:sz w:val="24"/>
          <w:szCs w:val="24"/>
        </w:rPr>
        <w:t>difficile</w:t>
      </w:r>
      <w:r>
        <w:rPr>
          <w:rFonts w:cstheme="minorHAnsi"/>
          <w:sz w:val="24"/>
          <w:szCs w:val="24"/>
        </w:rPr>
        <w:t xml:space="preserve"> (CDPCR): Track positivity and invalid rates.</w:t>
      </w:r>
    </w:p>
    <w:p w14:paraId="21F3A394" w14:textId="77777777" w:rsidR="00A234CF" w:rsidRP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lastRenderedPageBreak/>
        <w:t>COVFR (SARS-CoV-2/Flu A&amp;B/RSV): Track total number of tests, invalid rates and positivity rates.</w:t>
      </w:r>
    </w:p>
    <w:p w14:paraId="1AD71971" w14:textId="77777777" w:rsidR="00A234CF" w:rsidRP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t>RP2 (Respiratory Pathogen Panel): Track total number of tests, invalid rates and the percentage of positive results.</w:t>
      </w:r>
    </w:p>
    <w:p w14:paraId="48F7D220" w14:textId="77777777" w:rsidR="00A234CF" w:rsidRP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Statistical information for these assays is aggregated and maintained on the M drive at: M:\STATISTICS Molecular.</w:t>
      </w:r>
    </w:p>
    <w:p w14:paraId="6644F9CD" w14:textId="77777777" w:rsidR="00A234CF" w:rsidRPr="00A234CF" w:rsidRDefault="00A234CF" w:rsidP="00A234CF">
      <w:pPr>
        <w:pStyle w:val="ListParagraph"/>
        <w:rPr>
          <w:rFonts w:cstheme="minorHAnsi"/>
          <w:sz w:val="24"/>
          <w:szCs w:val="24"/>
        </w:rPr>
      </w:pPr>
    </w:p>
    <w:p w14:paraId="7F30280D" w14:textId="77777777" w:rsidR="00A234CF" w:rsidRPr="00A234CF" w:rsidRDefault="00A234CF" w:rsidP="00A234CF">
      <w:pPr>
        <w:pStyle w:val="ListParagraph"/>
        <w:numPr>
          <w:ilvl w:val="0"/>
          <w:numId w:val="12"/>
        </w:numPr>
        <w:spacing w:after="160" w:line="278" w:lineRule="auto"/>
        <w:rPr>
          <w:rFonts w:cstheme="minorHAnsi"/>
          <w:b/>
          <w:bCs/>
          <w:sz w:val="24"/>
          <w:szCs w:val="24"/>
        </w:rPr>
      </w:pPr>
      <w:r w:rsidRPr="00A234CF">
        <w:rPr>
          <w:rFonts w:cstheme="minorHAnsi"/>
          <w:b/>
          <w:bCs/>
          <w:sz w:val="24"/>
          <w:szCs w:val="24"/>
        </w:rPr>
        <w:t>Procedure Document Control</w:t>
      </w:r>
    </w:p>
    <w:p w14:paraId="757D8137" w14:textId="77777777" w:rsidR="00A234CF" w:rsidRP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All policies and procedures in the Microbiology Lab are adopted and approved by the CLIA Lab Director.</w:t>
      </w:r>
    </w:p>
    <w:p w14:paraId="6AD31CFB" w14:textId="678DAE85" w:rsidR="00A234CF" w:rsidRP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All procedures are reviewed bi</w:t>
      </w:r>
      <w:r w:rsidR="00FE7C97">
        <w:rPr>
          <w:rFonts w:cstheme="minorHAnsi"/>
          <w:sz w:val="24"/>
          <w:szCs w:val="24"/>
        </w:rPr>
        <w:t>e</w:t>
      </w:r>
      <w:r w:rsidRPr="00A234CF">
        <w:rPr>
          <w:rFonts w:cstheme="minorHAnsi"/>
          <w:sz w:val="24"/>
          <w:szCs w:val="24"/>
        </w:rPr>
        <w:t>nn</w:t>
      </w:r>
      <w:r w:rsidR="00FE7C97">
        <w:rPr>
          <w:rFonts w:cstheme="minorHAnsi"/>
          <w:sz w:val="24"/>
          <w:szCs w:val="24"/>
        </w:rPr>
        <w:t>i</w:t>
      </w:r>
      <w:r w:rsidRPr="00A234CF">
        <w:rPr>
          <w:rFonts w:cstheme="minorHAnsi"/>
          <w:sz w:val="24"/>
          <w:szCs w:val="24"/>
        </w:rPr>
        <w:t>ally by the Lab Director or Designee.</w:t>
      </w:r>
    </w:p>
    <w:p w14:paraId="400BA8B8" w14:textId="77777777" w:rsidR="00A234CF" w:rsidRP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Any procedure that is found to need major revisions is:</w:t>
      </w:r>
    </w:p>
    <w:p w14:paraId="1A54651A" w14:textId="77777777" w:rsidR="00A234CF" w:rsidRP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t>Updated as needed by the Manager and Lead/Senior Technologist</w:t>
      </w:r>
    </w:p>
    <w:p w14:paraId="32B74A26" w14:textId="77777777" w:rsidR="00A234CF" w:rsidRP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t>Subsequently reviewed by the CLIA Lab Director.</w:t>
      </w:r>
    </w:p>
    <w:p w14:paraId="3CA45405" w14:textId="77777777" w:rsidR="00A234CF" w:rsidRP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Discontinued procedures are maintained for two years.</w:t>
      </w:r>
    </w:p>
    <w:p w14:paraId="073810D9" w14:textId="77777777" w:rsidR="00A234CF" w:rsidRPr="00A234CF" w:rsidRDefault="00A234CF" w:rsidP="00A234CF">
      <w:pPr>
        <w:pStyle w:val="ListParagraph"/>
        <w:numPr>
          <w:ilvl w:val="2"/>
          <w:numId w:val="12"/>
        </w:numPr>
        <w:spacing w:after="160" w:line="278" w:lineRule="auto"/>
        <w:rPr>
          <w:rFonts w:cstheme="minorHAnsi"/>
          <w:sz w:val="24"/>
          <w:szCs w:val="24"/>
        </w:rPr>
      </w:pPr>
      <w:r w:rsidRPr="00A234CF">
        <w:rPr>
          <w:rFonts w:cstheme="minorHAnsi"/>
          <w:sz w:val="24"/>
          <w:szCs w:val="24"/>
        </w:rPr>
        <w:t>Both the retired date and the discard date must be clearly written on the procedure.</w:t>
      </w:r>
    </w:p>
    <w:p w14:paraId="418F5733" w14:textId="77777777" w:rsidR="00A234CF" w:rsidRDefault="00A234CF" w:rsidP="00A234CF">
      <w:pPr>
        <w:pStyle w:val="ListParagraph"/>
        <w:numPr>
          <w:ilvl w:val="1"/>
          <w:numId w:val="12"/>
        </w:numPr>
        <w:spacing w:after="160" w:line="278" w:lineRule="auto"/>
        <w:rPr>
          <w:rFonts w:cstheme="minorHAnsi"/>
          <w:sz w:val="24"/>
          <w:szCs w:val="24"/>
        </w:rPr>
      </w:pPr>
      <w:r w:rsidRPr="00A234CF">
        <w:rPr>
          <w:rFonts w:cstheme="minorHAnsi"/>
          <w:sz w:val="24"/>
          <w:szCs w:val="24"/>
        </w:rPr>
        <w:t>In the event of a change in directorship, the new Director will promptly review all procedures.</w:t>
      </w:r>
    </w:p>
    <w:p w14:paraId="32407A3C" w14:textId="77777777" w:rsidR="00A234CF" w:rsidRDefault="00A234CF" w:rsidP="00A234CF">
      <w:pPr>
        <w:pStyle w:val="ListParagraph"/>
        <w:spacing w:after="160" w:line="278" w:lineRule="auto"/>
        <w:ind w:left="1080"/>
        <w:rPr>
          <w:rFonts w:cstheme="minorHAnsi"/>
          <w:sz w:val="24"/>
          <w:szCs w:val="24"/>
        </w:rPr>
      </w:pPr>
    </w:p>
    <w:p w14:paraId="7845F50B" w14:textId="44E50534" w:rsidR="00A234CF" w:rsidRPr="00A234CF" w:rsidRDefault="000C30E0" w:rsidP="00A234CF">
      <w:pPr>
        <w:pStyle w:val="ListParagraph"/>
        <w:numPr>
          <w:ilvl w:val="0"/>
          <w:numId w:val="12"/>
        </w:numPr>
        <w:spacing w:after="160" w:line="278" w:lineRule="auto"/>
        <w:rPr>
          <w:rFonts w:cstheme="minorHAnsi"/>
          <w:sz w:val="24"/>
          <w:szCs w:val="24"/>
        </w:rPr>
      </w:pPr>
      <w:r w:rsidRPr="00A234CF">
        <w:rPr>
          <w:rFonts w:eastAsia="Times New Roman" w:cstheme="minorHAnsi"/>
          <w:b/>
          <w:sz w:val="24"/>
          <w:szCs w:val="24"/>
        </w:rPr>
        <w:t>R</w:t>
      </w:r>
      <w:r w:rsidR="00A234CF">
        <w:rPr>
          <w:rFonts w:eastAsia="Times New Roman" w:cstheme="minorHAnsi"/>
          <w:b/>
          <w:sz w:val="24"/>
          <w:szCs w:val="24"/>
        </w:rPr>
        <w:t>eferences</w:t>
      </w:r>
    </w:p>
    <w:p w14:paraId="154896DC" w14:textId="77777777" w:rsidR="00A234CF" w:rsidRPr="00A234CF" w:rsidRDefault="000C30E0" w:rsidP="00A234CF">
      <w:pPr>
        <w:pStyle w:val="ListParagraph"/>
        <w:numPr>
          <w:ilvl w:val="1"/>
          <w:numId w:val="12"/>
        </w:numPr>
        <w:spacing w:after="160" w:line="278" w:lineRule="auto"/>
        <w:rPr>
          <w:rFonts w:cstheme="minorHAnsi"/>
          <w:sz w:val="24"/>
          <w:szCs w:val="24"/>
        </w:rPr>
      </w:pPr>
      <w:r w:rsidRPr="00A234CF">
        <w:rPr>
          <w:rFonts w:eastAsia="Times New Roman" w:cstheme="minorHAnsi"/>
          <w:sz w:val="24"/>
          <w:szCs w:val="24"/>
        </w:rPr>
        <w:t>Clinical Microbiology Procedures Handbook, 2</w:t>
      </w:r>
      <w:r w:rsidRPr="00A234CF">
        <w:rPr>
          <w:rFonts w:eastAsia="Times New Roman" w:cstheme="minorHAnsi"/>
          <w:sz w:val="24"/>
          <w:szCs w:val="24"/>
          <w:vertAlign w:val="superscript"/>
        </w:rPr>
        <w:t>nd</w:t>
      </w:r>
      <w:r w:rsidRPr="00A234CF">
        <w:rPr>
          <w:rFonts w:eastAsia="Times New Roman" w:cstheme="minorHAnsi"/>
          <w:sz w:val="24"/>
          <w:szCs w:val="24"/>
        </w:rPr>
        <w:t xml:space="preserve"> Edition, Section 14.2, Quality Control.</w:t>
      </w:r>
    </w:p>
    <w:p w14:paraId="792E0102" w14:textId="77777777" w:rsidR="00FE7C97" w:rsidRPr="00FE7C97" w:rsidRDefault="000C30E0" w:rsidP="00FE7C97">
      <w:pPr>
        <w:pStyle w:val="ListParagraph"/>
        <w:numPr>
          <w:ilvl w:val="1"/>
          <w:numId w:val="12"/>
        </w:numPr>
        <w:spacing w:after="160" w:line="278" w:lineRule="auto"/>
        <w:rPr>
          <w:rFonts w:cstheme="minorHAnsi"/>
          <w:sz w:val="24"/>
          <w:szCs w:val="24"/>
        </w:rPr>
      </w:pPr>
      <w:r w:rsidRPr="00A234CF">
        <w:rPr>
          <w:rFonts w:eastAsia="Times New Roman" w:cstheme="minorHAnsi"/>
          <w:sz w:val="24"/>
          <w:szCs w:val="24"/>
        </w:rPr>
        <w:t xml:space="preserve">Forbes, B.A., Sahm, D.F., and </w:t>
      </w:r>
      <w:proofErr w:type="spellStart"/>
      <w:r w:rsidRPr="00A234CF">
        <w:rPr>
          <w:rFonts w:eastAsia="Times New Roman" w:cstheme="minorHAnsi"/>
          <w:sz w:val="24"/>
          <w:szCs w:val="24"/>
        </w:rPr>
        <w:t>Weissfeld</w:t>
      </w:r>
      <w:proofErr w:type="spellEnd"/>
      <w:r w:rsidRPr="00A234CF">
        <w:rPr>
          <w:rFonts w:eastAsia="Times New Roman" w:cstheme="minorHAnsi"/>
          <w:sz w:val="24"/>
          <w:szCs w:val="24"/>
        </w:rPr>
        <w:t>, A.S., Bailey and Scott’s Diagnostic Microbiology, 12</w:t>
      </w:r>
      <w:r w:rsidRPr="00A234CF">
        <w:rPr>
          <w:rFonts w:eastAsia="Times New Roman" w:cstheme="minorHAnsi"/>
          <w:sz w:val="24"/>
          <w:szCs w:val="24"/>
          <w:vertAlign w:val="superscript"/>
        </w:rPr>
        <w:t>th</w:t>
      </w:r>
      <w:r w:rsidRPr="00A234CF">
        <w:rPr>
          <w:rFonts w:eastAsia="Times New Roman" w:cstheme="minorHAnsi"/>
          <w:sz w:val="24"/>
          <w:szCs w:val="24"/>
        </w:rPr>
        <w:t xml:space="preserve"> edition, Mosby Elsevier Co. , St. Louis,2007.  </w:t>
      </w:r>
    </w:p>
    <w:p w14:paraId="425CCA51" w14:textId="77777777" w:rsidR="00FE7C97" w:rsidRPr="00FE7C97" w:rsidRDefault="00FE7C97" w:rsidP="00FE7C97">
      <w:pPr>
        <w:pStyle w:val="ListParagraph"/>
        <w:spacing w:after="160" w:line="278" w:lineRule="auto"/>
        <w:ind w:left="1080"/>
        <w:rPr>
          <w:rFonts w:cstheme="minorHAnsi"/>
          <w:sz w:val="24"/>
          <w:szCs w:val="24"/>
        </w:rPr>
      </w:pPr>
    </w:p>
    <w:p w14:paraId="78BFC080" w14:textId="1E713C96" w:rsidR="00A234CF" w:rsidRPr="00FE7C97" w:rsidRDefault="00A234CF" w:rsidP="00FE7C97">
      <w:pPr>
        <w:pStyle w:val="ListParagraph"/>
        <w:numPr>
          <w:ilvl w:val="0"/>
          <w:numId w:val="12"/>
        </w:numPr>
        <w:spacing w:after="160" w:line="278" w:lineRule="auto"/>
        <w:rPr>
          <w:rFonts w:cstheme="minorHAnsi"/>
          <w:sz w:val="24"/>
          <w:szCs w:val="24"/>
        </w:rPr>
      </w:pPr>
      <w:r w:rsidRPr="00FE7C97">
        <w:rPr>
          <w:rFonts w:cstheme="minorHAnsi"/>
          <w:b/>
          <w:bCs/>
          <w:sz w:val="24"/>
          <w:szCs w:val="24"/>
        </w:rPr>
        <w:t>Revisions</w:t>
      </w:r>
    </w:p>
    <w:p w14:paraId="6F48E09D" w14:textId="77777777" w:rsidR="00A234CF" w:rsidRPr="00A234CF" w:rsidRDefault="00A234CF" w:rsidP="00A234CF">
      <w:pPr>
        <w:pStyle w:val="ListParagraph"/>
        <w:numPr>
          <w:ilvl w:val="1"/>
          <w:numId w:val="1"/>
        </w:numPr>
        <w:spacing w:after="0" w:line="240" w:lineRule="auto"/>
        <w:rPr>
          <w:rFonts w:cstheme="minorHAnsi"/>
          <w:sz w:val="24"/>
          <w:szCs w:val="24"/>
        </w:rPr>
      </w:pPr>
      <w:r w:rsidRPr="00A234CF">
        <w:rPr>
          <w:rFonts w:cstheme="minorHAnsi"/>
          <w:sz w:val="24"/>
          <w:szCs w:val="24"/>
        </w:rPr>
        <w:t>02/1</w:t>
      </w:r>
      <w:r>
        <w:rPr>
          <w:rFonts w:cstheme="minorHAnsi"/>
          <w:sz w:val="24"/>
          <w:szCs w:val="24"/>
        </w:rPr>
        <w:t>6</w:t>
      </w:r>
      <w:r w:rsidRPr="00A234CF">
        <w:rPr>
          <w:rFonts w:cstheme="minorHAnsi"/>
          <w:sz w:val="24"/>
          <w:szCs w:val="24"/>
        </w:rPr>
        <w:t>/2026 – Combine Quality Assessment Procedure Info with Quality Control Procedure. Adjusted Title. Reformatted for consistency between affiliated laboratories.</w:t>
      </w:r>
    </w:p>
    <w:p w14:paraId="6EA726F3" w14:textId="1CD028F3" w:rsidR="00923DF4" w:rsidRPr="00A234CF" w:rsidRDefault="00923DF4" w:rsidP="00A234CF">
      <w:pPr>
        <w:spacing w:after="0" w:line="240" w:lineRule="auto"/>
        <w:ind w:left="720"/>
        <w:rPr>
          <w:rFonts w:eastAsia="Times New Roman" w:cstheme="minorHAnsi"/>
          <w:b/>
          <w:sz w:val="24"/>
          <w:szCs w:val="24"/>
        </w:rPr>
      </w:pPr>
    </w:p>
    <w:sectPr w:rsidR="00923DF4" w:rsidRPr="00A234CF" w:rsidSect="00856B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AEC1" w14:textId="77777777" w:rsidR="00045670" w:rsidRDefault="00DA46EB">
      <w:pPr>
        <w:spacing w:after="0" w:line="240" w:lineRule="auto"/>
      </w:pPr>
      <w:r>
        <w:separator/>
      </w:r>
    </w:p>
  </w:endnote>
  <w:endnote w:type="continuationSeparator" w:id="0">
    <w:p w14:paraId="21559185" w14:textId="77777777" w:rsidR="00045670" w:rsidRDefault="00DA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181D" w14:textId="5A92742A" w:rsidR="00A234CF" w:rsidRPr="001B7E78" w:rsidRDefault="00A234CF" w:rsidP="00A234CF">
    <w:pPr>
      <w:tabs>
        <w:tab w:val="center" w:pos="4320"/>
        <w:tab w:val="right" w:pos="8640"/>
      </w:tabs>
      <w:spacing w:after="0" w:line="240" w:lineRule="auto"/>
      <w:rPr>
        <w:rFonts w:ascii="Calibri" w:hAnsi="Calibri" w:cs="Calibri"/>
        <w:sz w:val="18"/>
        <w:szCs w:val="18"/>
      </w:rPr>
    </w:pPr>
    <w:r w:rsidRPr="001B7E78">
      <w:rPr>
        <w:rFonts w:ascii="Calibri" w:hAnsi="Calibri" w:cs="Calibri"/>
        <w:sz w:val="18"/>
        <w:szCs w:val="18"/>
      </w:rPr>
      <w:t xml:space="preserve">Brown University Health AMC Department of Pathology     </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NPH</w:t>
    </w:r>
    <w:r w:rsidRPr="001B7E78">
      <w:rPr>
        <w:rFonts w:ascii="Calibri" w:hAnsi="Calibri" w:cs="Calibri"/>
        <w:sz w:val="18"/>
        <w:szCs w:val="18"/>
      </w:rPr>
      <w:t xml:space="preserve"> Microbiology Laboratory</w:t>
    </w:r>
    <w:r w:rsidRPr="001B7E78">
      <w:rPr>
        <w:rFonts w:ascii="Calibri" w:hAnsi="Calibri" w:cs="Calibri"/>
        <w:sz w:val="18"/>
        <w:szCs w:val="18"/>
      </w:rPr>
      <w:tab/>
    </w:r>
  </w:p>
  <w:p w14:paraId="5671BB18" w14:textId="098F866A" w:rsidR="00A234CF" w:rsidRPr="001B7E78" w:rsidRDefault="00A234CF" w:rsidP="00A234CF">
    <w:pPr>
      <w:tabs>
        <w:tab w:val="center" w:pos="4320"/>
        <w:tab w:val="right" w:pos="8640"/>
      </w:tabs>
      <w:spacing w:after="0" w:line="240" w:lineRule="auto"/>
      <w:rPr>
        <w:rFonts w:ascii="Calibri" w:hAnsi="Calibri" w:cs="Calibri"/>
        <w:sz w:val="18"/>
        <w:szCs w:val="18"/>
      </w:rPr>
    </w:pPr>
    <w:r>
      <w:rPr>
        <w:rFonts w:ascii="Calibri" w:hAnsi="Calibri" w:cs="Calibri"/>
        <w:sz w:val="18"/>
        <w:szCs w:val="18"/>
      </w:rPr>
      <w:t>Newport Hospital</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Quality Control &amp; Quality Assessment</w:t>
    </w:r>
    <w:r w:rsidRPr="001B7E78">
      <w:rPr>
        <w:rFonts w:ascii="Calibri" w:hAnsi="Calibri" w:cs="Calibri"/>
        <w:sz w:val="18"/>
        <w:szCs w:val="18"/>
      </w:rPr>
      <w:tab/>
    </w:r>
  </w:p>
  <w:p w14:paraId="64236826" w14:textId="77777777" w:rsidR="00A234CF" w:rsidRPr="001B7E78" w:rsidRDefault="00A234CF" w:rsidP="00A234CF">
    <w:pPr>
      <w:tabs>
        <w:tab w:val="center" w:pos="4320"/>
        <w:tab w:val="right" w:pos="8640"/>
      </w:tabs>
      <w:spacing w:after="0" w:line="240" w:lineRule="auto"/>
      <w:rPr>
        <w:rFonts w:ascii="Calibri" w:hAnsi="Calibri" w:cs="Calibri"/>
        <w:sz w:val="18"/>
        <w:szCs w:val="18"/>
      </w:rPr>
    </w:pPr>
    <w:r>
      <w:rPr>
        <w:rFonts w:ascii="Calibri" w:hAnsi="Calibri" w:cs="Calibri"/>
        <w:sz w:val="18"/>
        <w:szCs w:val="18"/>
      </w:rPr>
      <w:t>11 Friendship Street</w:t>
    </w:r>
  </w:p>
  <w:p w14:paraId="3D5F713E" w14:textId="77777777" w:rsidR="00A234CF" w:rsidRPr="001B7E78" w:rsidRDefault="00A234CF" w:rsidP="00A234CF">
    <w:pPr>
      <w:tabs>
        <w:tab w:val="center" w:pos="4320"/>
        <w:tab w:val="right" w:pos="8640"/>
      </w:tabs>
      <w:spacing w:after="0" w:line="240" w:lineRule="auto"/>
      <w:rPr>
        <w:rFonts w:ascii="Calibri" w:hAnsi="Calibri" w:cs="Calibri"/>
        <w:sz w:val="18"/>
        <w:szCs w:val="18"/>
      </w:rPr>
    </w:pPr>
    <w:r>
      <w:rPr>
        <w:rFonts w:ascii="Calibri" w:hAnsi="Calibri" w:cs="Calibri"/>
        <w:sz w:val="18"/>
        <w:szCs w:val="18"/>
      </w:rPr>
      <w:t>Newport</w:t>
    </w:r>
    <w:r w:rsidRPr="001B7E78">
      <w:rPr>
        <w:rFonts w:ascii="Calibri" w:hAnsi="Calibri" w:cs="Calibri"/>
        <w:sz w:val="18"/>
        <w:szCs w:val="18"/>
      </w:rPr>
      <w:t>, RI</w:t>
    </w:r>
    <w:r>
      <w:rPr>
        <w:rFonts w:ascii="Calibri" w:hAnsi="Calibri" w:cs="Calibri"/>
        <w:sz w:val="18"/>
        <w:szCs w:val="18"/>
      </w:rPr>
      <w:t xml:space="preserve"> 02840</w:t>
    </w:r>
    <w:r w:rsidRPr="001B7E78">
      <w:rPr>
        <w:rFonts w:ascii="Calibri" w:hAnsi="Calibri" w:cs="Calibri"/>
        <w:sz w:val="18"/>
        <w:szCs w:val="18"/>
      </w:rPr>
      <w:tab/>
      <w:t xml:space="preserve">Page </w:t>
    </w:r>
    <w:r w:rsidRPr="001B7E78">
      <w:rPr>
        <w:rFonts w:ascii="Calibri" w:hAnsi="Calibri" w:cs="Calibri"/>
        <w:sz w:val="18"/>
        <w:szCs w:val="18"/>
      </w:rPr>
      <w:fldChar w:fldCharType="begin"/>
    </w:r>
    <w:r w:rsidRPr="001B7E78">
      <w:rPr>
        <w:rFonts w:ascii="Calibri" w:hAnsi="Calibri" w:cs="Calibri"/>
        <w:sz w:val="18"/>
        <w:szCs w:val="18"/>
      </w:rPr>
      <w:instrText xml:space="preserve"> PAGE </w:instrText>
    </w:r>
    <w:r w:rsidRPr="001B7E78">
      <w:rPr>
        <w:rFonts w:ascii="Calibri" w:hAnsi="Calibri" w:cs="Calibri"/>
        <w:sz w:val="18"/>
        <w:szCs w:val="18"/>
      </w:rPr>
      <w:fldChar w:fldCharType="separate"/>
    </w:r>
    <w:r>
      <w:rPr>
        <w:rFonts w:ascii="Calibri" w:hAnsi="Calibri" w:cs="Calibri"/>
        <w:sz w:val="18"/>
        <w:szCs w:val="18"/>
      </w:rPr>
      <w:t>1</w:t>
    </w:r>
    <w:r w:rsidRPr="001B7E78">
      <w:rPr>
        <w:rFonts w:ascii="Calibri" w:hAnsi="Calibri" w:cs="Calibri"/>
        <w:sz w:val="18"/>
        <w:szCs w:val="18"/>
      </w:rPr>
      <w:fldChar w:fldCharType="end"/>
    </w:r>
    <w:r w:rsidRPr="001B7E78">
      <w:rPr>
        <w:rFonts w:ascii="Calibri" w:hAnsi="Calibri" w:cs="Calibri"/>
        <w:sz w:val="18"/>
        <w:szCs w:val="18"/>
      </w:rPr>
      <w:t xml:space="preserve"> of </w:t>
    </w:r>
    <w:r w:rsidRPr="001B7E78">
      <w:rPr>
        <w:rFonts w:ascii="Calibri" w:hAnsi="Calibri" w:cs="Calibri"/>
        <w:sz w:val="18"/>
        <w:szCs w:val="18"/>
      </w:rPr>
      <w:fldChar w:fldCharType="begin"/>
    </w:r>
    <w:r w:rsidRPr="001B7E78">
      <w:rPr>
        <w:rFonts w:ascii="Calibri" w:hAnsi="Calibri" w:cs="Calibri"/>
        <w:sz w:val="18"/>
        <w:szCs w:val="18"/>
      </w:rPr>
      <w:instrText xml:space="preserve"> NUMPAGES </w:instrText>
    </w:r>
    <w:r w:rsidRPr="001B7E78">
      <w:rPr>
        <w:rFonts w:ascii="Calibri" w:hAnsi="Calibri" w:cs="Calibri"/>
        <w:sz w:val="18"/>
        <w:szCs w:val="18"/>
      </w:rPr>
      <w:fldChar w:fldCharType="separate"/>
    </w:r>
    <w:r>
      <w:rPr>
        <w:rFonts w:ascii="Calibri" w:hAnsi="Calibri" w:cs="Calibri"/>
        <w:sz w:val="18"/>
        <w:szCs w:val="18"/>
      </w:rPr>
      <w:t>4</w:t>
    </w:r>
    <w:r w:rsidRPr="001B7E78">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6A7B" w14:textId="77777777" w:rsidR="00045670" w:rsidRDefault="00DA46EB">
      <w:pPr>
        <w:spacing w:after="0" w:line="240" w:lineRule="auto"/>
      </w:pPr>
      <w:r>
        <w:separator/>
      </w:r>
    </w:p>
  </w:footnote>
  <w:footnote w:type="continuationSeparator" w:id="0">
    <w:p w14:paraId="6DD6B125" w14:textId="77777777" w:rsidR="00045670" w:rsidRDefault="00DA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9AEF" w14:textId="097C51F4" w:rsidR="00A234CF" w:rsidRPr="00FE7C97" w:rsidRDefault="00A234CF" w:rsidP="00A234CF">
    <w:pPr>
      <w:pStyle w:val="Header"/>
      <w:jc w:val="right"/>
      <w:rPr>
        <w:rFonts w:ascii="Calibri" w:hAnsi="Calibri" w:cs="Calibri"/>
      </w:rPr>
    </w:pPr>
    <w:r w:rsidRPr="00FE7C97">
      <w:rPr>
        <w:rFonts w:ascii="Calibri" w:hAnsi="Calibri" w:cs="Calibri"/>
      </w:rPr>
      <w:t>2/1</w:t>
    </w:r>
    <w:r w:rsidR="00132F1E">
      <w:rPr>
        <w:rFonts w:ascii="Calibri" w:hAnsi="Calibri" w:cs="Calibri"/>
      </w:rPr>
      <w:t>7</w:t>
    </w:r>
    <w:r w:rsidRPr="00FE7C97">
      <w:rPr>
        <w:rFonts w:ascii="Calibri" w:hAnsi="Calibri" w:cs="Calibri"/>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5E2E"/>
    <w:multiLevelType w:val="hybridMultilevel"/>
    <w:tmpl w:val="4AFE70E8"/>
    <w:lvl w:ilvl="0" w:tplc="7B0E5E34">
      <w:start w:val="1"/>
      <w:numFmt w:val="decimal"/>
      <w:lvlText w:val="%1."/>
      <w:lvlJc w:val="left"/>
      <w:pPr>
        <w:tabs>
          <w:tab w:val="num" w:pos="1440"/>
        </w:tabs>
        <w:ind w:left="1800" w:hanging="360"/>
      </w:pPr>
      <w:rPr>
        <w:rFonts w:ascii="Arial" w:hAnsi="Arial" w:cs="Arial" w:hint="default"/>
      </w:rPr>
    </w:lvl>
    <w:lvl w:ilvl="1" w:tplc="61E27C4A">
      <w:start w:val="1"/>
      <w:numFmt w:val="lowerLetter"/>
      <w:lvlText w:val="%2."/>
      <w:lvlJc w:val="left"/>
      <w:pPr>
        <w:tabs>
          <w:tab w:val="num" w:pos="2880"/>
        </w:tabs>
        <w:ind w:left="2880" w:hanging="360"/>
      </w:pPr>
      <w:rPr>
        <w:rFonts w:ascii="Times New Roman" w:hAnsi="Times New Roman" w:cs="Times New Roman" w:hint="default"/>
      </w:rPr>
    </w:lvl>
    <w:lvl w:ilvl="2" w:tplc="9B104F86">
      <w:start w:val="2"/>
      <w:numFmt w:val="upperLetter"/>
      <w:lvlText w:val="%3."/>
      <w:lvlJc w:val="left"/>
      <w:pPr>
        <w:tabs>
          <w:tab w:val="num" w:pos="3780"/>
        </w:tabs>
        <w:ind w:left="3780" w:hanging="360"/>
      </w:pPr>
      <w:rPr>
        <w:rFonts w:ascii="Times New Roman" w:hAnsi="Times New Roman" w:cs="Times New Roman" w:hint="default"/>
      </w:rPr>
    </w:lvl>
    <w:lvl w:ilvl="3" w:tplc="0409000F">
      <w:start w:val="1"/>
      <w:numFmt w:val="decimal"/>
      <w:lvlText w:val="%4."/>
      <w:lvlJc w:val="left"/>
      <w:pPr>
        <w:tabs>
          <w:tab w:val="num" w:pos="4320"/>
        </w:tabs>
        <w:ind w:left="4320" w:hanging="360"/>
      </w:pPr>
      <w:rPr>
        <w:rFonts w:ascii="Times New Roman" w:hAnsi="Times New Roman" w:cs="Times New Roman"/>
      </w:rPr>
    </w:lvl>
    <w:lvl w:ilvl="4" w:tplc="04090019">
      <w:start w:val="1"/>
      <w:numFmt w:val="lowerLetter"/>
      <w:lvlText w:val="%5."/>
      <w:lvlJc w:val="left"/>
      <w:pPr>
        <w:tabs>
          <w:tab w:val="num" w:pos="5040"/>
        </w:tabs>
        <w:ind w:left="5040" w:hanging="360"/>
      </w:pPr>
      <w:rPr>
        <w:rFonts w:ascii="Times New Roman" w:hAnsi="Times New Roman" w:cs="Times New Roman"/>
      </w:rPr>
    </w:lvl>
    <w:lvl w:ilvl="5" w:tplc="0409001B">
      <w:start w:val="1"/>
      <w:numFmt w:val="lowerRoman"/>
      <w:lvlText w:val="%6."/>
      <w:lvlJc w:val="right"/>
      <w:pPr>
        <w:tabs>
          <w:tab w:val="num" w:pos="5760"/>
        </w:tabs>
        <w:ind w:left="5760" w:hanging="180"/>
      </w:pPr>
      <w:rPr>
        <w:rFonts w:ascii="Times New Roman" w:hAnsi="Times New Roman" w:cs="Times New Roman"/>
      </w:rPr>
    </w:lvl>
    <w:lvl w:ilvl="6" w:tplc="0409000F">
      <w:start w:val="1"/>
      <w:numFmt w:val="decimal"/>
      <w:lvlText w:val="%7."/>
      <w:lvlJc w:val="left"/>
      <w:pPr>
        <w:tabs>
          <w:tab w:val="num" w:pos="6480"/>
        </w:tabs>
        <w:ind w:left="6480" w:hanging="360"/>
      </w:pPr>
      <w:rPr>
        <w:rFonts w:ascii="Times New Roman" w:hAnsi="Times New Roman" w:cs="Times New Roman"/>
      </w:rPr>
    </w:lvl>
    <w:lvl w:ilvl="7" w:tplc="04090019">
      <w:start w:val="1"/>
      <w:numFmt w:val="lowerLetter"/>
      <w:lvlText w:val="%8."/>
      <w:lvlJc w:val="left"/>
      <w:pPr>
        <w:tabs>
          <w:tab w:val="num" w:pos="7200"/>
        </w:tabs>
        <w:ind w:left="7200" w:hanging="360"/>
      </w:pPr>
      <w:rPr>
        <w:rFonts w:ascii="Times New Roman" w:hAnsi="Times New Roman" w:cs="Times New Roman"/>
      </w:rPr>
    </w:lvl>
    <w:lvl w:ilvl="8" w:tplc="0409001B">
      <w:start w:val="1"/>
      <w:numFmt w:val="lowerRoman"/>
      <w:lvlText w:val="%9."/>
      <w:lvlJc w:val="right"/>
      <w:pPr>
        <w:tabs>
          <w:tab w:val="num" w:pos="7920"/>
        </w:tabs>
        <w:ind w:left="7920" w:hanging="180"/>
      </w:pPr>
      <w:rPr>
        <w:rFonts w:ascii="Times New Roman" w:hAnsi="Times New Roman" w:cs="Times New Roman"/>
      </w:rPr>
    </w:lvl>
  </w:abstractNum>
  <w:abstractNum w:abstractNumId="1" w15:restartNumberingAfterBreak="0">
    <w:nsid w:val="2BF51FB7"/>
    <w:multiLevelType w:val="hybridMultilevel"/>
    <w:tmpl w:val="7A049138"/>
    <w:lvl w:ilvl="0" w:tplc="04090015">
      <w:start w:val="1"/>
      <w:numFmt w:val="upperLetter"/>
      <w:lvlText w:val="%1."/>
      <w:lvlJc w:val="left"/>
      <w:pPr>
        <w:ind w:left="1800" w:hanging="360"/>
      </w:pPr>
      <w:rPr>
        <w:rFonts w:ascii="Times New Roman" w:hAnsi="Times New Roman" w:cs="Times New Roman"/>
      </w:rPr>
    </w:lvl>
    <w:lvl w:ilvl="1" w:tplc="04090019">
      <w:start w:val="1"/>
      <w:numFmt w:val="lowerLetter"/>
      <w:lvlText w:val="%2."/>
      <w:lvlJc w:val="left"/>
      <w:pPr>
        <w:ind w:left="2520" w:hanging="360"/>
      </w:pPr>
      <w:rPr>
        <w:rFonts w:ascii="Times New Roman" w:hAnsi="Times New Roman" w:cs="Times New Roman"/>
      </w:rPr>
    </w:lvl>
    <w:lvl w:ilvl="2" w:tplc="7F5A322C">
      <w:start w:val="1"/>
      <w:numFmt w:val="upperLetter"/>
      <w:lvlText w:val="%3."/>
      <w:lvlJc w:val="left"/>
      <w:pPr>
        <w:ind w:left="3240" w:hanging="180"/>
      </w:pPr>
      <w:rPr>
        <w:rFonts w:ascii="Arial" w:hAnsi="Arial" w:cs="Arial" w:hint="default"/>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2" w15:restartNumberingAfterBreak="0">
    <w:nsid w:val="303350FD"/>
    <w:multiLevelType w:val="hybridMultilevel"/>
    <w:tmpl w:val="815C12CC"/>
    <w:lvl w:ilvl="0" w:tplc="F3324F62">
      <w:start w:val="1"/>
      <w:numFmt w:val="upperLetter"/>
      <w:lvlText w:val="%1."/>
      <w:lvlJc w:val="left"/>
      <w:pPr>
        <w:ind w:left="360" w:hanging="360"/>
      </w:pPr>
      <w:rPr>
        <w:rFonts w:ascii="Arial" w:hAnsi="Arial" w:cs="Arial" w:hint="default"/>
      </w:rPr>
    </w:lvl>
    <w:lvl w:ilvl="1" w:tplc="B2F875D2">
      <w:start w:val="1"/>
      <w:numFmt w:val="decimal"/>
      <w:lvlText w:val="%2."/>
      <w:lvlJc w:val="left"/>
      <w:pPr>
        <w:tabs>
          <w:tab w:val="num" w:pos="1440"/>
        </w:tabs>
        <w:ind w:left="1080" w:hanging="360"/>
      </w:pPr>
      <w:rPr>
        <w:rFonts w:hint="default"/>
      </w:rPr>
    </w:lvl>
    <w:lvl w:ilvl="2" w:tplc="0CF8D61E">
      <w:start w:val="1"/>
      <w:numFmt w:val="upperRoman"/>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04878FD"/>
    <w:multiLevelType w:val="hybridMultilevel"/>
    <w:tmpl w:val="A7BE93BE"/>
    <w:lvl w:ilvl="0" w:tplc="B20E69F0">
      <w:start w:val="1"/>
      <w:numFmt w:val="decimal"/>
      <w:lvlText w:val="%1."/>
      <w:lvlJc w:val="left"/>
      <w:pPr>
        <w:ind w:left="1800" w:hanging="360"/>
      </w:pPr>
      <w:rPr>
        <w:rFonts w:hint="default"/>
      </w:rPr>
    </w:lvl>
    <w:lvl w:ilvl="1" w:tplc="04090019">
      <w:start w:val="1"/>
      <w:numFmt w:val="lowerLetter"/>
      <w:lvlText w:val="%2."/>
      <w:lvlJc w:val="left"/>
      <w:pPr>
        <w:ind w:left="2880" w:hanging="360"/>
      </w:pPr>
      <w:rPr>
        <w:rFonts w:ascii="Times New Roman" w:hAnsi="Times New Roman" w:cs="Times New Roman"/>
      </w:rPr>
    </w:lvl>
    <w:lvl w:ilvl="2" w:tplc="0409001B">
      <w:start w:val="1"/>
      <w:numFmt w:val="lowerRoman"/>
      <w:lvlText w:val="%3."/>
      <w:lvlJc w:val="right"/>
      <w:pPr>
        <w:ind w:left="3600" w:hanging="180"/>
      </w:pPr>
      <w:rPr>
        <w:rFonts w:ascii="Times New Roman" w:hAnsi="Times New Roman" w:cs="Times New Roman"/>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4" w15:restartNumberingAfterBreak="0">
    <w:nsid w:val="36797F63"/>
    <w:multiLevelType w:val="hybridMultilevel"/>
    <w:tmpl w:val="03F06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DB36D7"/>
    <w:multiLevelType w:val="multilevel"/>
    <w:tmpl w:val="DB5E63E4"/>
    <w:lvl w:ilvl="0">
      <w:start w:val="1"/>
      <w:numFmt w:val="upperRoman"/>
      <w:lvlText w:val="%1."/>
      <w:lvlJc w:val="right"/>
      <w:pPr>
        <w:ind w:left="720" w:hanging="360"/>
      </w:pPr>
      <w:rPr>
        <w:rFonts w:hint="default"/>
        <w:b/>
        <w:i w:val="0"/>
      </w:rPr>
    </w:lvl>
    <w:lvl w:ilvl="1">
      <w:start w:val="1"/>
      <w:numFmt w:val="upperLetter"/>
      <w:lvlText w:val="%2."/>
      <w:lvlJc w:val="right"/>
      <w:pPr>
        <w:ind w:left="1080" w:hanging="360"/>
      </w:pPr>
      <w:rPr>
        <w:rFonts w:ascii="Calibri" w:eastAsiaTheme="minorHAnsi" w:hAnsi="Calibri" w:cs="Calibri"/>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tabs>
          <w:tab w:val="num" w:pos="5472"/>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B713126"/>
    <w:multiLevelType w:val="hybridMultilevel"/>
    <w:tmpl w:val="745A34B8"/>
    <w:lvl w:ilvl="0" w:tplc="298AE394">
      <w:start w:val="1"/>
      <w:numFmt w:val="decimal"/>
      <w:lvlText w:val="%1."/>
      <w:lvlJc w:val="left"/>
      <w:pPr>
        <w:tabs>
          <w:tab w:val="num" w:pos="1800"/>
        </w:tabs>
        <w:ind w:left="1800" w:hanging="360"/>
      </w:pPr>
      <w:rPr>
        <w:rFonts w:ascii="Times New Roman" w:hAnsi="Times New Roman"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7" w15:restartNumberingAfterBreak="0">
    <w:nsid w:val="5687389E"/>
    <w:multiLevelType w:val="hybridMultilevel"/>
    <w:tmpl w:val="92542AFC"/>
    <w:lvl w:ilvl="0" w:tplc="9F38A9C8">
      <w:start w:val="1"/>
      <w:numFmt w:val="upperLetter"/>
      <w:lvlText w:val="%1."/>
      <w:lvlJc w:val="left"/>
      <w:pPr>
        <w:tabs>
          <w:tab w:val="num" w:pos="1800"/>
        </w:tabs>
        <w:ind w:left="108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97F51"/>
    <w:multiLevelType w:val="hybridMultilevel"/>
    <w:tmpl w:val="4A0891EE"/>
    <w:lvl w:ilvl="0" w:tplc="9F38A9C8">
      <w:start w:val="1"/>
      <w:numFmt w:val="upperLetter"/>
      <w:lvlText w:val="%1."/>
      <w:lvlJc w:val="left"/>
      <w:pPr>
        <w:tabs>
          <w:tab w:val="num" w:pos="1800"/>
        </w:tabs>
        <w:ind w:left="108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372B"/>
    <w:multiLevelType w:val="hybridMultilevel"/>
    <w:tmpl w:val="F050D570"/>
    <w:lvl w:ilvl="0" w:tplc="0409000F">
      <w:start w:val="1"/>
      <w:numFmt w:val="decimal"/>
      <w:lvlText w:val="%1."/>
      <w:lvlJc w:val="left"/>
      <w:pPr>
        <w:ind w:left="2160" w:hanging="360"/>
      </w:pPr>
      <w:rPr>
        <w:rFonts w:ascii="Times New Roman" w:hAnsi="Times New Roman" w:cs="Times New Roman"/>
      </w:rPr>
    </w:lvl>
    <w:lvl w:ilvl="1" w:tplc="04090019">
      <w:start w:val="1"/>
      <w:numFmt w:val="lowerLetter"/>
      <w:lvlText w:val="%2."/>
      <w:lvlJc w:val="left"/>
      <w:pPr>
        <w:ind w:left="2880" w:hanging="360"/>
      </w:pPr>
      <w:rPr>
        <w:rFonts w:ascii="Times New Roman" w:hAnsi="Times New Roman" w:cs="Times New Roman"/>
      </w:rPr>
    </w:lvl>
    <w:lvl w:ilvl="2" w:tplc="A210AE96">
      <w:start w:val="1"/>
      <w:numFmt w:val="decimal"/>
      <w:lvlText w:val="%3."/>
      <w:lvlJc w:val="left"/>
      <w:pPr>
        <w:ind w:left="3600" w:hanging="180"/>
      </w:pPr>
      <w:rPr>
        <w:rFonts w:ascii="Arial" w:hAnsi="Arial" w:cs="Arial" w:hint="default"/>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10" w15:restartNumberingAfterBreak="0">
    <w:nsid w:val="7CA46855"/>
    <w:multiLevelType w:val="hybridMultilevel"/>
    <w:tmpl w:val="9AF65524"/>
    <w:lvl w:ilvl="0" w:tplc="51CA01AA">
      <w:start w:val="6"/>
      <w:numFmt w:val="upperRoman"/>
      <w:lvlText w:val="%1."/>
      <w:lvlJc w:val="left"/>
      <w:pPr>
        <w:tabs>
          <w:tab w:val="num" w:pos="1080"/>
        </w:tabs>
        <w:ind w:left="1080" w:hanging="72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C826F5D4">
      <w:start w:val="1"/>
      <w:numFmt w:val="upperLetter"/>
      <w:lvlText w:val="%3."/>
      <w:lvlJc w:val="left"/>
      <w:pPr>
        <w:tabs>
          <w:tab w:val="num" w:pos="2340"/>
        </w:tabs>
        <w:ind w:left="2340" w:hanging="360"/>
      </w:pPr>
      <w:rPr>
        <w:rFonts w:ascii="Arial" w:hAnsi="Arial" w:cs="Arial" w:hint="default"/>
        <w:b w:val="0"/>
      </w:rPr>
    </w:lvl>
    <w:lvl w:ilvl="3" w:tplc="0409000F">
      <w:start w:val="1"/>
      <w:numFmt w:val="decimal"/>
      <w:lvlText w:val="%4."/>
      <w:lvlJc w:val="left"/>
      <w:pPr>
        <w:tabs>
          <w:tab w:val="num" w:pos="2880"/>
        </w:tabs>
        <w:ind w:left="2880" w:hanging="360"/>
      </w:pPr>
      <w:rPr>
        <w:rFonts w:ascii="Times New Roman" w:hAnsi="Times New Roman" w:cs="Times New Roman"/>
      </w:rPr>
    </w:lvl>
    <w:lvl w:ilvl="4" w:tplc="77BA77E8">
      <w:start w:val="1"/>
      <w:numFmt w:val="lowerLetter"/>
      <w:lvlText w:val="%5."/>
      <w:lvlJc w:val="left"/>
      <w:pPr>
        <w:tabs>
          <w:tab w:val="num" w:pos="3600"/>
        </w:tabs>
        <w:ind w:left="3600" w:hanging="360"/>
      </w:pPr>
      <w:rPr>
        <w:rFonts w:ascii="Arial" w:eastAsia="Times New Roman" w:hAnsi="Arial" w:cs="Arial"/>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7D893776"/>
    <w:multiLevelType w:val="hybridMultilevel"/>
    <w:tmpl w:val="79427FF8"/>
    <w:lvl w:ilvl="0" w:tplc="741A6FBC">
      <w:start w:val="1"/>
      <w:numFmt w:val="upperRoman"/>
      <w:lvlText w:val="%1."/>
      <w:lvlJc w:val="left"/>
      <w:pPr>
        <w:tabs>
          <w:tab w:val="num" w:pos="1080"/>
        </w:tabs>
        <w:ind w:left="720" w:hanging="720"/>
      </w:pPr>
      <w:rPr>
        <w:rFonts w:ascii="Arial" w:hAnsi="Arial" w:cs="Arial" w:hint="default"/>
      </w:rPr>
    </w:lvl>
    <w:lvl w:ilvl="1" w:tplc="9F38A9C8">
      <w:start w:val="1"/>
      <w:numFmt w:val="upperLetter"/>
      <w:lvlText w:val="%2."/>
      <w:lvlJc w:val="left"/>
      <w:pPr>
        <w:tabs>
          <w:tab w:val="num" w:pos="1800"/>
        </w:tabs>
        <w:ind w:left="1080" w:hanging="360"/>
      </w:pPr>
      <w:rPr>
        <w:rFonts w:ascii="Arial" w:eastAsia="Times New Roman" w:hAnsi="Arial" w:cs="Arial" w:hint="default"/>
        <w:b w:val="0"/>
      </w:rPr>
    </w:lvl>
    <w:lvl w:ilvl="2" w:tplc="CEBC925C">
      <w:start w:val="1"/>
      <w:numFmt w:val="decimal"/>
      <w:lvlText w:val="%3."/>
      <w:lvlJc w:val="left"/>
      <w:pPr>
        <w:tabs>
          <w:tab w:val="num" w:pos="15840"/>
        </w:tabs>
        <w:ind w:left="1800" w:hanging="360"/>
      </w:pPr>
      <w:rPr>
        <w:rFonts w:ascii="Arial" w:hAnsi="Arial" w:cs="Arial" w:hint="default"/>
        <w:sz w:val="20"/>
        <w:szCs w:val="20"/>
      </w:rPr>
    </w:lvl>
    <w:lvl w:ilvl="3" w:tplc="C0389FD0">
      <w:start w:val="1"/>
      <w:numFmt w:val="lowerLetter"/>
      <w:lvlText w:val="%4."/>
      <w:lvlJc w:val="left"/>
      <w:pPr>
        <w:tabs>
          <w:tab w:val="num" w:pos="2880"/>
        </w:tabs>
        <w:ind w:left="2520" w:hanging="360"/>
      </w:pPr>
      <w:rPr>
        <w:rFonts w:hint="default"/>
        <w:b w:val="0"/>
      </w:rPr>
    </w:lvl>
    <w:lvl w:ilvl="4" w:tplc="AD2603E4">
      <w:start w:val="1"/>
      <w:numFmt w:val="upperLetter"/>
      <w:lvlText w:val="%5."/>
      <w:lvlJc w:val="left"/>
      <w:pPr>
        <w:tabs>
          <w:tab w:val="num" w:pos="1620"/>
        </w:tabs>
        <w:ind w:left="1620" w:hanging="360"/>
      </w:pPr>
      <w:rPr>
        <w:rFonts w:ascii="Arial" w:hAnsi="Arial" w:cs="Arial"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42364634">
    <w:abstractNumId w:val="11"/>
  </w:num>
  <w:num w:numId="2" w16cid:durableId="1501117015">
    <w:abstractNumId w:val="0"/>
  </w:num>
  <w:num w:numId="3" w16cid:durableId="1779064012">
    <w:abstractNumId w:val="2"/>
  </w:num>
  <w:num w:numId="4" w16cid:durableId="1949846950">
    <w:abstractNumId w:val="6"/>
  </w:num>
  <w:num w:numId="5" w16cid:durableId="303773920">
    <w:abstractNumId w:val="10"/>
  </w:num>
  <w:num w:numId="6" w16cid:durableId="582448371">
    <w:abstractNumId w:val="3"/>
  </w:num>
  <w:num w:numId="7" w16cid:durableId="1348754606">
    <w:abstractNumId w:val="9"/>
  </w:num>
  <w:num w:numId="8" w16cid:durableId="904343499">
    <w:abstractNumId w:val="1"/>
  </w:num>
  <w:num w:numId="9" w16cid:durableId="1593466923">
    <w:abstractNumId w:val="4"/>
  </w:num>
  <w:num w:numId="10" w16cid:durableId="446507496">
    <w:abstractNumId w:val="7"/>
  </w:num>
  <w:num w:numId="11" w16cid:durableId="531386315">
    <w:abstractNumId w:val="8"/>
  </w:num>
  <w:num w:numId="12" w16cid:durableId="909845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445"/>
    <w:rsid w:val="00002F2A"/>
    <w:rsid w:val="0004070F"/>
    <w:rsid w:val="00045670"/>
    <w:rsid w:val="00052576"/>
    <w:rsid w:val="00057599"/>
    <w:rsid w:val="000B1E2C"/>
    <w:rsid w:val="000C30E0"/>
    <w:rsid w:val="001025AE"/>
    <w:rsid w:val="00130FE3"/>
    <w:rsid w:val="00132F1E"/>
    <w:rsid w:val="0014705C"/>
    <w:rsid w:val="00196EA9"/>
    <w:rsid w:val="001C312B"/>
    <w:rsid w:val="001D1445"/>
    <w:rsid w:val="001D6D5C"/>
    <w:rsid w:val="001F1E34"/>
    <w:rsid w:val="0020298D"/>
    <w:rsid w:val="0021104E"/>
    <w:rsid w:val="00260364"/>
    <w:rsid w:val="00277887"/>
    <w:rsid w:val="002D30D0"/>
    <w:rsid w:val="002D49FD"/>
    <w:rsid w:val="002E072B"/>
    <w:rsid w:val="00311E69"/>
    <w:rsid w:val="003938C5"/>
    <w:rsid w:val="003A2774"/>
    <w:rsid w:val="003D295B"/>
    <w:rsid w:val="003E17D2"/>
    <w:rsid w:val="003F5E24"/>
    <w:rsid w:val="0040446A"/>
    <w:rsid w:val="004454AB"/>
    <w:rsid w:val="00446D0B"/>
    <w:rsid w:val="004510A2"/>
    <w:rsid w:val="004A186D"/>
    <w:rsid w:val="004A5795"/>
    <w:rsid w:val="00501F65"/>
    <w:rsid w:val="005033A7"/>
    <w:rsid w:val="00581B23"/>
    <w:rsid w:val="005A731B"/>
    <w:rsid w:val="005B7DBE"/>
    <w:rsid w:val="005C1479"/>
    <w:rsid w:val="00622F88"/>
    <w:rsid w:val="00645520"/>
    <w:rsid w:val="00655F2D"/>
    <w:rsid w:val="006845BB"/>
    <w:rsid w:val="006C456A"/>
    <w:rsid w:val="006D1268"/>
    <w:rsid w:val="00710B68"/>
    <w:rsid w:val="00734C65"/>
    <w:rsid w:val="007503A1"/>
    <w:rsid w:val="007737DE"/>
    <w:rsid w:val="00777B54"/>
    <w:rsid w:val="00785B8B"/>
    <w:rsid w:val="007C4902"/>
    <w:rsid w:val="007C794D"/>
    <w:rsid w:val="007E43F9"/>
    <w:rsid w:val="007F4BBB"/>
    <w:rsid w:val="007F5B38"/>
    <w:rsid w:val="00803F46"/>
    <w:rsid w:val="00811FD0"/>
    <w:rsid w:val="00820660"/>
    <w:rsid w:val="00856B81"/>
    <w:rsid w:val="00861FEA"/>
    <w:rsid w:val="008644C8"/>
    <w:rsid w:val="00866E68"/>
    <w:rsid w:val="00890172"/>
    <w:rsid w:val="00894E12"/>
    <w:rsid w:val="0091391B"/>
    <w:rsid w:val="00923DF4"/>
    <w:rsid w:val="00933B5C"/>
    <w:rsid w:val="00935E0B"/>
    <w:rsid w:val="009620F7"/>
    <w:rsid w:val="00963D6E"/>
    <w:rsid w:val="00991F5C"/>
    <w:rsid w:val="009B3AF6"/>
    <w:rsid w:val="00A121A2"/>
    <w:rsid w:val="00A234CF"/>
    <w:rsid w:val="00A53A3B"/>
    <w:rsid w:val="00A56C05"/>
    <w:rsid w:val="00AA053E"/>
    <w:rsid w:val="00AE7218"/>
    <w:rsid w:val="00B14455"/>
    <w:rsid w:val="00B277B7"/>
    <w:rsid w:val="00B64213"/>
    <w:rsid w:val="00B71D6D"/>
    <w:rsid w:val="00B77B64"/>
    <w:rsid w:val="00B95A04"/>
    <w:rsid w:val="00BC0E2C"/>
    <w:rsid w:val="00BE23A4"/>
    <w:rsid w:val="00BE6A61"/>
    <w:rsid w:val="00C0505A"/>
    <w:rsid w:val="00C24621"/>
    <w:rsid w:val="00C2767C"/>
    <w:rsid w:val="00C60019"/>
    <w:rsid w:val="00C87835"/>
    <w:rsid w:val="00CA5551"/>
    <w:rsid w:val="00D65835"/>
    <w:rsid w:val="00D84F2B"/>
    <w:rsid w:val="00DA46EB"/>
    <w:rsid w:val="00DA6B90"/>
    <w:rsid w:val="00DD3269"/>
    <w:rsid w:val="00EF7462"/>
    <w:rsid w:val="00F17C6E"/>
    <w:rsid w:val="00F5658C"/>
    <w:rsid w:val="00F70BC2"/>
    <w:rsid w:val="00F72A01"/>
    <w:rsid w:val="00FA3527"/>
    <w:rsid w:val="00FA6886"/>
    <w:rsid w:val="00FC5C8B"/>
    <w:rsid w:val="00FD4ABA"/>
    <w:rsid w:val="00FD4F02"/>
    <w:rsid w:val="00FE7C97"/>
    <w:rsid w:val="00FF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9920124"/>
  <w15:docId w15:val="{B15988CE-2BC9-4AE4-827F-2E706AF1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44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D1445"/>
    <w:rPr>
      <w:rFonts w:ascii="Times New Roman" w:eastAsia="Times New Roman" w:hAnsi="Times New Roman" w:cs="Times New Roman"/>
      <w:sz w:val="24"/>
      <w:szCs w:val="24"/>
    </w:rPr>
  </w:style>
  <w:style w:type="paragraph" w:styleId="Footer">
    <w:name w:val="footer"/>
    <w:basedOn w:val="Normal"/>
    <w:link w:val="FooterChar"/>
    <w:uiPriority w:val="99"/>
    <w:rsid w:val="001D144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D14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0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FE3"/>
    <w:rPr>
      <w:rFonts w:ascii="Tahoma" w:hAnsi="Tahoma" w:cs="Tahoma"/>
      <w:sz w:val="16"/>
      <w:szCs w:val="16"/>
    </w:rPr>
  </w:style>
  <w:style w:type="paragraph" w:styleId="ListParagraph">
    <w:name w:val="List Paragraph"/>
    <w:basedOn w:val="Normal"/>
    <w:uiPriority w:val="34"/>
    <w:qFormat/>
    <w:rsid w:val="00002F2A"/>
    <w:pPr>
      <w:ind w:left="720"/>
      <w:contextualSpacing/>
    </w:pPr>
  </w:style>
  <w:style w:type="character" w:styleId="Hyperlink">
    <w:name w:val="Hyperlink"/>
    <w:basedOn w:val="DefaultParagraphFont"/>
    <w:uiPriority w:val="99"/>
    <w:unhideWhenUsed/>
    <w:rsid w:val="00894E12"/>
    <w:rPr>
      <w:color w:val="0000FF" w:themeColor="hyperlink"/>
      <w:u w:val="single"/>
    </w:rPr>
  </w:style>
  <w:style w:type="character" w:styleId="UnresolvedMention">
    <w:name w:val="Unresolved Mention"/>
    <w:basedOn w:val="DefaultParagraphFont"/>
    <w:uiPriority w:val="99"/>
    <w:semiHidden/>
    <w:unhideWhenUsed/>
    <w:rsid w:val="00894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1307</Words>
  <Characters>7322</Characters>
  <Application>Microsoft Office Word</Application>
  <DocSecurity>0</DocSecurity>
  <Lines>174</Lines>
  <Paragraphs>128</Paragraphs>
  <ScaleCrop>false</ScaleCrop>
  <HeadingPairs>
    <vt:vector size="2" baseType="variant">
      <vt:variant>
        <vt:lpstr>Title</vt:lpstr>
      </vt:variant>
      <vt:variant>
        <vt:i4>1</vt:i4>
      </vt:variant>
    </vt:vector>
  </HeadingPairs>
  <TitlesOfParts>
    <vt:vector size="1" baseType="lpstr">
      <vt:lpstr/>
    </vt:vector>
  </TitlesOfParts>
  <Company>Lifespan</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Andrade, Melissa</dc:creator>
  <cp:lastModifiedBy>Chargualaf, Tiffany L</cp:lastModifiedBy>
  <cp:revision>8</cp:revision>
  <cp:lastPrinted>2026-02-18T21:56:00Z</cp:lastPrinted>
  <dcterms:created xsi:type="dcterms:W3CDTF">2026-02-16T16:41:00Z</dcterms:created>
  <dcterms:modified xsi:type="dcterms:W3CDTF">2026-02-18T22:06:00Z</dcterms:modified>
</cp:coreProperties>
</file>