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5A636821" w:rsidR="002D5C56" w:rsidRPr="005264C8" w:rsidRDefault="00312561" w:rsidP="00E71E50">
            <w:pPr>
              <w:pStyle w:val="Header"/>
              <w:tabs>
                <w:tab w:val="clear" w:pos="4320"/>
                <w:tab w:val="clear" w:pos="8640"/>
              </w:tabs>
              <w:jc w:val="center"/>
              <w:rPr>
                <w:smallCaps/>
                <w:sz w:val="22"/>
                <w:szCs w:val="22"/>
              </w:rPr>
            </w:pPr>
            <w:r>
              <w:rPr>
                <w:b/>
                <w:smallCaps/>
                <w:sz w:val="22"/>
                <w:szCs w:val="22"/>
              </w:rPr>
              <w:t>June 4</w:t>
            </w:r>
            <w:r w:rsidR="00204A84">
              <w:rPr>
                <w:b/>
                <w:smallCaps/>
                <w:sz w:val="22"/>
                <w:szCs w:val="22"/>
              </w:rPr>
              <w:t>, 2024</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A814D7" w14:paraId="2CB6CEFC" w14:textId="77777777" w:rsidTr="00FA4709">
        <w:tc>
          <w:tcPr>
            <w:tcW w:w="445" w:type="dxa"/>
          </w:tcPr>
          <w:p w14:paraId="778BBB34" w14:textId="33745D33"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699B17A" w14:textId="35BAF299" w:rsidR="00A814D7" w:rsidRDefault="00A814D7" w:rsidP="00A814D7">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4CAEAE05" w:rsidR="00A814D7" w:rsidRDefault="00A814D7" w:rsidP="00A814D7">
            <w:pPr>
              <w:pStyle w:val="Header"/>
              <w:tabs>
                <w:tab w:val="clear" w:pos="4320"/>
                <w:tab w:val="clear" w:pos="8640"/>
              </w:tabs>
              <w:jc w:val="center"/>
              <w:rPr>
                <w:rFonts w:cs="Tahoma"/>
                <w:smallCaps/>
                <w:lang w:val="it-IT"/>
              </w:rPr>
            </w:pPr>
          </w:p>
        </w:tc>
        <w:tc>
          <w:tcPr>
            <w:tcW w:w="2733" w:type="dxa"/>
          </w:tcPr>
          <w:p w14:paraId="0931D04C" w14:textId="7DEB86F4" w:rsidR="00A814D7" w:rsidRDefault="00A814D7" w:rsidP="00A814D7">
            <w:pPr>
              <w:pStyle w:val="Header"/>
              <w:tabs>
                <w:tab w:val="clear" w:pos="4320"/>
                <w:tab w:val="clear" w:pos="8640"/>
              </w:tabs>
              <w:rPr>
                <w:rFonts w:cs="Tahoma"/>
                <w:smallCaps/>
                <w:lang w:val="it-IT"/>
              </w:rPr>
            </w:pPr>
            <w:r>
              <w:rPr>
                <w:rFonts w:cs="Tahoma"/>
                <w:smallCaps/>
                <w:lang w:val="it-IT"/>
              </w:rPr>
              <w:t>Bilen Gebresenbet</w:t>
            </w:r>
          </w:p>
        </w:tc>
        <w:tc>
          <w:tcPr>
            <w:tcW w:w="417" w:type="dxa"/>
          </w:tcPr>
          <w:p w14:paraId="571096C0" w14:textId="6E83056F"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327424DC" w14:textId="0E73913E" w:rsidR="00A814D7" w:rsidRDefault="00A814D7" w:rsidP="00A814D7">
            <w:pPr>
              <w:pStyle w:val="Header"/>
              <w:tabs>
                <w:tab w:val="clear" w:pos="4320"/>
                <w:tab w:val="clear" w:pos="8640"/>
              </w:tabs>
              <w:rPr>
                <w:rFonts w:cs="Tahoma"/>
                <w:smallCaps/>
                <w:lang w:val="it-IT"/>
              </w:rPr>
            </w:pPr>
            <w:r>
              <w:rPr>
                <w:rFonts w:cs="Tahoma"/>
                <w:smallCaps/>
                <w:lang w:val="it-IT"/>
              </w:rPr>
              <w:t>Larissa Kukapa</w:t>
            </w:r>
          </w:p>
        </w:tc>
      </w:tr>
      <w:tr w:rsidR="00A814D7" w14:paraId="765BB225" w14:textId="77777777" w:rsidTr="00FA4709">
        <w:tc>
          <w:tcPr>
            <w:tcW w:w="445" w:type="dxa"/>
          </w:tcPr>
          <w:p w14:paraId="7C2F62D3" w14:textId="70B5CA78"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0EF2B38" w14:textId="45EDFC53" w:rsidR="00A814D7" w:rsidRDefault="00A814D7" w:rsidP="00A814D7">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3AF5DAC2"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3AFA7798" w14:textId="6B29C6D2" w:rsidR="00A814D7" w:rsidRDefault="00A814D7" w:rsidP="00A814D7">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35CAD4DE" w14:textId="4886DBEE"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1550989" w14:textId="4291E145" w:rsidR="00A814D7" w:rsidRDefault="00A814D7" w:rsidP="00A814D7">
            <w:pPr>
              <w:pStyle w:val="Header"/>
              <w:tabs>
                <w:tab w:val="clear" w:pos="4320"/>
                <w:tab w:val="clear" w:pos="8640"/>
              </w:tabs>
              <w:rPr>
                <w:rFonts w:cs="Tahoma"/>
                <w:smallCaps/>
                <w:lang w:val="it-IT"/>
              </w:rPr>
            </w:pPr>
            <w:r>
              <w:rPr>
                <w:rFonts w:cs="Tahoma"/>
                <w:smallCaps/>
                <w:lang w:val="it-IT"/>
              </w:rPr>
              <w:t>George Li</w:t>
            </w:r>
          </w:p>
        </w:tc>
      </w:tr>
      <w:tr w:rsidR="00A814D7" w14:paraId="494D025C" w14:textId="77777777" w:rsidTr="00FA4709">
        <w:tc>
          <w:tcPr>
            <w:tcW w:w="445" w:type="dxa"/>
          </w:tcPr>
          <w:p w14:paraId="36CE2C6E" w14:textId="04D62A88"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1E8B3C86" w14:textId="2286B6CF" w:rsidR="00A814D7" w:rsidRDefault="00A814D7" w:rsidP="00A814D7">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16900D7F"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5F71A6E2" w14:textId="43D8CEB8" w:rsidR="00A814D7" w:rsidRDefault="00A814D7" w:rsidP="00A814D7">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2F627F2E"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1BACA545" w14:textId="3B76A28A" w:rsidR="00A814D7" w:rsidRDefault="00A814D7" w:rsidP="00A814D7">
            <w:pPr>
              <w:pStyle w:val="Header"/>
              <w:tabs>
                <w:tab w:val="clear" w:pos="4320"/>
                <w:tab w:val="clear" w:pos="8640"/>
              </w:tabs>
              <w:rPr>
                <w:rFonts w:cs="Tahoma"/>
                <w:smallCaps/>
                <w:lang w:val="it-IT"/>
              </w:rPr>
            </w:pPr>
            <w:r>
              <w:rPr>
                <w:rFonts w:cs="Tahoma"/>
                <w:smallCaps/>
                <w:lang w:val="it-IT"/>
              </w:rPr>
              <w:t>Arlene Mencias</w:t>
            </w:r>
          </w:p>
        </w:tc>
      </w:tr>
      <w:tr w:rsidR="00A814D7" w14:paraId="32800098" w14:textId="77777777" w:rsidTr="00FA4709">
        <w:tc>
          <w:tcPr>
            <w:tcW w:w="445" w:type="dxa"/>
          </w:tcPr>
          <w:p w14:paraId="2A606967" w14:textId="78B016E5"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FB8500F" w14:textId="38292A7E" w:rsidR="00A814D7" w:rsidRDefault="00A814D7" w:rsidP="00A814D7">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5A3CEDFE"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0B6F26C3" w14:textId="3F0C9BF5" w:rsidR="00A814D7" w:rsidRDefault="00A814D7" w:rsidP="00A814D7">
            <w:pPr>
              <w:pStyle w:val="Header"/>
              <w:tabs>
                <w:tab w:val="clear" w:pos="4320"/>
                <w:tab w:val="clear" w:pos="8640"/>
              </w:tabs>
              <w:rPr>
                <w:rFonts w:cs="Tahoma"/>
                <w:smallCaps/>
                <w:lang w:val="it-IT"/>
              </w:rPr>
            </w:pPr>
            <w:r>
              <w:rPr>
                <w:rFonts w:cs="Tahoma"/>
                <w:smallCaps/>
                <w:lang w:val="it-IT"/>
              </w:rPr>
              <w:t>Natasha Hall</w:t>
            </w:r>
          </w:p>
        </w:tc>
        <w:tc>
          <w:tcPr>
            <w:tcW w:w="417" w:type="dxa"/>
          </w:tcPr>
          <w:p w14:paraId="422EB153" w14:textId="123F9AF8" w:rsidR="00A814D7" w:rsidRDefault="00A814D7" w:rsidP="00A814D7">
            <w:pPr>
              <w:pStyle w:val="Header"/>
              <w:tabs>
                <w:tab w:val="clear" w:pos="4320"/>
                <w:tab w:val="clear" w:pos="8640"/>
              </w:tabs>
              <w:jc w:val="center"/>
              <w:rPr>
                <w:rFonts w:cs="Tahoma"/>
                <w:smallCaps/>
                <w:lang w:val="it-IT"/>
              </w:rPr>
            </w:pPr>
          </w:p>
        </w:tc>
        <w:tc>
          <w:tcPr>
            <w:tcW w:w="2749" w:type="dxa"/>
          </w:tcPr>
          <w:p w14:paraId="1455969F" w14:textId="514655AF" w:rsidR="00A814D7" w:rsidRDefault="00A814D7" w:rsidP="00A814D7">
            <w:pPr>
              <w:pStyle w:val="Header"/>
              <w:tabs>
                <w:tab w:val="clear" w:pos="4320"/>
                <w:tab w:val="clear" w:pos="8640"/>
              </w:tabs>
              <w:rPr>
                <w:rFonts w:cs="Tahoma"/>
                <w:smallCaps/>
                <w:lang w:val="it-IT"/>
              </w:rPr>
            </w:pPr>
            <w:r>
              <w:rPr>
                <w:rFonts w:cs="Tahoma"/>
                <w:smallCaps/>
                <w:lang w:val="it-IT"/>
              </w:rPr>
              <w:t>Tsegaye Negash</w:t>
            </w:r>
          </w:p>
        </w:tc>
      </w:tr>
      <w:tr w:rsidR="00A814D7" w14:paraId="3C63648C" w14:textId="77777777" w:rsidTr="00FA4709">
        <w:tc>
          <w:tcPr>
            <w:tcW w:w="445" w:type="dxa"/>
          </w:tcPr>
          <w:p w14:paraId="73A38ED9" w14:textId="272A6605"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64AC0D8C" w14:textId="1E4FED81" w:rsidR="00A814D7" w:rsidRDefault="00A814D7" w:rsidP="00A814D7">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092557BB"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4022D77E" w14:textId="6598E3F3" w:rsidR="00A814D7" w:rsidRDefault="00A814D7" w:rsidP="00A814D7">
            <w:pPr>
              <w:pStyle w:val="Header"/>
              <w:tabs>
                <w:tab w:val="clear" w:pos="4320"/>
                <w:tab w:val="clear" w:pos="8640"/>
              </w:tabs>
              <w:rPr>
                <w:rFonts w:cs="Tahoma"/>
                <w:smallCaps/>
                <w:lang w:val="it-IT"/>
              </w:rPr>
            </w:pPr>
            <w:r>
              <w:rPr>
                <w:rFonts w:cs="Tahoma"/>
                <w:smallCaps/>
                <w:lang w:val="it-IT"/>
              </w:rPr>
              <w:t>Chizobam Igweh</w:t>
            </w:r>
          </w:p>
        </w:tc>
        <w:tc>
          <w:tcPr>
            <w:tcW w:w="417" w:type="dxa"/>
          </w:tcPr>
          <w:p w14:paraId="13B1D02C" w14:textId="77777777" w:rsidR="00A814D7" w:rsidRDefault="00A814D7" w:rsidP="00A814D7">
            <w:pPr>
              <w:pStyle w:val="Header"/>
              <w:tabs>
                <w:tab w:val="clear" w:pos="4320"/>
                <w:tab w:val="clear" w:pos="8640"/>
              </w:tabs>
              <w:jc w:val="center"/>
              <w:rPr>
                <w:rFonts w:cs="Tahoma"/>
                <w:smallCaps/>
                <w:lang w:val="it-IT"/>
              </w:rPr>
            </w:pPr>
          </w:p>
        </w:tc>
        <w:tc>
          <w:tcPr>
            <w:tcW w:w="2749" w:type="dxa"/>
          </w:tcPr>
          <w:p w14:paraId="278BE1D5" w14:textId="0631A908" w:rsidR="00A814D7" w:rsidRDefault="00A814D7" w:rsidP="00A814D7">
            <w:pPr>
              <w:pStyle w:val="Header"/>
              <w:tabs>
                <w:tab w:val="clear" w:pos="4320"/>
                <w:tab w:val="clear" w:pos="8640"/>
              </w:tabs>
              <w:rPr>
                <w:rFonts w:cs="Tahoma"/>
                <w:smallCaps/>
                <w:lang w:val="it-IT"/>
              </w:rPr>
            </w:pPr>
            <w:r>
              <w:rPr>
                <w:rFonts w:cs="Tahoma"/>
                <w:smallCaps/>
                <w:lang w:val="it-IT"/>
              </w:rPr>
              <w:t>Boris Njeambosay</w:t>
            </w:r>
          </w:p>
        </w:tc>
      </w:tr>
      <w:tr w:rsidR="00A814D7" w14:paraId="2863F7FD" w14:textId="77777777" w:rsidTr="00FA4709">
        <w:tc>
          <w:tcPr>
            <w:tcW w:w="445" w:type="dxa"/>
          </w:tcPr>
          <w:p w14:paraId="6EBCA946" w14:textId="209893A7"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56B6CE1A" w14:textId="1204EEA9" w:rsidR="00A814D7" w:rsidRDefault="00A814D7" w:rsidP="00A814D7">
            <w:pPr>
              <w:pStyle w:val="Header"/>
              <w:tabs>
                <w:tab w:val="clear" w:pos="4320"/>
                <w:tab w:val="clear" w:pos="8640"/>
              </w:tabs>
              <w:rPr>
                <w:rFonts w:cs="Tahoma"/>
                <w:smallCaps/>
                <w:lang w:val="it-IT"/>
              </w:rPr>
            </w:pPr>
            <w:r>
              <w:rPr>
                <w:rFonts w:cs="Tahoma"/>
                <w:smallCaps/>
                <w:lang w:val="it-IT"/>
              </w:rPr>
              <w:t>Uchama Eni</w:t>
            </w:r>
          </w:p>
        </w:tc>
        <w:tc>
          <w:tcPr>
            <w:tcW w:w="431" w:type="dxa"/>
          </w:tcPr>
          <w:p w14:paraId="3E0D9609" w14:textId="653B9E9B"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2A41A1E6" w14:textId="79885C65" w:rsidR="00A814D7" w:rsidRDefault="00A814D7" w:rsidP="00A814D7">
            <w:pPr>
              <w:pStyle w:val="Header"/>
              <w:tabs>
                <w:tab w:val="clear" w:pos="4320"/>
                <w:tab w:val="clear" w:pos="8640"/>
              </w:tabs>
              <w:rPr>
                <w:rFonts w:cs="Tahoma"/>
                <w:smallCaps/>
                <w:lang w:val="it-IT"/>
              </w:rPr>
            </w:pPr>
            <w:r>
              <w:rPr>
                <w:rFonts w:cs="Tahoma"/>
                <w:smallCaps/>
                <w:lang w:val="it-IT"/>
              </w:rPr>
              <w:t>Jessica Jenkins</w:t>
            </w:r>
          </w:p>
        </w:tc>
        <w:tc>
          <w:tcPr>
            <w:tcW w:w="417" w:type="dxa"/>
          </w:tcPr>
          <w:p w14:paraId="32ECCB19" w14:textId="35819D93"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138500E" w14:textId="420ED5B4" w:rsidR="00A814D7" w:rsidRDefault="00A814D7" w:rsidP="00A814D7">
            <w:pPr>
              <w:pStyle w:val="Header"/>
              <w:tabs>
                <w:tab w:val="clear" w:pos="4320"/>
                <w:tab w:val="clear" w:pos="8640"/>
              </w:tabs>
              <w:rPr>
                <w:rFonts w:cs="Tahoma"/>
                <w:smallCaps/>
                <w:lang w:val="it-IT"/>
              </w:rPr>
            </w:pPr>
            <w:r>
              <w:rPr>
                <w:rFonts w:cs="Tahoma"/>
                <w:smallCaps/>
                <w:lang w:val="it-IT"/>
              </w:rPr>
              <w:t>Henry Nvule</w:t>
            </w:r>
          </w:p>
        </w:tc>
      </w:tr>
      <w:tr w:rsidR="00A814D7" w14:paraId="7B09A673" w14:textId="77777777" w:rsidTr="00FA4709">
        <w:tc>
          <w:tcPr>
            <w:tcW w:w="445" w:type="dxa"/>
          </w:tcPr>
          <w:p w14:paraId="4C15233A" w14:textId="27121B6D" w:rsidR="00A814D7" w:rsidRDefault="00A814D7" w:rsidP="00A814D7">
            <w:pPr>
              <w:pStyle w:val="Header"/>
              <w:tabs>
                <w:tab w:val="clear" w:pos="4320"/>
                <w:tab w:val="clear" w:pos="8640"/>
              </w:tabs>
              <w:jc w:val="center"/>
              <w:rPr>
                <w:rFonts w:cs="Tahoma"/>
                <w:smallCaps/>
                <w:lang w:val="it-IT"/>
              </w:rPr>
            </w:pPr>
            <w:bookmarkStart w:id="0" w:name="_Hlk162935012"/>
          </w:p>
        </w:tc>
        <w:tc>
          <w:tcPr>
            <w:tcW w:w="2719" w:type="dxa"/>
          </w:tcPr>
          <w:p w14:paraId="61F55623" w14:textId="518BE5E3" w:rsidR="00A814D7" w:rsidRDefault="00A814D7" w:rsidP="00A814D7">
            <w:pPr>
              <w:pStyle w:val="Header"/>
              <w:tabs>
                <w:tab w:val="clear" w:pos="4320"/>
                <w:tab w:val="clear" w:pos="8640"/>
              </w:tabs>
              <w:rPr>
                <w:rFonts w:cs="Tahoma"/>
                <w:smallCaps/>
                <w:lang w:val="it-IT"/>
              </w:rPr>
            </w:pPr>
          </w:p>
        </w:tc>
        <w:tc>
          <w:tcPr>
            <w:tcW w:w="431" w:type="dxa"/>
          </w:tcPr>
          <w:p w14:paraId="1BF67667" w14:textId="5C30A738" w:rsidR="00A814D7" w:rsidRDefault="00A814D7" w:rsidP="00A814D7">
            <w:pPr>
              <w:pStyle w:val="Header"/>
              <w:tabs>
                <w:tab w:val="clear" w:pos="4320"/>
                <w:tab w:val="clear" w:pos="8640"/>
              </w:tabs>
              <w:jc w:val="center"/>
              <w:rPr>
                <w:rFonts w:cs="Tahoma"/>
                <w:smallCaps/>
                <w:lang w:val="it-IT"/>
              </w:rPr>
            </w:pPr>
          </w:p>
        </w:tc>
        <w:tc>
          <w:tcPr>
            <w:tcW w:w="2733" w:type="dxa"/>
          </w:tcPr>
          <w:p w14:paraId="5929004B" w14:textId="7F4D8693" w:rsidR="00A814D7" w:rsidRDefault="00A814D7" w:rsidP="00A814D7">
            <w:pPr>
              <w:pStyle w:val="Header"/>
              <w:tabs>
                <w:tab w:val="clear" w:pos="4320"/>
                <w:tab w:val="clear" w:pos="8640"/>
              </w:tabs>
              <w:rPr>
                <w:rFonts w:cs="Tahoma"/>
                <w:smallCaps/>
                <w:lang w:val="it-IT"/>
              </w:rPr>
            </w:pPr>
          </w:p>
        </w:tc>
        <w:tc>
          <w:tcPr>
            <w:tcW w:w="417" w:type="dxa"/>
          </w:tcPr>
          <w:p w14:paraId="14FD23E7" w14:textId="12283A55" w:rsidR="00A814D7" w:rsidRDefault="00CE0D25"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E57028C" w14:textId="1F2B27F6" w:rsidR="00A814D7" w:rsidRDefault="00A814D7" w:rsidP="00A814D7">
            <w:pPr>
              <w:pStyle w:val="Header"/>
              <w:tabs>
                <w:tab w:val="clear" w:pos="4320"/>
                <w:tab w:val="clear" w:pos="8640"/>
              </w:tabs>
              <w:rPr>
                <w:rFonts w:cs="Tahoma"/>
                <w:smallCaps/>
                <w:lang w:val="it-IT"/>
              </w:rPr>
            </w:pPr>
            <w:r>
              <w:rPr>
                <w:rFonts w:cs="Tahoma"/>
                <w:smallCaps/>
                <w:lang w:val="it-IT"/>
              </w:rPr>
              <w:t>Rocio Vergara Torres</w:t>
            </w:r>
          </w:p>
        </w:tc>
      </w:tr>
      <w:bookmarkEnd w:id="0"/>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ook w:val="04A0" w:firstRow="1" w:lastRow="0" w:firstColumn="1" w:lastColumn="0" w:noHBand="0" w:noVBand="1"/>
      </w:tblPr>
      <w:tblGrid>
        <w:gridCol w:w="1759"/>
        <w:gridCol w:w="6439"/>
        <w:gridCol w:w="1658"/>
        <w:gridCol w:w="1078"/>
      </w:tblGrid>
      <w:tr w:rsidR="00292AAA" w14:paraId="4FA75440" w14:textId="77777777" w:rsidTr="00CE0D25">
        <w:tc>
          <w:tcPr>
            <w:tcW w:w="1759"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6439" w:type="dxa"/>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1658" w:type="dxa"/>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78" w:type="dxa"/>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292AAA" w14:paraId="7B557F16" w14:textId="77777777" w:rsidTr="00CE0D25">
        <w:tc>
          <w:tcPr>
            <w:tcW w:w="1759" w:type="dxa"/>
            <w:shd w:val="clear" w:color="auto" w:fill="auto"/>
          </w:tcPr>
          <w:p w14:paraId="6157F9E2" w14:textId="72A8BBFE" w:rsidR="0051743A" w:rsidRPr="008016AF" w:rsidRDefault="00312561" w:rsidP="0051743A">
            <w:pPr>
              <w:autoSpaceDE w:val="0"/>
              <w:autoSpaceDN w:val="0"/>
              <w:adjustRightInd w:val="0"/>
              <w:rPr>
                <w:rFonts w:cs="Tahoma"/>
                <w:b/>
                <w:smallCaps/>
              </w:rPr>
            </w:pPr>
            <w:r>
              <w:rPr>
                <w:rFonts w:cs="Tahoma"/>
                <w:b/>
                <w:smallCaps/>
              </w:rPr>
              <w:t>Sickle Charges for Units</w:t>
            </w:r>
          </w:p>
        </w:tc>
        <w:tc>
          <w:tcPr>
            <w:tcW w:w="6439" w:type="dxa"/>
            <w:shd w:val="clear" w:color="auto" w:fill="auto"/>
          </w:tcPr>
          <w:p w14:paraId="39034056" w14:textId="208426E1" w:rsidR="0084566D" w:rsidRDefault="00312561" w:rsidP="00312561">
            <w:r>
              <w:t xml:space="preserve">Reminder that sickle testing </w:t>
            </w:r>
            <w:proofErr w:type="gramStart"/>
            <w:r>
              <w:t>has to</w:t>
            </w:r>
            <w:proofErr w:type="gramEnd"/>
            <w:r>
              <w:t xml:space="preserve"> be billed for all units tested.</w:t>
            </w:r>
          </w:p>
          <w:p w14:paraId="2CB7C23A" w14:textId="314C8522" w:rsidR="00312561" w:rsidRDefault="00312561" w:rsidP="00312561">
            <w:pPr>
              <w:pStyle w:val="ListParagraph"/>
              <w:numPr>
                <w:ilvl w:val="0"/>
                <w:numId w:val="8"/>
              </w:numPr>
            </w:pPr>
            <w:r>
              <w:t xml:space="preserve">Bill </w:t>
            </w:r>
            <w:r w:rsidRPr="00312561">
              <w:rPr>
                <w:b/>
                <w:bCs/>
              </w:rPr>
              <w:t>SCS</w:t>
            </w:r>
            <w:r>
              <w:t xml:space="preserve"> for unit sickle testing performed in </w:t>
            </w:r>
            <w:proofErr w:type="gramStart"/>
            <w:r>
              <w:t>house</w:t>
            </w:r>
            <w:proofErr w:type="gramEnd"/>
          </w:p>
          <w:p w14:paraId="04EC4AFF" w14:textId="044134B9" w:rsidR="00312561" w:rsidRDefault="00312561" w:rsidP="00312561">
            <w:pPr>
              <w:pStyle w:val="ListParagraph"/>
              <w:numPr>
                <w:ilvl w:val="0"/>
                <w:numId w:val="8"/>
              </w:numPr>
            </w:pPr>
            <w:r>
              <w:t xml:space="preserve">Bill </w:t>
            </w:r>
            <w:r w:rsidRPr="00312561">
              <w:rPr>
                <w:b/>
                <w:bCs/>
              </w:rPr>
              <w:t>RHGBS</w:t>
            </w:r>
            <w:r>
              <w:t xml:space="preserve"> for unit sickle testing performed by ARC or Inova</w:t>
            </w:r>
          </w:p>
          <w:p w14:paraId="796F2C6C" w14:textId="77777777" w:rsidR="00312561" w:rsidRDefault="00312561" w:rsidP="00312561"/>
          <w:p w14:paraId="080D09BC" w14:textId="77777777" w:rsidR="00312561" w:rsidRDefault="00312561" w:rsidP="00312561">
            <w:r>
              <w:t>Also, we must bill sickle testing of the unit for the FIRST aliquot prepared from a red cell.</w:t>
            </w:r>
          </w:p>
          <w:p w14:paraId="071A3CC1" w14:textId="744796C0" w:rsidR="00312561" w:rsidRPr="00BB4567" w:rsidRDefault="00312561" w:rsidP="00312561"/>
        </w:tc>
        <w:tc>
          <w:tcPr>
            <w:tcW w:w="1658" w:type="dxa"/>
            <w:shd w:val="clear" w:color="auto" w:fill="auto"/>
          </w:tcPr>
          <w:p w14:paraId="14996FF0" w14:textId="1C02F8E2"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78" w:type="dxa"/>
            <w:shd w:val="clear" w:color="auto" w:fill="auto"/>
          </w:tcPr>
          <w:p w14:paraId="5D680A06" w14:textId="3912C06E" w:rsidR="0051743A" w:rsidRPr="008016AF" w:rsidRDefault="0051743A" w:rsidP="0051743A">
            <w:pPr>
              <w:autoSpaceDE w:val="0"/>
              <w:autoSpaceDN w:val="0"/>
              <w:adjustRightInd w:val="0"/>
              <w:rPr>
                <w:rFonts w:cs="Tahoma"/>
                <w:bCs/>
                <w:smallCaps/>
              </w:rPr>
            </w:pPr>
            <w:r w:rsidRPr="008016AF">
              <w:rPr>
                <w:rFonts w:cs="Tahoma"/>
                <w:bCs/>
              </w:rPr>
              <w:t>None</w:t>
            </w:r>
          </w:p>
        </w:tc>
      </w:tr>
      <w:tr w:rsidR="00292AAA" w14:paraId="421FF39D" w14:textId="77777777" w:rsidTr="00CE0D25">
        <w:tc>
          <w:tcPr>
            <w:tcW w:w="1759" w:type="dxa"/>
            <w:shd w:val="clear" w:color="auto" w:fill="auto"/>
          </w:tcPr>
          <w:p w14:paraId="25BC0F78" w14:textId="3A9BD424" w:rsidR="000123FC" w:rsidRDefault="000123FC" w:rsidP="000123FC">
            <w:pPr>
              <w:autoSpaceDE w:val="0"/>
              <w:autoSpaceDN w:val="0"/>
              <w:adjustRightInd w:val="0"/>
              <w:rPr>
                <w:rFonts w:cs="Tahoma"/>
                <w:b/>
                <w:smallCaps/>
              </w:rPr>
            </w:pPr>
            <w:r>
              <w:rPr>
                <w:rFonts w:cs="Tahoma"/>
                <w:b/>
                <w:smallCaps/>
              </w:rPr>
              <w:t>Neonatal Crossmatches</w:t>
            </w:r>
          </w:p>
        </w:tc>
        <w:tc>
          <w:tcPr>
            <w:tcW w:w="6439" w:type="dxa"/>
            <w:shd w:val="clear" w:color="auto" w:fill="auto"/>
          </w:tcPr>
          <w:p w14:paraId="5194B4DD" w14:textId="77777777" w:rsidR="000123FC" w:rsidRDefault="000123FC" w:rsidP="000123FC">
            <w:r>
              <w:t xml:space="preserve">When transfusing red cells to a baby whose mother has </w:t>
            </w:r>
            <w:proofErr w:type="gramStart"/>
            <w:r>
              <w:t>clinically-significant</w:t>
            </w:r>
            <w:proofErr w:type="gramEnd"/>
            <w:r>
              <w:t xml:space="preserve"> antibodies, you must perform an AHG crossmatch.</w:t>
            </w:r>
          </w:p>
          <w:p w14:paraId="7198B984" w14:textId="77777777" w:rsidR="000123FC" w:rsidRDefault="000123FC" w:rsidP="000123FC"/>
          <w:p w14:paraId="0110F938" w14:textId="77777777" w:rsidR="000123FC" w:rsidRDefault="000123FC" w:rsidP="000123FC">
            <w:pPr>
              <w:pStyle w:val="ListParagraph"/>
              <w:numPr>
                <w:ilvl w:val="0"/>
                <w:numId w:val="9"/>
              </w:numPr>
            </w:pPr>
            <w:r>
              <w:t>Allocate BOTH the parent (00) unit and the aliquot to the baby.</w:t>
            </w:r>
          </w:p>
          <w:p w14:paraId="7F538565" w14:textId="77777777" w:rsidR="000123FC" w:rsidRDefault="000123FC" w:rsidP="000123FC">
            <w:pPr>
              <w:pStyle w:val="ListParagraph"/>
              <w:numPr>
                <w:ilvl w:val="0"/>
                <w:numId w:val="9"/>
              </w:numPr>
            </w:pPr>
            <w:r>
              <w:t>Perform both the AHG and IS crossmatch on the PARENT unit.</w:t>
            </w:r>
          </w:p>
          <w:p w14:paraId="14671082" w14:textId="77777777" w:rsidR="000123FC" w:rsidRDefault="000123FC" w:rsidP="000123FC">
            <w:pPr>
              <w:pStyle w:val="ListParagraph"/>
              <w:numPr>
                <w:ilvl w:val="0"/>
                <w:numId w:val="9"/>
              </w:numPr>
            </w:pPr>
            <w:r>
              <w:t>Print the crossmatch tag and keep it in the footie for the parent unit.</w:t>
            </w:r>
          </w:p>
          <w:p w14:paraId="4B4A7F49" w14:textId="77777777" w:rsidR="000123FC" w:rsidRDefault="000123FC" w:rsidP="000123FC">
            <w:pPr>
              <w:pStyle w:val="ListParagraph"/>
              <w:numPr>
                <w:ilvl w:val="0"/>
                <w:numId w:val="9"/>
              </w:numPr>
            </w:pPr>
            <w:r>
              <w:t>Release the parent unit from the baby (unallocated).</w:t>
            </w:r>
          </w:p>
          <w:p w14:paraId="6A79802B" w14:textId="77777777" w:rsidR="000123FC" w:rsidRDefault="000123FC" w:rsidP="000123FC">
            <w:pPr>
              <w:pStyle w:val="ListParagraph"/>
              <w:numPr>
                <w:ilvl w:val="0"/>
                <w:numId w:val="9"/>
              </w:numPr>
            </w:pPr>
            <w:r>
              <w:t>Enter the “OK to transfuse” for the aliquot and issue.</w:t>
            </w:r>
          </w:p>
          <w:p w14:paraId="7D1243FC" w14:textId="77777777" w:rsidR="000123FC" w:rsidRDefault="000123FC" w:rsidP="000123FC"/>
          <w:p w14:paraId="67A5C657" w14:textId="77777777" w:rsidR="000123FC" w:rsidRDefault="000123FC" w:rsidP="000123FC">
            <w:r>
              <w:t xml:space="preserve">Why do we do this?  Crossmatch only needs to be performed once on a unit for a baby even though the baby may get multiple aliquots from the unit.  If we document on the parent unit, the crossmatch results will flow to the </w:t>
            </w:r>
            <w:proofErr w:type="gramStart"/>
            <w:r>
              <w:t>aliquots</w:t>
            </w:r>
            <w:proofErr w:type="gramEnd"/>
            <w:r>
              <w:t xml:space="preserve"> and we don’t have to repeat testing.</w:t>
            </w:r>
          </w:p>
          <w:p w14:paraId="3AAA3EC5" w14:textId="0E6495AC" w:rsidR="000123FC" w:rsidRDefault="000123FC" w:rsidP="000123FC"/>
        </w:tc>
        <w:tc>
          <w:tcPr>
            <w:tcW w:w="1658" w:type="dxa"/>
            <w:shd w:val="clear" w:color="auto" w:fill="auto"/>
          </w:tcPr>
          <w:p w14:paraId="3036CCAE" w14:textId="71A63485" w:rsidR="000123FC" w:rsidRPr="008016AF" w:rsidRDefault="000123FC" w:rsidP="000123FC">
            <w:pPr>
              <w:autoSpaceDE w:val="0"/>
              <w:autoSpaceDN w:val="0"/>
              <w:adjustRightInd w:val="0"/>
              <w:rPr>
                <w:rFonts w:cs="Tahoma"/>
                <w:bCs/>
              </w:rPr>
            </w:pPr>
            <w:r w:rsidRPr="008016AF">
              <w:rPr>
                <w:rFonts w:cs="Tahoma"/>
                <w:bCs/>
              </w:rPr>
              <w:t>Informational</w:t>
            </w:r>
          </w:p>
        </w:tc>
        <w:tc>
          <w:tcPr>
            <w:tcW w:w="1078" w:type="dxa"/>
            <w:shd w:val="clear" w:color="auto" w:fill="auto"/>
          </w:tcPr>
          <w:p w14:paraId="41570322" w14:textId="1039BD8B" w:rsidR="000123FC" w:rsidRPr="008016AF" w:rsidRDefault="000123FC" w:rsidP="000123FC">
            <w:pPr>
              <w:autoSpaceDE w:val="0"/>
              <w:autoSpaceDN w:val="0"/>
              <w:adjustRightInd w:val="0"/>
              <w:rPr>
                <w:rFonts w:cs="Tahoma"/>
                <w:bCs/>
              </w:rPr>
            </w:pPr>
            <w:r w:rsidRPr="008016AF">
              <w:rPr>
                <w:rFonts w:cs="Tahoma"/>
                <w:bCs/>
              </w:rPr>
              <w:t>None</w:t>
            </w:r>
          </w:p>
        </w:tc>
      </w:tr>
      <w:tr w:rsidR="00292AAA" w14:paraId="5F11A894" w14:textId="77777777" w:rsidTr="00CE0D25">
        <w:tc>
          <w:tcPr>
            <w:tcW w:w="1759" w:type="dxa"/>
            <w:shd w:val="clear" w:color="auto" w:fill="auto"/>
          </w:tcPr>
          <w:p w14:paraId="0BAB2FB4" w14:textId="199050CA" w:rsidR="00BE3690" w:rsidRDefault="00BE3690" w:rsidP="00BE3690">
            <w:pPr>
              <w:autoSpaceDE w:val="0"/>
              <w:autoSpaceDN w:val="0"/>
              <w:adjustRightInd w:val="0"/>
              <w:rPr>
                <w:rFonts w:cs="Tahoma"/>
                <w:b/>
                <w:smallCaps/>
              </w:rPr>
            </w:pPr>
            <w:r>
              <w:rPr>
                <w:rFonts w:cs="Tahoma"/>
                <w:b/>
                <w:smallCaps/>
              </w:rPr>
              <w:t>GEC Reagent Process</w:t>
            </w:r>
          </w:p>
        </w:tc>
        <w:tc>
          <w:tcPr>
            <w:tcW w:w="6439" w:type="dxa"/>
            <w:shd w:val="clear" w:color="auto" w:fill="auto"/>
          </w:tcPr>
          <w:p w14:paraId="683CEE2B" w14:textId="14F97F09" w:rsidR="00BE3690" w:rsidRDefault="00BE3690" w:rsidP="00BE3690">
            <w:r>
              <w:t xml:space="preserve">Red cell reagents (A1, B, and pooled cells) are automatically shipped to GEC by </w:t>
            </w:r>
            <w:proofErr w:type="spellStart"/>
            <w:r>
              <w:t>Immucor</w:t>
            </w:r>
            <w:proofErr w:type="spellEnd"/>
            <w:r>
              <w:t>.  Non-red cell reagents (anti-A, anti-B, and anti-D4) come from us.</w:t>
            </w:r>
          </w:p>
          <w:p w14:paraId="37CC0FA1" w14:textId="77777777" w:rsidR="00BE3690" w:rsidRDefault="00BE3690" w:rsidP="00BE3690"/>
          <w:p w14:paraId="4DBE89CA" w14:textId="77777777" w:rsidR="00BE3690" w:rsidRDefault="00BE3690" w:rsidP="00BE3690">
            <w:r>
              <w:t>GEC keeps two sets of non-red cells in inventory.  One set is in use and one set is in storage.  When they move the reagents in use from storage, they are supposed to notify us to sent new reagents the next time we sent red cells.</w:t>
            </w:r>
          </w:p>
          <w:p w14:paraId="4E4BD98B" w14:textId="77777777" w:rsidR="00BE3690" w:rsidRDefault="00BE3690" w:rsidP="00BE3690"/>
          <w:p w14:paraId="474D929C" w14:textId="77777777" w:rsidR="00BE3690" w:rsidRDefault="00BE3690" w:rsidP="00BE3690">
            <w:r>
              <w:t>When we send fresh O-neg units to them monthly, we need to call and see if they want reagents.  Reagents should ONLY be shipped with the red cell units.  We should not be hiring a separate courier to take reagents to them.  Please ensure you are contacting them to see if they need reagents when you ship red cells.</w:t>
            </w:r>
          </w:p>
          <w:p w14:paraId="4151BEF8" w14:textId="363F7E58" w:rsidR="00BE3690" w:rsidRDefault="00BE3690" w:rsidP="00BE3690"/>
        </w:tc>
        <w:tc>
          <w:tcPr>
            <w:tcW w:w="1658" w:type="dxa"/>
            <w:shd w:val="clear" w:color="auto" w:fill="auto"/>
          </w:tcPr>
          <w:p w14:paraId="7817FADE" w14:textId="4C8E539C" w:rsidR="00BE3690" w:rsidRPr="008016AF" w:rsidRDefault="00BE3690" w:rsidP="00BE3690">
            <w:pPr>
              <w:autoSpaceDE w:val="0"/>
              <w:autoSpaceDN w:val="0"/>
              <w:adjustRightInd w:val="0"/>
              <w:rPr>
                <w:rFonts w:cs="Tahoma"/>
                <w:bCs/>
              </w:rPr>
            </w:pPr>
            <w:r w:rsidRPr="008016AF">
              <w:rPr>
                <w:rFonts w:cs="Tahoma"/>
                <w:bCs/>
              </w:rPr>
              <w:lastRenderedPageBreak/>
              <w:t>Informational</w:t>
            </w:r>
          </w:p>
        </w:tc>
        <w:tc>
          <w:tcPr>
            <w:tcW w:w="1078" w:type="dxa"/>
            <w:shd w:val="clear" w:color="auto" w:fill="auto"/>
          </w:tcPr>
          <w:p w14:paraId="4B00217D" w14:textId="0B2A5B4C" w:rsidR="00BE3690" w:rsidRPr="008016AF" w:rsidRDefault="00BE3690" w:rsidP="00BE3690">
            <w:pPr>
              <w:autoSpaceDE w:val="0"/>
              <w:autoSpaceDN w:val="0"/>
              <w:adjustRightInd w:val="0"/>
              <w:rPr>
                <w:rFonts w:cs="Tahoma"/>
                <w:bCs/>
              </w:rPr>
            </w:pPr>
            <w:r w:rsidRPr="008016AF">
              <w:rPr>
                <w:rFonts w:cs="Tahoma"/>
                <w:bCs/>
              </w:rPr>
              <w:t>None</w:t>
            </w:r>
          </w:p>
        </w:tc>
      </w:tr>
      <w:tr w:rsidR="00292AAA" w14:paraId="04EA8FB5" w14:textId="77777777" w:rsidTr="00CE0D25">
        <w:tc>
          <w:tcPr>
            <w:tcW w:w="1759" w:type="dxa"/>
            <w:shd w:val="clear" w:color="auto" w:fill="auto"/>
          </w:tcPr>
          <w:p w14:paraId="1BC42872" w14:textId="3A92C943" w:rsidR="00292AAA" w:rsidRDefault="00292AAA" w:rsidP="00BE3690">
            <w:pPr>
              <w:autoSpaceDE w:val="0"/>
              <w:autoSpaceDN w:val="0"/>
              <w:adjustRightInd w:val="0"/>
              <w:rPr>
                <w:rFonts w:cs="Tahoma"/>
                <w:b/>
                <w:smallCaps/>
              </w:rPr>
            </w:pPr>
            <w:r>
              <w:rPr>
                <w:rFonts w:cs="Tahoma"/>
                <w:b/>
                <w:smallCaps/>
              </w:rPr>
              <w:t>Manufacturer’s Instructions</w:t>
            </w:r>
          </w:p>
        </w:tc>
        <w:tc>
          <w:tcPr>
            <w:tcW w:w="6439" w:type="dxa"/>
            <w:shd w:val="clear" w:color="auto" w:fill="auto"/>
          </w:tcPr>
          <w:p w14:paraId="6B9AF4D8" w14:textId="77777777" w:rsidR="00292AAA" w:rsidRDefault="00292AAA" w:rsidP="00BE3690">
            <w:proofErr w:type="spellStart"/>
            <w:r>
              <w:t>Immucor</w:t>
            </w:r>
            <w:proofErr w:type="spellEnd"/>
            <w:r>
              <w:t xml:space="preserve"> used to put IFU’s (instructions for use) in each package of reagent.  There were a lot of supply issues during COVID.  </w:t>
            </w:r>
            <w:proofErr w:type="spellStart"/>
            <w:r>
              <w:t>Immucor</w:t>
            </w:r>
            <w:proofErr w:type="spellEnd"/>
            <w:r>
              <w:t xml:space="preserve"> could not pull reagents from one country and send them to another because the IFUs didn’t match.  For that reason, they now put a general form in the package and instruct you to look up the IFU online.</w:t>
            </w:r>
          </w:p>
          <w:p w14:paraId="24803C60" w14:textId="77777777" w:rsidR="00292AAA" w:rsidRDefault="00292AAA" w:rsidP="00BE3690"/>
          <w:p w14:paraId="53450BC9" w14:textId="77777777" w:rsidR="00292AAA" w:rsidRDefault="00292AAA" w:rsidP="00BE3690">
            <w:r>
              <w:t>Something like this comes in the package:</w:t>
            </w:r>
          </w:p>
          <w:p w14:paraId="6D8EFAD2" w14:textId="4A110365" w:rsidR="00292AAA" w:rsidRDefault="00292AAA" w:rsidP="00BE3690">
            <w:r>
              <w:rPr>
                <w:noProof/>
              </w:rPr>
              <w:drawing>
                <wp:inline distT="0" distB="0" distL="0" distR="0" wp14:anchorId="09BC066C" wp14:editId="498A2BC6">
                  <wp:extent cx="2304409" cy="1277961"/>
                  <wp:effectExtent l="0" t="0" r="1270" b="0"/>
                  <wp:docPr id="350819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19730" name=""/>
                          <pic:cNvPicPr/>
                        </pic:nvPicPr>
                        <pic:blipFill>
                          <a:blip r:embed="rId9"/>
                          <a:stretch>
                            <a:fillRect/>
                          </a:stretch>
                        </pic:blipFill>
                        <pic:spPr>
                          <a:xfrm>
                            <a:off x="0" y="0"/>
                            <a:ext cx="2322580" cy="1288038"/>
                          </a:xfrm>
                          <a:prstGeom prst="rect">
                            <a:avLst/>
                          </a:prstGeom>
                        </pic:spPr>
                      </pic:pic>
                    </a:graphicData>
                  </a:graphic>
                </wp:inline>
              </w:drawing>
            </w:r>
          </w:p>
          <w:p w14:paraId="29D82464" w14:textId="77777777" w:rsidR="00292AAA" w:rsidRDefault="00292AAA" w:rsidP="00BE3690"/>
          <w:p w14:paraId="5F226675" w14:textId="50C15CD4" w:rsidR="00292AAA" w:rsidRDefault="00292AAA" w:rsidP="00BE3690">
            <w:r>
              <w:t xml:space="preserve">You </w:t>
            </w:r>
            <w:proofErr w:type="gramStart"/>
            <w:r>
              <w:t>have to</w:t>
            </w:r>
            <w:proofErr w:type="gramEnd"/>
            <w:r>
              <w:t xml:space="preserve"> look up the correct package insert.  We currently list the revision date in our reagent receipt book.  This will be updated to include the version number of insert.</w:t>
            </w:r>
          </w:p>
          <w:p w14:paraId="65C82E69" w14:textId="77777777" w:rsidR="00292AAA" w:rsidRDefault="00292AAA" w:rsidP="00BE3690"/>
          <w:p w14:paraId="3C5E4B7B" w14:textId="4F802CBD" w:rsidR="00292AAA" w:rsidRDefault="00292AAA" w:rsidP="00BE3690">
            <w:r>
              <w:t>The insert looks like this:</w:t>
            </w:r>
          </w:p>
          <w:p w14:paraId="780E8D66" w14:textId="77777777" w:rsidR="00292AAA" w:rsidRDefault="00292AAA" w:rsidP="00BE3690"/>
          <w:p w14:paraId="5A4BF726" w14:textId="51F49D88" w:rsidR="00292AAA" w:rsidRDefault="00292AAA" w:rsidP="00BE3690">
            <w:r>
              <w:rPr>
                <w:noProof/>
              </w:rPr>
              <w:drawing>
                <wp:inline distT="0" distB="0" distL="0" distR="0" wp14:anchorId="304C3E67" wp14:editId="59EBABF1">
                  <wp:extent cx="2094538" cy="1000125"/>
                  <wp:effectExtent l="0" t="0" r="1270" b="0"/>
                  <wp:docPr id="2141085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85238" name=""/>
                          <pic:cNvPicPr/>
                        </pic:nvPicPr>
                        <pic:blipFill>
                          <a:blip r:embed="rId10"/>
                          <a:stretch>
                            <a:fillRect/>
                          </a:stretch>
                        </pic:blipFill>
                        <pic:spPr>
                          <a:xfrm>
                            <a:off x="0" y="0"/>
                            <a:ext cx="2100991" cy="1003206"/>
                          </a:xfrm>
                          <a:prstGeom prst="rect">
                            <a:avLst/>
                          </a:prstGeom>
                        </pic:spPr>
                      </pic:pic>
                    </a:graphicData>
                  </a:graphic>
                </wp:inline>
              </w:drawing>
            </w:r>
          </w:p>
          <w:p w14:paraId="6FAC2B68" w14:textId="77777777" w:rsidR="00292AAA" w:rsidRDefault="00292AAA" w:rsidP="00BE3690"/>
          <w:p w14:paraId="1126BEBA" w14:textId="1CCE7293" w:rsidR="00292AAA" w:rsidRDefault="00292AAA" w:rsidP="00BE3690">
            <w:r>
              <w:t xml:space="preserve">If the version changes, you must compare the old and new insert and highlight the differences.  For </w:t>
            </w:r>
            <w:proofErr w:type="spellStart"/>
            <w:r>
              <w:t>Immucor</w:t>
            </w:r>
            <w:proofErr w:type="spellEnd"/>
            <w:r>
              <w:t xml:space="preserve">, </w:t>
            </w:r>
          </w:p>
          <w:p w14:paraId="35D1B017" w14:textId="53C69853" w:rsidR="00292AAA" w:rsidRDefault="00292AAA" w:rsidP="00292AAA">
            <w:pPr>
              <w:pStyle w:val="ListParagraph"/>
              <w:numPr>
                <w:ilvl w:val="0"/>
                <w:numId w:val="13"/>
              </w:numPr>
            </w:pPr>
            <w:r>
              <w:t>Text that is underlined means it was added or edited.</w:t>
            </w:r>
          </w:p>
          <w:p w14:paraId="04B65869" w14:textId="38A27F39" w:rsidR="00292AAA" w:rsidRDefault="00292AAA" w:rsidP="00292AAA">
            <w:pPr>
              <w:pStyle w:val="ListParagraph"/>
              <w:numPr>
                <w:ilvl w:val="0"/>
                <w:numId w:val="13"/>
              </w:numPr>
            </w:pPr>
            <w:r>
              <w:t>A triangle means something was deleted.</w:t>
            </w:r>
          </w:p>
          <w:p w14:paraId="4C8E34C2" w14:textId="3B7020AB" w:rsidR="00292AAA" w:rsidRDefault="00292AAA" w:rsidP="00292AAA"/>
          <w:p w14:paraId="7FDC2EC5" w14:textId="69A746A4" w:rsidR="00292AAA" w:rsidRDefault="00292AAA" w:rsidP="00292AAA">
            <w:r>
              <w:t>Example:</w:t>
            </w:r>
          </w:p>
          <w:p w14:paraId="3626242B" w14:textId="44A096A4" w:rsidR="00292AAA" w:rsidRDefault="00292AAA" w:rsidP="00292AAA">
            <w:r>
              <w:rPr>
                <w:noProof/>
              </w:rPr>
              <w:drawing>
                <wp:inline distT="0" distB="0" distL="0" distR="0" wp14:anchorId="5FBFFA1A" wp14:editId="1B99BA1F">
                  <wp:extent cx="2498725" cy="410533"/>
                  <wp:effectExtent l="0" t="0" r="0" b="8890"/>
                  <wp:docPr id="825210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10345" name=""/>
                          <pic:cNvPicPr/>
                        </pic:nvPicPr>
                        <pic:blipFill>
                          <a:blip r:embed="rId11"/>
                          <a:stretch>
                            <a:fillRect/>
                          </a:stretch>
                        </pic:blipFill>
                        <pic:spPr>
                          <a:xfrm>
                            <a:off x="0" y="0"/>
                            <a:ext cx="2563744" cy="421215"/>
                          </a:xfrm>
                          <a:prstGeom prst="rect">
                            <a:avLst/>
                          </a:prstGeom>
                        </pic:spPr>
                      </pic:pic>
                    </a:graphicData>
                  </a:graphic>
                </wp:inline>
              </w:drawing>
            </w:r>
          </w:p>
          <w:p w14:paraId="4F50627F" w14:textId="0BB6EAE7" w:rsidR="00292AAA" w:rsidRDefault="00292AAA" w:rsidP="00BE3690"/>
        </w:tc>
        <w:tc>
          <w:tcPr>
            <w:tcW w:w="1658" w:type="dxa"/>
            <w:shd w:val="clear" w:color="auto" w:fill="auto"/>
          </w:tcPr>
          <w:p w14:paraId="59DF8E1B" w14:textId="77777777" w:rsidR="00292AAA" w:rsidRPr="008016AF" w:rsidRDefault="00292AAA" w:rsidP="00BE3690">
            <w:pPr>
              <w:autoSpaceDE w:val="0"/>
              <w:autoSpaceDN w:val="0"/>
              <w:adjustRightInd w:val="0"/>
              <w:rPr>
                <w:rFonts w:cs="Tahoma"/>
                <w:bCs/>
              </w:rPr>
            </w:pPr>
          </w:p>
        </w:tc>
        <w:tc>
          <w:tcPr>
            <w:tcW w:w="1078" w:type="dxa"/>
            <w:shd w:val="clear" w:color="auto" w:fill="auto"/>
          </w:tcPr>
          <w:p w14:paraId="705B9831" w14:textId="77777777" w:rsidR="00292AAA" w:rsidRPr="008016AF" w:rsidRDefault="00292AAA" w:rsidP="00BE3690">
            <w:pPr>
              <w:autoSpaceDE w:val="0"/>
              <w:autoSpaceDN w:val="0"/>
              <w:adjustRightInd w:val="0"/>
              <w:rPr>
                <w:rFonts w:cs="Tahoma"/>
                <w:bCs/>
              </w:rPr>
            </w:pPr>
          </w:p>
        </w:tc>
      </w:tr>
      <w:tr w:rsidR="00292AAA" w14:paraId="655F67D0" w14:textId="77777777" w:rsidTr="00CE0D25">
        <w:tc>
          <w:tcPr>
            <w:tcW w:w="1759" w:type="dxa"/>
            <w:shd w:val="clear" w:color="auto" w:fill="auto"/>
          </w:tcPr>
          <w:p w14:paraId="19F97950" w14:textId="0F7B2DF6" w:rsidR="0051743A" w:rsidRPr="00204A84" w:rsidRDefault="00A54C64" w:rsidP="0051743A">
            <w:pPr>
              <w:autoSpaceDE w:val="0"/>
              <w:autoSpaceDN w:val="0"/>
              <w:adjustRightInd w:val="0"/>
              <w:rPr>
                <w:rFonts w:cs="Tahoma"/>
                <w:b/>
                <w:smallCaps/>
              </w:rPr>
            </w:pPr>
            <w:r>
              <w:rPr>
                <w:rFonts w:cs="Tahoma"/>
                <w:b/>
                <w:smallCaps/>
              </w:rPr>
              <w:t>Entering Antibody Identifications</w:t>
            </w:r>
          </w:p>
        </w:tc>
        <w:tc>
          <w:tcPr>
            <w:tcW w:w="6439" w:type="dxa"/>
            <w:shd w:val="clear" w:color="auto" w:fill="auto"/>
          </w:tcPr>
          <w:p w14:paraId="2A6DF8A3" w14:textId="77777777" w:rsidR="00417DF8" w:rsidRDefault="00A54C64" w:rsidP="0084566D">
            <w:pPr>
              <w:autoSpaceDE w:val="0"/>
              <w:autoSpaceDN w:val="0"/>
              <w:adjustRightInd w:val="0"/>
              <w:rPr>
                <w:rFonts w:cs="Tahoma"/>
                <w:bCs/>
              </w:rPr>
            </w:pPr>
            <w:r>
              <w:rPr>
                <w:rFonts w:cs="Tahoma"/>
                <w:bCs/>
              </w:rPr>
              <w:t xml:space="preserve">When entering antibody identification results, make all attempts to use the mnemonics for antibody ID.  Do not </w:t>
            </w:r>
            <w:proofErr w:type="spellStart"/>
            <w:r>
              <w:rPr>
                <w:rFonts w:cs="Tahoma"/>
                <w:bCs/>
              </w:rPr>
              <w:t>freetext</w:t>
            </w:r>
            <w:proofErr w:type="spellEnd"/>
            <w:r>
              <w:rPr>
                <w:rFonts w:cs="Tahoma"/>
                <w:bCs/>
              </w:rPr>
              <w:t xml:space="preserve"> comments.  The system does not recognize comments as antibodies and will check allocated units for the corresponding antibody.</w:t>
            </w:r>
          </w:p>
          <w:p w14:paraId="04439F6C" w14:textId="77777777" w:rsidR="00A54C64" w:rsidRDefault="00A54C64" w:rsidP="0084566D">
            <w:pPr>
              <w:autoSpaceDE w:val="0"/>
              <w:autoSpaceDN w:val="0"/>
              <w:adjustRightInd w:val="0"/>
              <w:rPr>
                <w:rFonts w:cs="Tahoma"/>
                <w:bCs/>
              </w:rPr>
            </w:pPr>
          </w:p>
          <w:p w14:paraId="25D1CFD7" w14:textId="77777777" w:rsidR="00A54C64" w:rsidRDefault="00A54C64" w:rsidP="0084566D">
            <w:pPr>
              <w:autoSpaceDE w:val="0"/>
              <w:autoSpaceDN w:val="0"/>
              <w:adjustRightInd w:val="0"/>
              <w:rPr>
                <w:rFonts w:cs="Tahoma"/>
                <w:bCs/>
              </w:rPr>
            </w:pPr>
            <w:r>
              <w:rPr>
                <w:rFonts w:cs="Tahoma"/>
                <w:bCs/>
              </w:rPr>
              <w:t>When entering antibodies identified by another hospital, you must enter the antibody using the mnemonic and then add a comment that the antibody was identified at another hospital.</w:t>
            </w:r>
          </w:p>
          <w:p w14:paraId="31B93FB4" w14:textId="77777777" w:rsidR="00A54C64" w:rsidRDefault="00A54C64" w:rsidP="0084566D">
            <w:pPr>
              <w:autoSpaceDE w:val="0"/>
              <w:autoSpaceDN w:val="0"/>
              <w:adjustRightInd w:val="0"/>
              <w:rPr>
                <w:rFonts w:cs="Tahoma"/>
                <w:bCs/>
              </w:rPr>
            </w:pPr>
          </w:p>
          <w:p w14:paraId="1FF4E0D6" w14:textId="77777777" w:rsidR="00A54C64" w:rsidRDefault="00040FDC" w:rsidP="0084566D">
            <w:pPr>
              <w:autoSpaceDE w:val="0"/>
              <w:autoSpaceDN w:val="0"/>
              <w:adjustRightInd w:val="0"/>
              <w:rPr>
                <w:rFonts w:cs="Tahoma"/>
                <w:bCs/>
              </w:rPr>
            </w:pPr>
            <w:r>
              <w:rPr>
                <w:rFonts w:cs="Tahoma"/>
                <w:bCs/>
                <w:noProof/>
              </w:rPr>
              <w:lastRenderedPageBreak/>
              <w:drawing>
                <wp:inline distT="0" distB="0" distL="0" distR="0" wp14:anchorId="47008BEF" wp14:editId="3BEA513A">
                  <wp:extent cx="3913590" cy="852170"/>
                  <wp:effectExtent l="0" t="0" r="0" b="5080"/>
                  <wp:docPr id="938164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1319" cy="864740"/>
                          </a:xfrm>
                          <a:prstGeom prst="rect">
                            <a:avLst/>
                          </a:prstGeom>
                          <a:noFill/>
                        </pic:spPr>
                      </pic:pic>
                    </a:graphicData>
                  </a:graphic>
                </wp:inline>
              </w:drawing>
            </w:r>
          </w:p>
          <w:p w14:paraId="234E4395" w14:textId="77777777" w:rsidR="00040FDC" w:rsidRDefault="00040FDC" w:rsidP="0084566D">
            <w:pPr>
              <w:autoSpaceDE w:val="0"/>
              <w:autoSpaceDN w:val="0"/>
              <w:adjustRightInd w:val="0"/>
              <w:rPr>
                <w:rFonts w:cs="Tahoma"/>
                <w:bCs/>
              </w:rPr>
            </w:pPr>
          </w:p>
          <w:p w14:paraId="56098EB5" w14:textId="77777777" w:rsidR="00040FDC" w:rsidRDefault="00040FDC" w:rsidP="0084566D">
            <w:pPr>
              <w:autoSpaceDE w:val="0"/>
              <w:autoSpaceDN w:val="0"/>
              <w:adjustRightInd w:val="0"/>
              <w:rPr>
                <w:rFonts w:cs="Tahoma"/>
                <w:bCs/>
              </w:rPr>
            </w:pPr>
            <w:r>
              <w:rPr>
                <w:rFonts w:cs="Tahoma"/>
                <w:bCs/>
                <w:noProof/>
              </w:rPr>
              <w:drawing>
                <wp:inline distT="0" distB="0" distL="0" distR="0" wp14:anchorId="2A018D41" wp14:editId="61677904">
                  <wp:extent cx="3893771" cy="862931"/>
                  <wp:effectExtent l="0" t="0" r="0" b="0"/>
                  <wp:docPr id="5587820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4701" cy="880866"/>
                          </a:xfrm>
                          <a:prstGeom prst="rect">
                            <a:avLst/>
                          </a:prstGeom>
                          <a:noFill/>
                        </pic:spPr>
                      </pic:pic>
                    </a:graphicData>
                  </a:graphic>
                </wp:inline>
              </w:drawing>
            </w:r>
          </w:p>
          <w:p w14:paraId="12AFB188" w14:textId="3EFC9EE1" w:rsidR="00040FDC" w:rsidRPr="0084566D" w:rsidRDefault="00040FDC" w:rsidP="0084566D">
            <w:pPr>
              <w:autoSpaceDE w:val="0"/>
              <w:autoSpaceDN w:val="0"/>
              <w:adjustRightInd w:val="0"/>
              <w:rPr>
                <w:rFonts w:cs="Tahoma"/>
                <w:bCs/>
              </w:rPr>
            </w:pPr>
          </w:p>
        </w:tc>
        <w:tc>
          <w:tcPr>
            <w:tcW w:w="1658" w:type="dxa"/>
            <w:shd w:val="clear" w:color="auto" w:fill="auto"/>
          </w:tcPr>
          <w:p w14:paraId="793A5C1C" w14:textId="61D5542E" w:rsidR="0051743A" w:rsidRPr="008016AF" w:rsidRDefault="0051743A" w:rsidP="0051743A">
            <w:pPr>
              <w:autoSpaceDE w:val="0"/>
              <w:autoSpaceDN w:val="0"/>
              <w:adjustRightInd w:val="0"/>
              <w:rPr>
                <w:rFonts w:cs="Tahoma"/>
                <w:bCs/>
                <w:smallCaps/>
              </w:rPr>
            </w:pPr>
            <w:r w:rsidRPr="008016AF">
              <w:rPr>
                <w:rFonts w:cs="Tahoma"/>
                <w:bCs/>
              </w:rPr>
              <w:lastRenderedPageBreak/>
              <w:t>Informational</w:t>
            </w:r>
          </w:p>
        </w:tc>
        <w:tc>
          <w:tcPr>
            <w:tcW w:w="1078" w:type="dxa"/>
            <w:shd w:val="clear" w:color="auto" w:fill="auto"/>
          </w:tcPr>
          <w:p w14:paraId="4EEC96BB" w14:textId="500B4506" w:rsidR="0051743A" w:rsidRPr="008016AF" w:rsidRDefault="0051743A" w:rsidP="0051743A">
            <w:pPr>
              <w:autoSpaceDE w:val="0"/>
              <w:autoSpaceDN w:val="0"/>
              <w:adjustRightInd w:val="0"/>
              <w:rPr>
                <w:rFonts w:cs="Tahoma"/>
                <w:bCs/>
                <w:smallCaps/>
              </w:rPr>
            </w:pPr>
            <w:r w:rsidRPr="008016AF">
              <w:rPr>
                <w:rFonts w:cs="Tahoma"/>
                <w:bCs/>
              </w:rPr>
              <w:t>None</w:t>
            </w:r>
          </w:p>
        </w:tc>
      </w:tr>
      <w:tr w:rsidR="00292AAA" w14:paraId="279E32C6" w14:textId="77777777" w:rsidTr="00CE0D25">
        <w:tc>
          <w:tcPr>
            <w:tcW w:w="1759" w:type="dxa"/>
            <w:shd w:val="clear" w:color="auto" w:fill="auto"/>
          </w:tcPr>
          <w:p w14:paraId="181E7546" w14:textId="6635EE7C" w:rsidR="0051743A" w:rsidRPr="003D2A5A" w:rsidRDefault="00040FDC" w:rsidP="0051743A">
            <w:pPr>
              <w:autoSpaceDE w:val="0"/>
              <w:autoSpaceDN w:val="0"/>
              <w:adjustRightInd w:val="0"/>
              <w:rPr>
                <w:rFonts w:cs="Tahoma"/>
                <w:b/>
                <w:smallCaps/>
              </w:rPr>
            </w:pPr>
            <w:r>
              <w:rPr>
                <w:rFonts w:cs="Tahoma"/>
                <w:b/>
                <w:smallCaps/>
              </w:rPr>
              <w:t>Emergency Release</w:t>
            </w:r>
          </w:p>
        </w:tc>
        <w:tc>
          <w:tcPr>
            <w:tcW w:w="6439" w:type="dxa"/>
            <w:shd w:val="clear" w:color="auto" w:fill="auto"/>
          </w:tcPr>
          <w:p w14:paraId="25A72B99" w14:textId="7CE3688A" w:rsidR="0084566D" w:rsidRDefault="00040FDC" w:rsidP="0051743A">
            <w:pPr>
              <w:autoSpaceDE w:val="0"/>
              <w:autoSpaceDN w:val="0"/>
              <w:adjustRightInd w:val="0"/>
              <w:rPr>
                <w:rFonts w:cs="Tahoma"/>
              </w:rPr>
            </w:pPr>
            <w:r>
              <w:rPr>
                <w:rFonts w:cs="Tahoma"/>
              </w:rPr>
              <w:t>When giving emergency release, we should be switching the patient to type specific blood as soon as we have a T&amp;S from the current admission and retype on file.</w:t>
            </w:r>
            <w:r w:rsidR="00915564">
              <w:rPr>
                <w:rFonts w:cs="Tahoma"/>
              </w:rPr>
              <w:t xml:space="preserve">  There is no need to give O-negative red cells or AB plasma products if the patient meets requirements for type specific blood products.</w:t>
            </w:r>
          </w:p>
          <w:p w14:paraId="567810F9" w14:textId="77777777" w:rsidR="00040FDC" w:rsidRDefault="00040FDC" w:rsidP="0051743A">
            <w:pPr>
              <w:autoSpaceDE w:val="0"/>
              <w:autoSpaceDN w:val="0"/>
              <w:adjustRightInd w:val="0"/>
              <w:rPr>
                <w:rFonts w:cs="Tahoma"/>
              </w:rPr>
            </w:pPr>
          </w:p>
          <w:p w14:paraId="583BCFE2" w14:textId="77777777" w:rsidR="00040FDC" w:rsidRDefault="00040FDC" w:rsidP="0051743A">
            <w:pPr>
              <w:autoSpaceDE w:val="0"/>
              <w:autoSpaceDN w:val="0"/>
              <w:adjustRightInd w:val="0"/>
              <w:rPr>
                <w:rFonts w:cs="Tahoma"/>
              </w:rPr>
            </w:pPr>
            <w:r>
              <w:rPr>
                <w:rFonts w:cs="Tahoma"/>
              </w:rPr>
              <w:t>Example:</w:t>
            </w:r>
          </w:p>
          <w:p w14:paraId="6CEEC6F5" w14:textId="77777777" w:rsidR="00040FDC" w:rsidRDefault="00040FDC" w:rsidP="0051743A">
            <w:pPr>
              <w:autoSpaceDE w:val="0"/>
              <w:autoSpaceDN w:val="0"/>
              <w:adjustRightInd w:val="0"/>
              <w:rPr>
                <w:rFonts w:cs="Tahoma"/>
              </w:rPr>
            </w:pPr>
            <w:r>
              <w:rPr>
                <w:rFonts w:cs="Tahoma"/>
              </w:rPr>
              <w:t>Patient T&amp;S results are as follows:</w:t>
            </w:r>
          </w:p>
          <w:p w14:paraId="070BA076" w14:textId="59FD2E58" w:rsidR="00040FDC" w:rsidRDefault="00040FDC" w:rsidP="00040FDC">
            <w:pPr>
              <w:pStyle w:val="ListParagraph"/>
              <w:numPr>
                <w:ilvl w:val="0"/>
                <w:numId w:val="10"/>
              </w:numPr>
              <w:autoSpaceDE w:val="0"/>
              <w:autoSpaceDN w:val="0"/>
              <w:adjustRightInd w:val="0"/>
              <w:rPr>
                <w:rFonts w:cs="Tahoma"/>
              </w:rPr>
            </w:pPr>
            <w:r>
              <w:rPr>
                <w:rFonts w:cs="Tahoma"/>
              </w:rPr>
              <w:t>A-positive</w:t>
            </w:r>
          </w:p>
          <w:p w14:paraId="2FB29283" w14:textId="77777777" w:rsidR="00040FDC" w:rsidRDefault="00040FDC" w:rsidP="00040FDC">
            <w:pPr>
              <w:pStyle w:val="ListParagraph"/>
              <w:numPr>
                <w:ilvl w:val="0"/>
                <w:numId w:val="10"/>
              </w:numPr>
              <w:autoSpaceDE w:val="0"/>
              <w:autoSpaceDN w:val="0"/>
              <w:adjustRightInd w:val="0"/>
              <w:rPr>
                <w:rFonts w:cs="Tahoma"/>
              </w:rPr>
            </w:pPr>
            <w:proofErr w:type="spellStart"/>
            <w:r>
              <w:rPr>
                <w:rFonts w:cs="Tahoma"/>
              </w:rPr>
              <w:t>AbS</w:t>
            </w:r>
            <w:proofErr w:type="spellEnd"/>
            <w:r>
              <w:rPr>
                <w:rFonts w:cs="Tahoma"/>
              </w:rPr>
              <w:t xml:space="preserve"> positive and referred to ARC for </w:t>
            </w:r>
            <w:proofErr w:type="spellStart"/>
            <w:r>
              <w:rPr>
                <w:rFonts w:cs="Tahoma"/>
              </w:rPr>
              <w:t>AbID</w:t>
            </w:r>
            <w:proofErr w:type="spellEnd"/>
          </w:p>
          <w:p w14:paraId="1D068043" w14:textId="77777777" w:rsidR="00040FDC" w:rsidRDefault="00040FDC" w:rsidP="00040FDC">
            <w:pPr>
              <w:autoSpaceDE w:val="0"/>
              <w:autoSpaceDN w:val="0"/>
              <w:adjustRightInd w:val="0"/>
              <w:rPr>
                <w:rFonts w:cs="Tahoma"/>
              </w:rPr>
            </w:pPr>
            <w:r>
              <w:rPr>
                <w:rFonts w:cs="Tahoma"/>
              </w:rPr>
              <w:t>Retype:</w:t>
            </w:r>
          </w:p>
          <w:p w14:paraId="6951A0A7" w14:textId="37BE8277" w:rsidR="00040FDC" w:rsidRDefault="00040FDC" w:rsidP="00040FDC">
            <w:pPr>
              <w:pStyle w:val="ListParagraph"/>
              <w:numPr>
                <w:ilvl w:val="0"/>
                <w:numId w:val="11"/>
              </w:numPr>
              <w:autoSpaceDE w:val="0"/>
              <w:autoSpaceDN w:val="0"/>
              <w:adjustRightInd w:val="0"/>
              <w:rPr>
                <w:rFonts w:cs="Tahoma"/>
              </w:rPr>
            </w:pPr>
            <w:r>
              <w:rPr>
                <w:rFonts w:cs="Tahoma"/>
              </w:rPr>
              <w:t>A-positive</w:t>
            </w:r>
          </w:p>
          <w:p w14:paraId="79BEABF7" w14:textId="77777777" w:rsidR="00040FDC" w:rsidRDefault="00040FDC" w:rsidP="00040FDC">
            <w:pPr>
              <w:autoSpaceDE w:val="0"/>
              <w:autoSpaceDN w:val="0"/>
              <w:adjustRightInd w:val="0"/>
              <w:rPr>
                <w:rFonts w:cs="Tahoma"/>
              </w:rPr>
            </w:pPr>
          </w:p>
          <w:p w14:paraId="691F6757" w14:textId="1E955563" w:rsidR="00040FDC" w:rsidRDefault="00040FDC" w:rsidP="00040FDC">
            <w:pPr>
              <w:autoSpaceDE w:val="0"/>
              <w:autoSpaceDN w:val="0"/>
              <w:adjustRightInd w:val="0"/>
              <w:rPr>
                <w:rFonts w:cs="Tahoma"/>
              </w:rPr>
            </w:pPr>
            <w:r>
              <w:rPr>
                <w:rFonts w:cs="Tahoma"/>
              </w:rPr>
              <w:t xml:space="preserve">Patient needs emergency release units before the </w:t>
            </w:r>
            <w:proofErr w:type="spellStart"/>
            <w:r>
              <w:rPr>
                <w:rFonts w:cs="Tahoma"/>
              </w:rPr>
              <w:t>AbID</w:t>
            </w:r>
            <w:proofErr w:type="spellEnd"/>
            <w:r>
              <w:rPr>
                <w:rFonts w:cs="Tahoma"/>
              </w:rPr>
              <w:t xml:space="preserve"> is complete.  What blood type should be </w:t>
            </w:r>
            <w:proofErr w:type="gramStart"/>
            <w:r>
              <w:rPr>
                <w:rFonts w:cs="Tahoma"/>
              </w:rPr>
              <w:t>give</w:t>
            </w:r>
            <w:proofErr w:type="gramEnd"/>
            <w:r>
              <w:rPr>
                <w:rFonts w:cs="Tahoma"/>
              </w:rPr>
              <w:t>?</w:t>
            </w:r>
          </w:p>
          <w:p w14:paraId="3CE78F83" w14:textId="77777777" w:rsidR="00040FDC" w:rsidRDefault="00040FDC" w:rsidP="00040FDC">
            <w:pPr>
              <w:autoSpaceDE w:val="0"/>
              <w:autoSpaceDN w:val="0"/>
              <w:adjustRightInd w:val="0"/>
              <w:rPr>
                <w:rFonts w:cs="Tahoma"/>
              </w:rPr>
            </w:pPr>
          </w:p>
          <w:p w14:paraId="683DFE6D" w14:textId="77777777" w:rsidR="00915564" w:rsidRDefault="00040FDC" w:rsidP="00040FDC">
            <w:pPr>
              <w:autoSpaceDE w:val="0"/>
              <w:autoSpaceDN w:val="0"/>
              <w:adjustRightInd w:val="0"/>
              <w:rPr>
                <w:rFonts w:cs="Tahoma"/>
              </w:rPr>
            </w:pPr>
            <w:r>
              <w:rPr>
                <w:rFonts w:cs="Tahoma"/>
              </w:rPr>
              <w:t>Answer:  We give A-</w:t>
            </w:r>
            <w:proofErr w:type="gramStart"/>
            <w:r>
              <w:rPr>
                <w:rFonts w:cs="Tahoma"/>
              </w:rPr>
              <w:t>positive, because</w:t>
            </w:r>
            <w:proofErr w:type="gramEnd"/>
            <w:r>
              <w:rPr>
                <w:rFonts w:cs="Tahoma"/>
              </w:rPr>
              <w:t xml:space="preserve"> we</w:t>
            </w:r>
            <w:r w:rsidR="00915564">
              <w:rPr>
                <w:rFonts w:cs="Tahoma"/>
              </w:rPr>
              <w:t xml:space="preserve"> have two blood types on file.  </w:t>
            </w:r>
          </w:p>
          <w:p w14:paraId="6385C8AF" w14:textId="309C0F59" w:rsidR="00040FDC" w:rsidRPr="00040FDC" w:rsidRDefault="00040FDC" w:rsidP="00915564">
            <w:pPr>
              <w:autoSpaceDE w:val="0"/>
              <w:autoSpaceDN w:val="0"/>
              <w:adjustRightInd w:val="0"/>
              <w:rPr>
                <w:rFonts w:cs="Tahoma"/>
              </w:rPr>
            </w:pPr>
          </w:p>
        </w:tc>
        <w:tc>
          <w:tcPr>
            <w:tcW w:w="1658" w:type="dxa"/>
            <w:shd w:val="clear" w:color="auto" w:fill="auto"/>
          </w:tcPr>
          <w:p w14:paraId="1E70BBA4" w14:textId="5147D475"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78" w:type="dxa"/>
            <w:shd w:val="clear" w:color="auto" w:fill="auto"/>
          </w:tcPr>
          <w:p w14:paraId="65DB42CA" w14:textId="4BAE7747" w:rsidR="0051743A" w:rsidRPr="008016AF" w:rsidRDefault="0051743A" w:rsidP="0051743A">
            <w:pPr>
              <w:autoSpaceDE w:val="0"/>
              <w:autoSpaceDN w:val="0"/>
              <w:adjustRightInd w:val="0"/>
              <w:rPr>
                <w:rFonts w:cs="Tahoma"/>
                <w:bCs/>
                <w:smallCaps/>
              </w:rPr>
            </w:pPr>
            <w:r w:rsidRPr="008016AF">
              <w:rPr>
                <w:rFonts w:cs="Tahoma"/>
                <w:bCs/>
              </w:rPr>
              <w:t>None</w:t>
            </w:r>
          </w:p>
        </w:tc>
      </w:tr>
      <w:tr w:rsidR="00292AAA" w14:paraId="574100EF" w14:textId="77777777" w:rsidTr="00CE0D25">
        <w:tc>
          <w:tcPr>
            <w:tcW w:w="1759" w:type="dxa"/>
            <w:shd w:val="clear" w:color="auto" w:fill="auto"/>
          </w:tcPr>
          <w:p w14:paraId="321595CC" w14:textId="6DC5480B" w:rsidR="00A73630" w:rsidRPr="003D2A5A" w:rsidRDefault="00122FA0" w:rsidP="0051743A">
            <w:pPr>
              <w:autoSpaceDE w:val="0"/>
              <w:autoSpaceDN w:val="0"/>
              <w:adjustRightInd w:val="0"/>
              <w:rPr>
                <w:b/>
                <w:bCs/>
              </w:rPr>
            </w:pPr>
            <w:r>
              <w:rPr>
                <w:b/>
                <w:bCs/>
              </w:rPr>
              <w:t>Attendance</w:t>
            </w:r>
          </w:p>
        </w:tc>
        <w:tc>
          <w:tcPr>
            <w:tcW w:w="6439" w:type="dxa"/>
            <w:shd w:val="clear" w:color="auto" w:fill="auto"/>
          </w:tcPr>
          <w:p w14:paraId="649728FE" w14:textId="77777777" w:rsidR="00165122" w:rsidRDefault="00122FA0" w:rsidP="003D2A5A">
            <w:pPr>
              <w:autoSpaceDE w:val="0"/>
              <w:autoSpaceDN w:val="0"/>
              <w:adjustRightInd w:val="0"/>
              <w:rPr>
                <w:rFonts w:cs="Tahoma"/>
                <w:bCs/>
              </w:rPr>
            </w:pPr>
            <w:r>
              <w:rPr>
                <w:rFonts w:cs="Tahoma"/>
                <w:bCs/>
              </w:rPr>
              <w:t xml:space="preserve">Please watch attendance.  I have been trying not </w:t>
            </w:r>
            <w:proofErr w:type="gramStart"/>
            <w:r>
              <w:rPr>
                <w:rFonts w:cs="Tahoma"/>
                <w:bCs/>
              </w:rPr>
              <w:t>speak</w:t>
            </w:r>
            <w:proofErr w:type="gramEnd"/>
            <w:r>
              <w:rPr>
                <w:rFonts w:cs="Tahoma"/>
                <w:bCs/>
              </w:rPr>
              <w:t xml:space="preserve"> to people having issues, but we have some people that will switch over to disciplinary actions soon.</w:t>
            </w:r>
          </w:p>
          <w:p w14:paraId="7B090016" w14:textId="77777777" w:rsidR="00122FA0" w:rsidRDefault="00122FA0" w:rsidP="003D2A5A">
            <w:pPr>
              <w:autoSpaceDE w:val="0"/>
              <w:autoSpaceDN w:val="0"/>
              <w:adjustRightInd w:val="0"/>
              <w:rPr>
                <w:rFonts w:cs="Tahoma"/>
                <w:bCs/>
              </w:rPr>
            </w:pPr>
          </w:p>
          <w:p w14:paraId="15401882" w14:textId="77777777" w:rsidR="00122FA0" w:rsidRDefault="00122FA0" w:rsidP="003D2A5A">
            <w:pPr>
              <w:autoSpaceDE w:val="0"/>
              <w:autoSpaceDN w:val="0"/>
              <w:adjustRightInd w:val="0"/>
              <w:rPr>
                <w:rFonts w:cs="Tahoma"/>
                <w:bCs/>
              </w:rPr>
            </w:pPr>
            <w:r>
              <w:rPr>
                <w:rFonts w:cs="Tahoma"/>
                <w:bCs/>
              </w:rPr>
              <w:t>Things to watch:</w:t>
            </w:r>
          </w:p>
          <w:p w14:paraId="78D3DC71" w14:textId="77777777" w:rsidR="00122FA0" w:rsidRDefault="00122FA0" w:rsidP="00122FA0">
            <w:pPr>
              <w:pStyle w:val="ListParagraph"/>
              <w:numPr>
                <w:ilvl w:val="0"/>
                <w:numId w:val="12"/>
              </w:numPr>
              <w:autoSpaceDE w:val="0"/>
              <w:autoSpaceDN w:val="0"/>
              <w:adjustRightInd w:val="0"/>
              <w:rPr>
                <w:rFonts w:cs="Tahoma"/>
                <w:bCs/>
              </w:rPr>
            </w:pPr>
            <w:r>
              <w:rPr>
                <w:rFonts w:cs="Tahoma"/>
                <w:bCs/>
              </w:rPr>
              <w:t>Arriving on time to work.  You are allowed to clock in a maximum of 2 minutes early (before your scheduled start time) and 7 minutes late.  If you clock in too early or too late, it counts as ½ an attendance occurrence.</w:t>
            </w:r>
          </w:p>
          <w:p w14:paraId="3553B6EB" w14:textId="77777777" w:rsidR="00122FA0" w:rsidRDefault="00122FA0" w:rsidP="00122FA0">
            <w:pPr>
              <w:pStyle w:val="ListParagraph"/>
              <w:numPr>
                <w:ilvl w:val="0"/>
                <w:numId w:val="12"/>
              </w:numPr>
              <w:autoSpaceDE w:val="0"/>
              <w:autoSpaceDN w:val="0"/>
              <w:adjustRightInd w:val="0"/>
              <w:rPr>
                <w:rFonts w:cs="Tahoma"/>
                <w:bCs/>
              </w:rPr>
            </w:pPr>
            <w:r>
              <w:rPr>
                <w:rFonts w:cs="Tahoma"/>
                <w:bCs/>
              </w:rPr>
              <w:t>Not clocking in or out with your badge.  Each missed punch counts as ½ an attendance occurrence.</w:t>
            </w:r>
          </w:p>
          <w:p w14:paraId="1322650D" w14:textId="77777777" w:rsidR="00122FA0" w:rsidRDefault="00122FA0" w:rsidP="00122FA0">
            <w:pPr>
              <w:pStyle w:val="ListParagraph"/>
              <w:numPr>
                <w:ilvl w:val="0"/>
                <w:numId w:val="12"/>
              </w:numPr>
              <w:autoSpaceDE w:val="0"/>
              <w:autoSpaceDN w:val="0"/>
              <w:adjustRightInd w:val="0"/>
              <w:rPr>
                <w:rFonts w:cs="Tahoma"/>
                <w:bCs/>
              </w:rPr>
            </w:pPr>
            <w:r>
              <w:rPr>
                <w:rFonts w:cs="Tahoma"/>
                <w:bCs/>
              </w:rPr>
              <w:t xml:space="preserve">Failing to clock out and back in for lunch counts as a full attendance occurrence (1/2 occurrence for the </w:t>
            </w:r>
            <w:proofErr w:type="gramStart"/>
            <w:r>
              <w:rPr>
                <w:rFonts w:cs="Tahoma"/>
                <w:bCs/>
              </w:rPr>
              <w:t>missed out</w:t>
            </w:r>
            <w:proofErr w:type="gramEnd"/>
            <w:r>
              <w:rPr>
                <w:rFonts w:cs="Tahoma"/>
                <w:bCs/>
              </w:rPr>
              <w:t xml:space="preserve"> punch and ½ and occurrence for the missed in punch).</w:t>
            </w:r>
          </w:p>
          <w:p w14:paraId="01206FCE" w14:textId="4D545850" w:rsidR="00122FA0" w:rsidRPr="00122FA0" w:rsidRDefault="00122FA0" w:rsidP="00122FA0">
            <w:pPr>
              <w:pStyle w:val="ListParagraph"/>
              <w:autoSpaceDE w:val="0"/>
              <w:autoSpaceDN w:val="0"/>
              <w:adjustRightInd w:val="0"/>
              <w:rPr>
                <w:rFonts w:cs="Tahoma"/>
                <w:bCs/>
              </w:rPr>
            </w:pPr>
          </w:p>
        </w:tc>
        <w:tc>
          <w:tcPr>
            <w:tcW w:w="1658" w:type="dxa"/>
            <w:shd w:val="clear" w:color="auto" w:fill="auto"/>
          </w:tcPr>
          <w:p w14:paraId="546DEA42" w14:textId="0877A766" w:rsidR="00A73630" w:rsidRPr="008016AF" w:rsidRDefault="00D24952" w:rsidP="0051743A">
            <w:pPr>
              <w:autoSpaceDE w:val="0"/>
              <w:autoSpaceDN w:val="0"/>
              <w:adjustRightInd w:val="0"/>
              <w:rPr>
                <w:rFonts w:cs="Tahoma"/>
                <w:bCs/>
              </w:rPr>
            </w:pPr>
            <w:r>
              <w:rPr>
                <w:rFonts w:cs="Tahoma"/>
                <w:bCs/>
              </w:rPr>
              <w:t>Informational</w:t>
            </w:r>
          </w:p>
        </w:tc>
        <w:tc>
          <w:tcPr>
            <w:tcW w:w="1078" w:type="dxa"/>
            <w:shd w:val="clear" w:color="auto" w:fill="auto"/>
          </w:tcPr>
          <w:p w14:paraId="17C0B734" w14:textId="3780E9C6" w:rsidR="00A73630" w:rsidRPr="008016AF" w:rsidRDefault="00D24952" w:rsidP="0051743A">
            <w:pPr>
              <w:autoSpaceDE w:val="0"/>
              <w:autoSpaceDN w:val="0"/>
              <w:adjustRightInd w:val="0"/>
              <w:rPr>
                <w:rFonts w:cs="Tahoma"/>
                <w:bCs/>
              </w:rPr>
            </w:pPr>
            <w:r>
              <w:rPr>
                <w:rFonts w:cs="Tahoma"/>
                <w:bCs/>
              </w:rPr>
              <w:t>None</w:t>
            </w:r>
          </w:p>
        </w:tc>
      </w:tr>
      <w:tr w:rsidR="00292AAA" w14:paraId="2046732E" w14:textId="77777777" w:rsidTr="00CE0D25">
        <w:tc>
          <w:tcPr>
            <w:tcW w:w="1759" w:type="dxa"/>
            <w:shd w:val="clear" w:color="auto" w:fill="auto"/>
          </w:tcPr>
          <w:p w14:paraId="5A848272" w14:textId="2FE4EC94" w:rsidR="00D24952" w:rsidRPr="005A4054" w:rsidRDefault="00122FA0" w:rsidP="0051743A">
            <w:pPr>
              <w:autoSpaceDE w:val="0"/>
              <w:autoSpaceDN w:val="0"/>
              <w:adjustRightInd w:val="0"/>
              <w:rPr>
                <w:b/>
                <w:bCs/>
              </w:rPr>
            </w:pPr>
            <w:r>
              <w:rPr>
                <w:b/>
                <w:bCs/>
              </w:rPr>
              <w:t>Shift Trades</w:t>
            </w:r>
          </w:p>
        </w:tc>
        <w:tc>
          <w:tcPr>
            <w:tcW w:w="6439" w:type="dxa"/>
            <w:shd w:val="clear" w:color="auto" w:fill="auto"/>
          </w:tcPr>
          <w:p w14:paraId="4C3F9C06" w14:textId="6811A7F6" w:rsidR="00165122" w:rsidRDefault="00122FA0" w:rsidP="0051743A">
            <w:pPr>
              <w:autoSpaceDE w:val="0"/>
              <w:autoSpaceDN w:val="0"/>
              <w:adjustRightInd w:val="0"/>
              <w:rPr>
                <w:rFonts w:cs="Tahoma"/>
                <w:bCs/>
              </w:rPr>
            </w:pPr>
            <w:r>
              <w:rPr>
                <w:rFonts w:cs="Tahoma"/>
                <w:bCs/>
              </w:rPr>
              <w:t xml:space="preserve">Reminder that </w:t>
            </w:r>
            <w:proofErr w:type="gramStart"/>
            <w:r>
              <w:rPr>
                <w:rFonts w:cs="Tahoma"/>
                <w:bCs/>
              </w:rPr>
              <w:t>shift</w:t>
            </w:r>
            <w:proofErr w:type="gramEnd"/>
            <w:r>
              <w:rPr>
                <w:rFonts w:cs="Tahoma"/>
                <w:bCs/>
              </w:rPr>
              <w:t xml:space="preserve"> trades should be made 7 days prior to the shift per policy.  Any special accommodations made as part of a trade must be approved by a manager prior to acceptance.  Examples would be coming in late or leaving early for the shift someone is picking up.  These will count toward attendance occurrences if they are not approved in advance.  It is up to the person picking up the shift to get these approved.</w:t>
            </w:r>
          </w:p>
          <w:p w14:paraId="288D474D" w14:textId="3A5E34A9" w:rsidR="00122FA0" w:rsidRDefault="00122FA0" w:rsidP="0051743A">
            <w:pPr>
              <w:autoSpaceDE w:val="0"/>
              <w:autoSpaceDN w:val="0"/>
              <w:adjustRightInd w:val="0"/>
              <w:rPr>
                <w:rFonts w:cs="Tahoma"/>
                <w:bCs/>
              </w:rPr>
            </w:pPr>
          </w:p>
        </w:tc>
        <w:tc>
          <w:tcPr>
            <w:tcW w:w="1658" w:type="dxa"/>
            <w:shd w:val="clear" w:color="auto" w:fill="auto"/>
          </w:tcPr>
          <w:p w14:paraId="4EF5206D" w14:textId="1B91B1B8" w:rsidR="00D24952" w:rsidRDefault="00D24952" w:rsidP="0051743A">
            <w:pPr>
              <w:autoSpaceDE w:val="0"/>
              <w:autoSpaceDN w:val="0"/>
              <w:adjustRightInd w:val="0"/>
              <w:rPr>
                <w:rFonts w:cs="Tahoma"/>
                <w:bCs/>
              </w:rPr>
            </w:pPr>
            <w:r>
              <w:rPr>
                <w:rFonts w:cs="Tahoma"/>
                <w:bCs/>
              </w:rPr>
              <w:t>Informational</w:t>
            </w:r>
          </w:p>
        </w:tc>
        <w:tc>
          <w:tcPr>
            <w:tcW w:w="1078" w:type="dxa"/>
            <w:shd w:val="clear" w:color="auto" w:fill="auto"/>
          </w:tcPr>
          <w:p w14:paraId="2CE9CC11" w14:textId="3F72F120" w:rsidR="00D24952" w:rsidRDefault="00D24952" w:rsidP="0051743A">
            <w:pPr>
              <w:autoSpaceDE w:val="0"/>
              <w:autoSpaceDN w:val="0"/>
              <w:adjustRightInd w:val="0"/>
              <w:rPr>
                <w:rFonts w:cs="Tahoma"/>
                <w:bCs/>
              </w:rPr>
            </w:pPr>
            <w:r>
              <w:rPr>
                <w:rFonts w:cs="Tahoma"/>
                <w:bCs/>
              </w:rPr>
              <w:t>None</w:t>
            </w:r>
          </w:p>
        </w:tc>
      </w:tr>
      <w:tr w:rsidR="00292AAA" w14:paraId="1518F0A9" w14:textId="77777777" w:rsidTr="00CE0D25">
        <w:tc>
          <w:tcPr>
            <w:tcW w:w="1759" w:type="dxa"/>
            <w:shd w:val="clear" w:color="auto" w:fill="auto"/>
          </w:tcPr>
          <w:p w14:paraId="3F0C2116" w14:textId="4C6CAF63" w:rsidR="00D24952" w:rsidRPr="00D60CF9" w:rsidRDefault="00122FA0" w:rsidP="0051743A">
            <w:pPr>
              <w:autoSpaceDE w:val="0"/>
              <w:autoSpaceDN w:val="0"/>
              <w:adjustRightInd w:val="0"/>
              <w:rPr>
                <w:b/>
                <w:bCs/>
              </w:rPr>
            </w:pPr>
            <w:proofErr w:type="spellStart"/>
            <w:r>
              <w:rPr>
                <w:b/>
                <w:bCs/>
              </w:rPr>
              <w:t>Vocera</w:t>
            </w:r>
            <w:proofErr w:type="spellEnd"/>
          </w:p>
        </w:tc>
        <w:tc>
          <w:tcPr>
            <w:tcW w:w="6439" w:type="dxa"/>
            <w:shd w:val="clear" w:color="auto" w:fill="auto"/>
          </w:tcPr>
          <w:p w14:paraId="04EA6552" w14:textId="77777777" w:rsidR="00165122" w:rsidRDefault="00122FA0" w:rsidP="0051743A">
            <w:pPr>
              <w:autoSpaceDE w:val="0"/>
              <w:autoSpaceDN w:val="0"/>
              <w:adjustRightInd w:val="0"/>
              <w:rPr>
                <w:rFonts w:cs="Tahoma"/>
                <w:bCs/>
              </w:rPr>
            </w:pPr>
            <w:r>
              <w:rPr>
                <w:rFonts w:cs="Tahoma"/>
                <w:bCs/>
              </w:rPr>
              <w:t xml:space="preserve">Is the blood bank </w:t>
            </w:r>
            <w:proofErr w:type="spellStart"/>
            <w:r>
              <w:rPr>
                <w:rFonts w:cs="Tahoma"/>
                <w:bCs/>
              </w:rPr>
              <w:t>vocera</w:t>
            </w:r>
            <w:proofErr w:type="spellEnd"/>
            <w:r>
              <w:rPr>
                <w:rFonts w:cs="Tahoma"/>
                <w:bCs/>
              </w:rPr>
              <w:t xml:space="preserve"> being worn on all shifts?  Is anyone having difficulty logging in?</w:t>
            </w:r>
          </w:p>
          <w:p w14:paraId="4F5E2E38" w14:textId="2D62DB1E" w:rsidR="00122FA0" w:rsidRDefault="00122FA0" w:rsidP="0051743A">
            <w:pPr>
              <w:autoSpaceDE w:val="0"/>
              <w:autoSpaceDN w:val="0"/>
              <w:adjustRightInd w:val="0"/>
              <w:rPr>
                <w:rFonts w:cs="Tahoma"/>
                <w:bCs/>
              </w:rPr>
            </w:pPr>
          </w:p>
        </w:tc>
        <w:tc>
          <w:tcPr>
            <w:tcW w:w="1658" w:type="dxa"/>
            <w:shd w:val="clear" w:color="auto" w:fill="auto"/>
          </w:tcPr>
          <w:p w14:paraId="6B200364" w14:textId="55D8FBA5" w:rsidR="00D24952" w:rsidRDefault="00E40727" w:rsidP="0051743A">
            <w:pPr>
              <w:autoSpaceDE w:val="0"/>
              <w:autoSpaceDN w:val="0"/>
              <w:adjustRightInd w:val="0"/>
              <w:rPr>
                <w:rFonts w:cs="Tahoma"/>
                <w:bCs/>
              </w:rPr>
            </w:pPr>
            <w:r>
              <w:rPr>
                <w:rFonts w:cs="Tahoma"/>
                <w:bCs/>
              </w:rPr>
              <w:t>Informational</w:t>
            </w:r>
          </w:p>
        </w:tc>
        <w:tc>
          <w:tcPr>
            <w:tcW w:w="1078" w:type="dxa"/>
            <w:shd w:val="clear" w:color="auto" w:fill="auto"/>
          </w:tcPr>
          <w:p w14:paraId="462F067E" w14:textId="34110FD7" w:rsidR="00D24952" w:rsidRDefault="00E40727" w:rsidP="0051743A">
            <w:pPr>
              <w:autoSpaceDE w:val="0"/>
              <w:autoSpaceDN w:val="0"/>
              <w:adjustRightInd w:val="0"/>
              <w:rPr>
                <w:rFonts w:cs="Tahoma"/>
                <w:bCs/>
              </w:rPr>
            </w:pPr>
            <w:r>
              <w:rPr>
                <w:rFonts w:cs="Tahoma"/>
                <w:bCs/>
              </w:rPr>
              <w:t>None</w:t>
            </w:r>
          </w:p>
        </w:tc>
      </w:tr>
      <w:tr w:rsidR="00292AAA" w14:paraId="51573124" w14:textId="77777777" w:rsidTr="00CE0D25">
        <w:tc>
          <w:tcPr>
            <w:tcW w:w="1759" w:type="dxa"/>
            <w:shd w:val="clear" w:color="auto" w:fill="auto"/>
          </w:tcPr>
          <w:p w14:paraId="1AE36D6E" w14:textId="3372D7E1" w:rsidR="00122FA0" w:rsidRDefault="00122FA0" w:rsidP="00122FA0">
            <w:pPr>
              <w:autoSpaceDE w:val="0"/>
              <w:autoSpaceDN w:val="0"/>
              <w:adjustRightInd w:val="0"/>
              <w:rPr>
                <w:b/>
                <w:bCs/>
              </w:rPr>
            </w:pPr>
            <w:proofErr w:type="spellStart"/>
            <w:r>
              <w:rPr>
                <w:b/>
                <w:bCs/>
              </w:rPr>
              <w:t>BioRad</w:t>
            </w:r>
            <w:proofErr w:type="spellEnd"/>
          </w:p>
        </w:tc>
        <w:tc>
          <w:tcPr>
            <w:tcW w:w="6439" w:type="dxa"/>
            <w:shd w:val="clear" w:color="auto" w:fill="auto"/>
          </w:tcPr>
          <w:p w14:paraId="0C74871A" w14:textId="77777777" w:rsidR="00122FA0" w:rsidRDefault="00122FA0" w:rsidP="00122FA0">
            <w:pPr>
              <w:autoSpaceDE w:val="0"/>
              <w:autoSpaceDN w:val="0"/>
              <w:adjustRightInd w:val="0"/>
              <w:rPr>
                <w:rFonts w:cs="Tahoma"/>
                <w:bCs/>
              </w:rPr>
            </w:pPr>
            <w:r>
              <w:rPr>
                <w:rFonts w:cs="Tahoma"/>
                <w:bCs/>
              </w:rPr>
              <w:t xml:space="preserve">Did everyone test </w:t>
            </w:r>
            <w:proofErr w:type="spellStart"/>
            <w:r>
              <w:rPr>
                <w:rFonts w:cs="Tahoma"/>
                <w:bCs/>
              </w:rPr>
              <w:t>Biorad</w:t>
            </w:r>
            <w:proofErr w:type="spellEnd"/>
            <w:r>
              <w:rPr>
                <w:rFonts w:cs="Tahoma"/>
                <w:bCs/>
              </w:rPr>
              <w:t xml:space="preserve"> for the fetal screen?  What is the feedback?</w:t>
            </w:r>
          </w:p>
          <w:p w14:paraId="21E9CCA3" w14:textId="76129626" w:rsidR="00122FA0" w:rsidRDefault="00122FA0" w:rsidP="00122FA0">
            <w:pPr>
              <w:autoSpaceDE w:val="0"/>
              <w:autoSpaceDN w:val="0"/>
              <w:adjustRightInd w:val="0"/>
              <w:rPr>
                <w:rFonts w:cs="Tahoma"/>
                <w:bCs/>
              </w:rPr>
            </w:pPr>
          </w:p>
        </w:tc>
        <w:tc>
          <w:tcPr>
            <w:tcW w:w="1658" w:type="dxa"/>
            <w:shd w:val="clear" w:color="auto" w:fill="auto"/>
          </w:tcPr>
          <w:p w14:paraId="215C3B1F" w14:textId="7C9DCB1E" w:rsidR="00122FA0" w:rsidRDefault="00122FA0" w:rsidP="00122FA0">
            <w:pPr>
              <w:autoSpaceDE w:val="0"/>
              <w:autoSpaceDN w:val="0"/>
              <w:adjustRightInd w:val="0"/>
              <w:rPr>
                <w:rFonts w:cs="Tahoma"/>
                <w:bCs/>
              </w:rPr>
            </w:pPr>
            <w:r>
              <w:rPr>
                <w:rFonts w:cs="Tahoma"/>
                <w:bCs/>
              </w:rPr>
              <w:lastRenderedPageBreak/>
              <w:t>Informational</w:t>
            </w:r>
          </w:p>
        </w:tc>
        <w:tc>
          <w:tcPr>
            <w:tcW w:w="1078" w:type="dxa"/>
            <w:shd w:val="clear" w:color="auto" w:fill="auto"/>
          </w:tcPr>
          <w:p w14:paraId="6A54C6B0" w14:textId="4C862A05" w:rsidR="00122FA0" w:rsidRDefault="00122FA0" w:rsidP="00122FA0">
            <w:pPr>
              <w:autoSpaceDE w:val="0"/>
              <w:autoSpaceDN w:val="0"/>
              <w:adjustRightInd w:val="0"/>
              <w:rPr>
                <w:rFonts w:cs="Tahoma"/>
                <w:bCs/>
              </w:rPr>
            </w:pPr>
            <w:r>
              <w:rPr>
                <w:rFonts w:cs="Tahoma"/>
                <w:bCs/>
              </w:rPr>
              <w:t>None</w:t>
            </w:r>
          </w:p>
        </w:tc>
      </w:tr>
      <w:tr w:rsidR="00292AAA" w14:paraId="3CA10DDD" w14:textId="77777777" w:rsidTr="00CE0D25">
        <w:tc>
          <w:tcPr>
            <w:tcW w:w="1759" w:type="dxa"/>
            <w:shd w:val="clear" w:color="auto" w:fill="auto"/>
          </w:tcPr>
          <w:p w14:paraId="5F43B24F" w14:textId="299DE5F0" w:rsidR="00662E20" w:rsidRDefault="00662E20" w:rsidP="00662E20">
            <w:pPr>
              <w:autoSpaceDE w:val="0"/>
              <w:autoSpaceDN w:val="0"/>
              <w:adjustRightInd w:val="0"/>
              <w:rPr>
                <w:b/>
                <w:bCs/>
              </w:rPr>
            </w:pPr>
            <w:r>
              <w:rPr>
                <w:b/>
                <w:bCs/>
              </w:rPr>
              <w:t>Personal Goals</w:t>
            </w:r>
          </w:p>
        </w:tc>
        <w:tc>
          <w:tcPr>
            <w:tcW w:w="6439" w:type="dxa"/>
            <w:shd w:val="clear" w:color="auto" w:fill="auto"/>
          </w:tcPr>
          <w:p w14:paraId="666167B4" w14:textId="77777777" w:rsidR="00662E20" w:rsidRDefault="00662E20" w:rsidP="00662E20">
            <w:pPr>
              <w:autoSpaceDE w:val="0"/>
              <w:autoSpaceDN w:val="0"/>
              <w:adjustRightInd w:val="0"/>
              <w:rPr>
                <w:rFonts w:cs="Tahoma"/>
                <w:bCs/>
              </w:rPr>
            </w:pPr>
            <w:r>
              <w:rPr>
                <w:rFonts w:cs="Tahoma"/>
                <w:bCs/>
              </w:rPr>
              <w:t>Does everyone have what they need to complete their personal goals?  Is everyone keeping up with their personal goals?</w:t>
            </w:r>
          </w:p>
          <w:p w14:paraId="431C59A4" w14:textId="52C7B8D7" w:rsidR="00662E20" w:rsidRDefault="00662E20" w:rsidP="00662E20">
            <w:pPr>
              <w:autoSpaceDE w:val="0"/>
              <w:autoSpaceDN w:val="0"/>
              <w:adjustRightInd w:val="0"/>
              <w:rPr>
                <w:rFonts w:cs="Tahoma"/>
                <w:bCs/>
              </w:rPr>
            </w:pPr>
          </w:p>
        </w:tc>
        <w:tc>
          <w:tcPr>
            <w:tcW w:w="1658" w:type="dxa"/>
            <w:shd w:val="clear" w:color="auto" w:fill="auto"/>
          </w:tcPr>
          <w:p w14:paraId="31A7B35C" w14:textId="260948AC" w:rsidR="00662E20" w:rsidRDefault="00662E20" w:rsidP="00662E20">
            <w:pPr>
              <w:autoSpaceDE w:val="0"/>
              <w:autoSpaceDN w:val="0"/>
              <w:adjustRightInd w:val="0"/>
              <w:rPr>
                <w:rFonts w:cs="Tahoma"/>
                <w:bCs/>
              </w:rPr>
            </w:pPr>
            <w:r>
              <w:rPr>
                <w:rFonts w:cs="Tahoma"/>
                <w:bCs/>
              </w:rPr>
              <w:t>Informational</w:t>
            </w:r>
          </w:p>
        </w:tc>
        <w:tc>
          <w:tcPr>
            <w:tcW w:w="1078" w:type="dxa"/>
            <w:shd w:val="clear" w:color="auto" w:fill="auto"/>
          </w:tcPr>
          <w:p w14:paraId="09988E8B" w14:textId="4D35C686" w:rsidR="00662E20" w:rsidRDefault="00662E20" w:rsidP="00662E20">
            <w:pPr>
              <w:autoSpaceDE w:val="0"/>
              <w:autoSpaceDN w:val="0"/>
              <w:adjustRightInd w:val="0"/>
              <w:rPr>
                <w:rFonts w:cs="Tahoma"/>
                <w:bCs/>
              </w:rPr>
            </w:pPr>
            <w:r>
              <w:rPr>
                <w:rFonts w:cs="Tahoma"/>
                <w:bCs/>
              </w:rPr>
              <w:t>None</w:t>
            </w:r>
          </w:p>
        </w:tc>
      </w:tr>
      <w:tr w:rsidR="00292AAA" w14:paraId="7DFCBD95" w14:textId="77777777" w:rsidTr="00CE0D25">
        <w:tc>
          <w:tcPr>
            <w:tcW w:w="1759" w:type="dxa"/>
            <w:shd w:val="clear" w:color="auto" w:fill="auto"/>
          </w:tcPr>
          <w:p w14:paraId="1DBB7F65" w14:textId="47FE940D" w:rsidR="00662E20" w:rsidRDefault="00662E20" w:rsidP="00662E20">
            <w:pPr>
              <w:autoSpaceDE w:val="0"/>
              <w:autoSpaceDN w:val="0"/>
              <w:adjustRightInd w:val="0"/>
              <w:rPr>
                <w:b/>
                <w:bCs/>
              </w:rPr>
            </w:pPr>
            <w:proofErr w:type="spellStart"/>
            <w:r>
              <w:rPr>
                <w:b/>
                <w:bCs/>
              </w:rPr>
              <w:t>MediaLab</w:t>
            </w:r>
            <w:proofErr w:type="spellEnd"/>
            <w:r>
              <w:rPr>
                <w:b/>
                <w:bCs/>
              </w:rPr>
              <w:t xml:space="preserve"> Training</w:t>
            </w:r>
          </w:p>
        </w:tc>
        <w:tc>
          <w:tcPr>
            <w:tcW w:w="6439" w:type="dxa"/>
            <w:shd w:val="clear" w:color="auto" w:fill="auto"/>
          </w:tcPr>
          <w:p w14:paraId="51BD857A" w14:textId="77777777" w:rsidR="00662E20" w:rsidRDefault="00662E20" w:rsidP="00662E20">
            <w:pPr>
              <w:autoSpaceDE w:val="0"/>
              <w:autoSpaceDN w:val="0"/>
              <w:adjustRightInd w:val="0"/>
              <w:rPr>
                <w:rFonts w:cs="Tahoma"/>
                <w:bCs/>
              </w:rPr>
            </w:pPr>
            <w:r>
              <w:rPr>
                <w:rFonts w:cs="Tahoma"/>
                <w:bCs/>
              </w:rPr>
              <w:t xml:space="preserve">We will be moving towards electronic SOPs and getting rid of the paper documents.  We need all staff to complete the </w:t>
            </w:r>
            <w:proofErr w:type="spellStart"/>
            <w:r>
              <w:rPr>
                <w:rFonts w:cs="Tahoma"/>
                <w:bCs/>
              </w:rPr>
              <w:t>MediaLab</w:t>
            </w:r>
            <w:proofErr w:type="spellEnd"/>
            <w:r>
              <w:rPr>
                <w:rFonts w:cs="Tahoma"/>
                <w:bCs/>
              </w:rPr>
              <w:t xml:space="preserve"> training.  We saw a demonstration of how to look up documents in </w:t>
            </w:r>
            <w:proofErr w:type="spellStart"/>
            <w:r>
              <w:rPr>
                <w:rFonts w:cs="Tahoma"/>
                <w:bCs/>
              </w:rPr>
              <w:t>MediaLab</w:t>
            </w:r>
            <w:proofErr w:type="spellEnd"/>
            <w:r>
              <w:rPr>
                <w:rFonts w:cs="Tahoma"/>
                <w:bCs/>
              </w:rPr>
              <w:t>.</w:t>
            </w:r>
          </w:p>
          <w:p w14:paraId="3D12F7BE" w14:textId="5BDFD83F" w:rsidR="00662E20" w:rsidRDefault="00662E20" w:rsidP="00662E20">
            <w:pPr>
              <w:autoSpaceDE w:val="0"/>
              <w:autoSpaceDN w:val="0"/>
              <w:adjustRightInd w:val="0"/>
              <w:rPr>
                <w:rFonts w:cs="Tahoma"/>
                <w:bCs/>
              </w:rPr>
            </w:pPr>
          </w:p>
        </w:tc>
        <w:tc>
          <w:tcPr>
            <w:tcW w:w="1658" w:type="dxa"/>
            <w:shd w:val="clear" w:color="auto" w:fill="auto"/>
          </w:tcPr>
          <w:p w14:paraId="1BB71AC1" w14:textId="1AC2A5FA" w:rsidR="00662E20" w:rsidRDefault="00662E20" w:rsidP="00662E20">
            <w:pPr>
              <w:autoSpaceDE w:val="0"/>
              <w:autoSpaceDN w:val="0"/>
              <w:adjustRightInd w:val="0"/>
              <w:rPr>
                <w:rFonts w:cs="Tahoma"/>
                <w:bCs/>
              </w:rPr>
            </w:pPr>
            <w:r>
              <w:rPr>
                <w:rFonts w:cs="Tahoma"/>
                <w:bCs/>
              </w:rPr>
              <w:t>Informational</w:t>
            </w:r>
          </w:p>
        </w:tc>
        <w:tc>
          <w:tcPr>
            <w:tcW w:w="1078" w:type="dxa"/>
            <w:shd w:val="clear" w:color="auto" w:fill="auto"/>
          </w:tcPr>
          <w:p w14:paraId="5A8A12B6" w14:textId="386622B5" w:rsidR="00662E20" w:rsidRDefault="00662E20" w:rsidP="00662E20">
            <w:pPr>
              <w:autoSpaceDE w:val="0"/>
              <w:autoSpaceDN w:val="0"/>
              <w:adjustRightInd w:val="0"/>
              <w:rPr>
                <w:rFonts w:cs="Tahoma"/>
                <w:bCs/>
              </w:rPr>
            </w:pPr>
            <w:r>
              <w:rPr>
                <w:rFonts w:cs="Tahoma"/>
                <w:bCs/>
              </w:rPr>
              <w:t>None</w:t>
            </w:r>
          </w:p>
        </w:tc>
      </w:tr>
      <w:tr w:rsidR="00292AAA" w14:paraId="484C9AA9" w14:textId="77777777" w:rsidTr="00CE0D25">
        <w:tc>
          <w:tcPr>
            <w:tcW w:w="1759" w:type="dxa"/>
            <w:shd w:val="clear" w:color="auto" w:fill="auto"/>
          </w:tcPr>
          <w:p w14:paraId="7D56EB09" w14:textId="6783D820" w:rsidR="00662E20" w:rsidRDefault="00662E20" w:rsidP="00662E20">
            <w:pPr>
              <w:autoSpaceDE w:val="0"/>
              <w:autoSpaceDN w:val="0"/>
              <w:adjustRightInd w:val="0"/>
              <w:rPr>
                <w:b/>
                <w:bCs/>
              </w:rPr>
            </w:pPr>
            <w:r>
              <w:rPr>
                <w:b/>
                <w:bCs/>
              </w:rPr>
              <w:t>Reagent Receipt QC</w:t>
            </w:r>
          </w:p>
        </w:tc>
        <w:tc>
          <w:tcPr>
            <w:tcW w:w="6439" w:type="dxa"/>
            <w:shd w:val="clear" w:color="auto" w:fill="auto"/>
          </w:tcPr>
          <w:p w14:paraId="6AA56B97" w14:textId="77777777" w:rsidR="00662E20" w:rsidRDefault="00662E20" w:rsidP="00662E20">
            <w:pPr>
              <w:autoSpaceDE w:val="0"/>
              <w:autoSpaceDN w:val="0"/>
              <w:adjustRightInd w:val="0"/>
              <w:rPr>
                <w:rFonts w:cs="Tahoma"/>
                <w:bCs/>
              </w:rPr>
            </w:pPr>
            <w:r>
              <w:rPr>
                <w:rFonts w:cs="Tahoma"/>
                <w:bCs/>
              </w:rPr>
              <w:t>Reminder that parts of a kit need to be documented on the same reagent receipt QC form.  Each bottle will be documented in a separate column.</w:t>
            </w:r>
          </w:p>
          <w:p w14:paraId="3812AD89" w14:textId="77777777" w:rsidR="00662E20" w:rsidRDefault="00662E20" w:rsidP="00662E20">
            <w:pPr>
              <w:autoSpaceDE w:val="0"/>
              <w:autoSpaceDN w:val="0"/>
              <w:adjustRightInd w:val="0"/>
              <w:rPr>
                <w:rFonts w:cs="Tahoma"/>
                <w:bCs/>
              </w:rPr>
            </w:pPr>
          </w:p>
          <w:p w14:paraId="44A0DACD" w14:textId="77777777" w:rsidR="00662E20" w:rsidRDefault="00662E20" w:rsidP="00662E20">
            <w:pPr>
              <w:autoSpaceDE w:val="0"/>
              <w:autoSpaceDN w:val="0"/>
              <w:adjustRightInd w:val="0"/>
              <w:rPr>
                <w:rFonts w:cs="Tahoma"/>
                <w:bCs/>
              </w:rPr>
            </w:pPr>
            <w:r>
              <w:rPr>
                <w:rFonts w:cs="Tahoma"/>
                <w:bCs/>
              </w:rPr>
              <w:t>Examples:</w:t>
            </w:r>
          </w:p>
          <w:p w14:paraId="3BC615B8" w14:textId="77777777" w:rsidR="00662E20" w:rsidRDefault="00662E20" w:rsidP="00662E20">
            <w:pPr>
              <w:pStyle w:val="ListParagraph"/>
              <w:numPr>
                <w:ilvl w:val="0"/>
                <w:numId w:val="11"/>
              </w:numPr>
              <w:autoSpaceDE w:val="0"/>
              <w:autoSpaceDN w:val="0"/>
              <w:adjustRightInd w:val="0"/>
              <w:rPr>
                <w:rFonts w:cs="Tahoma"/>
                <w:bCs/>
              </w:rPr>
            </w:pPr>
            <w:r>
              <w:rPr>
                <w:rFonts w:cs="Tahoma"/>
                <w:bCs/>
              </w:rPr>
              <w:t>A1 and B cells need to be listed in two columns on the same sheet.</w:t>
            </w:r>
          </w:p>
          <w:p w14:paraId="22A21C0B" w14:textId="77777777" w:rsidR="00662E20" w:rsidRDefault="00662E20" w:rsidP="00662E20">
            <w:pPr>
              <w:pStyle w:val="ListParagraph"/>
              <w:numPr>
                <w:ilvl w:val="0"/>
                <w:numId w:val="11"/>
              </w:numPr>
              <w:autoSpaceDE w:val="0"/>
              <w:autoSpaceDN w:val="0"/>
              <w:adjustRightInd w:val="0"/>
              <w:rPr>
                <w:rFonts w:cs="Tahoma"/>
                <w:bCs/>
              </w:rPr>
            </w:pPr>
            <w:r>
              <w:rPr>
                <w:rFonts w:cs="Tahoma"/>
                <w:bCs/>
              </w:rPr>
              <w:t>Screen cells 1, 2, and 3 need to be listed in three columns on the same sheet.</w:t>
            </w:r>
          </w:p>
          <w:p w14:paraId="2E6243D3" w14:textId="77777777" w:rsidR="00662E20" w:rsidRDefault="00662E20" w:rsidP="00662E20">
            <w:pPr>
              <w:pStyle w:val="ListParagraph"/>
              <w:numPr>
                <w:ilvl w:val="0"/>
                <w:numId w:val="11"/>
              </w:numPr>
              <w:autoSpaceDE w:val="0"/>
              <w:autoSpaceDN w:val="0"/>
              <w:adjustRightInd w:val="0"/>
              <w:rPr>
                <w:rFonts w:cs="Tahoma"/>
                <w:bCs/>
              </w:rPr>
            </w:pPr>
            <w:r>
              <w:rPr>
                <w:rFonts w:cs="Tahoma"/>
                <w:bCs/>
              </w:rPr>
              <w:t>Manual capture positive and negative QC needs to be listed in two columns on the same sheet.</w:t>
            </w:r>
          </w:p>
          <w:p w14:paraId="0A83BF5E" w14:textId="2843F217" w:rsidR="00662E20" w:rsidRPr="00662E20" w:rsidRDefault="00662E20" w:rsidP="00662E20">
            <w:pPr>
              <w:pStyle w:val="ListParagraph"/>
              <w:autoSpaceDE w:val="0"/>
              <w:autoSpaceDN w:val="0"/>
              <w:adjustRightInd w:val="0"/>
              <w:rPr>
                <w:rFonts w:cs="Tahoma"/>
                <w:bCs/>
              </w:rPr>
            </w:pPr>
          </w:p>
        </w:tc>
        <w:tc>
          <w:tcPr>
            <w:tcW w:w="1658" w:type="dxa"/>
            <w:shd w:val="clear" w:color="auto" w:fill="auto"/>
          </w:tcPr>
          <w:p w14:paraId="7B513FCD" w14:textId="3E7DBEA5" w:rsidR="00662E20" w:rsidRDefault="00662E20" w:rsidP="00662E20">
            <w:pPr>
              <w:autoSpaceDE w:val="0"/>
              <w:autoSpaceDN w:val="0"/>
              <w:adjustRightInd w:val="0"/>
              <w:rPr>
                <w:rFonts w:cs="Tahoma"/>
                <w:bCs/>
              </w:rPr>
            </w:pPr>
            <w:r>
              <w:rPr>
                <w:rFonts w:cs="Tahoma"/>
                <w:bCs/>
              </w:rPr>
              <w:t>Informational</w:t>
            </w:r>
          </w:p>
        </w:tc>
        <w:tc>
          <w:tcPr>
            <w:tcW w:w="1078" w:type="dxa"/>
            <w:shd w:val="clear" w:color="auto" w:fill="auto"/>
          </w:tcPr>
          <w:p w14:paraId="7709A6B0" w14:textId="79079428" w:rsidR="00662E20" w:rsidRDefault="00662E20" w:rsidP="00662E20">
            <w:pPr>
              <w:autoSpaceDE w:val="0"/>
              <w:autoSpaceDN w:val="0"/>
              <w:adjustRightInd w:val="0"/>
              <w:rPr>
                <w:rFonts w:cs="Tahoma"/>
                <w:bCs/>
              </w:rPr>
            </w:pPr>
            <w:r>
              <w:rPr>
                <w:rFonts w:cs="Tahoma"/>
                <w:bCs/>
              </w:rPr>
              <w:t>None</w:t>
            </w:r>
          </w:p>
        </w:tc>
      </w:tr>
      <w:tr w:rsidR="00292AAA" w14:paraId="1B0D439D" w14:textId="77777777" w:rsidTr="00CE0D25">
        <w:tc>
          <w:tcPr>
            <w:tcW w:w="1759" w:type="dxa"/>
            <w:shd w:val="clear" w:color="auto" w:fill="auto"/>
          </w:tcPr>
          <w:p w14:paraId="7E8DA520" w14:textId="214C9F02" w:rsidR="00E40727" w:rsidRPr="003D6E62" w:rsidRDefault="003D6E62" w:rsidP="0051743A">
            <w:pPr>
              <w:autoSpaceDE w:val="0"/>
              <w:autoSpaceDN w:val="0"/>
              <w:adjustRightInd w:val="0"/>
              <w:rPr>
                <w:b/>
                <w:bCs/>
              </w:rPr>
            </w:pPr>
            <w:r>
              <w:rPr>
                <w:b/>
                <w:bCs/>
              </w:rPr>
              <w:t>To Do List</w:t>
            </w:r>
          </w:p>
        </w:tc>
        <w:tc>
          <w:tcPr>
            <w:tcW w:w="6439" w:type="dxa"/>
            <w:shd w:val="clear" w:color="auto" w:fill="auto"/>
          </w:tcPr>
          <w:p w14:paraId="1DAA321C" w14:textId="6AB03DE6" w:rsidR="00662E20" w:rsidRDefault="00662E20" w:rsidP="00312561">
            <w:pPr>
              <w:pStyle w:val="ListParagraph"/>
              <w:numPr>
                <w:ilvl w:val="0"/>
                <w:numId w:val="3"/>
              </w:numPr>
              <w:autoSpaceDE w:val="0"/>
              <w:autoSpaceDN w:val="0"/>
              <w:adjustRightInd w:val="0"/>
              <w:rPr>
                <w:rFonts w:cs="Tahoma"/>
                <w:bCs/>
              </w:rPr>
            </w:pPr>
            <w:r>
              <w:rPr>
                <w:rFonts w:cs="Tahoma"/>
                <w:bCs/>
              </w:rPr>
              <w:t>Reconstituted Whole Blood Competency was due on May 31.  If you have not completed this, please arrange a time with Hojat as soon as possible.  This is currently past due.</w:t>
            </w:r>
          </w:p>
          <w:p w14:paraId="49E273C4" w14:textId="16D624A6" w:rsidR="00662E20" w:rsidRDefault="00662E20" w:rsidP="00312561">
            <w:pPr>
              <w:pStyle w:val="ListParagraph"/>
              <w:numPr>
                <w:ilvl w:val="0"/>
                <w:numId w:val="3"/>
              </w:numPr>
              <w:autoSpaceDE w:val="0"/>
              <w:autoSpaceDN w:val="0"/>
              <w:adjustRightInd w:val="0"/>
              <w:rPr>
                <w:rFonts w:cs="Tahoma"/>
                <w:bCs/>
              </w:rPr>
            </w:pPr>
            <w:r>
              <w:rPr>
                <w:rFonts w:cs="Tahoma"/>
                <w:bCs/>
              </w:rPr>
              <w:t>Blood administration audits for Q2 are due on June 30.  Please complete and turn in before the deadline if you are assigned a Q2 audit.</w:t>
            </w:r>
          </w:p>
          <w:p w14:paraId="71DD2CD9" w14:textId="3898D6BB" w:rsidR="00662E20" w:rsidRDefault="00662E20" w:rsidP="00312561">
            <w:pPr>
              <w:pStyle w:val="ListParagraph"/>
              <w:numPr>
                <w:ilvl w:val="0"/>
                <w:numId w:val="3"/>
              </w:numPr>
              <w:autoSpaceDE w:val="0"/>
              <w:autoSpaceDN w:val="0"/>
              <w:adjustRightInd w:val="0"/>
              <w:rPr>
                <w:rFonts w:cs="Tahoma"/>
                <w:bCs/>
              </w:rPr>
            </w:pPr>
            <w:r w:rsidRPr="00662E20">
              <w:rPr>
                <w:rFonts w:cs="Tahoma"/>
                <w:bCs/>
              </w:rPr>
              <w:t xml:space="preserve">The next </w:t>
            </w:r>
            <w:proofErr w:type="spellStart"/>
            <w:r w:rsidRPr="00662E20">
              <w:rPr>
                <w:rFonts w:cs="Tahoma"/>
                <w:bCs/>
              </w:rPr>
              <w:t>Versiti</w:t>
            </w:r>
            <w:proofErr w:type="spellEnd"/>
            <w:r w:rsidRPr="00662E20">
              <w:rPr>
                <w:rFonts w:cs="Tahoma"/>
                <w:bCs/>
              </w:rPr>
              <w:t xml:space="preserve"> training for Rh Determination is due on June 30.</w:t>
            </w:r>
          </w:p>
          <w:p w14:paraId="66E654D4" w14:textId="2D51294D" w:rsidR="003D6E62" w:rsidRDefault="00662E20" w:rsidP="00312561">
            <w:pPr>
              <w:pStyle w:val="ListParagraph"/>
              <w:numPr>
                <w:ilvl w:val="0"/>
                <w:numId w:val="3"/>
              </w:numPr>
              <w:autoSpaceDE w:val="0"/>
              <w:autoSpaceDN w:val="0"/>
              <w:adjustRightInd w:val="0"/>
              <w:rPr>
                <w:rFonts w:cs="Tahoma"/>
                <w:bCs/>
              </w:rPr>
            </w:pPr>
            <w:r>
              <w:rPr>
                <w:rFonts w:cs="Tahoma"/>
                <w:bCs/>
              </w:rPr>
              <w:t xml:space="preserve">Complete </w:t>
            </w:r>
            <w:proofErr w:type="spellStart"/>
            <w:r>
              <w:rPr>
                <w:rFonts w:cs="Tahoma"/>
                <w:bCs/>
              </w:rPr>
              <w:t>MediaLab</w:t>
            </w:r>
            <w:proofErr w:type="spellEnd"/>
            <w:r>
              <w:rPr>
                <w:rFonts w:cs="Tahoma"/>
                <w:bCs/>
              </w:rPr>
              <w:t xml:space="preserve"> training by July 15.</w:t>
            </w:r>
          </w:p>
          <w:p w14:paraId="5927802F" w14:textId="77777777" w:rsidR="00662E20" w:rsidRDefault="00662E20" w:rsidP="00662E20">
            <w:pPr>
              <w:pStyle w:val="ListParagraph"/>
              <w:numPr>
                <w:ilvl w:val="0"/>
                <w:numId w:val="3"/>
              </w:numPr>
              <w:autoSpaceDE w:val="0"/>
              <w:autoSpaceDN w:val="0"/>
              <w:adjustRightInd w:val="0"/>
              <w:rPr>
                <w:rFonts w:cs="Tahoma"/>
                <w:bCs/>
              </w:rPr>
            </w:pPr>
            <w:r>
              <w:rPr>
                <w:rFonts w:cs="Tahoma"/>
                <w:bCs/>
              </w:rPr>
              <w:t>Annual Competency.  Please work on the following tasks:</w:t>
            </w:r>
          </w:p>
          <w:p w14:paraId="1ACB4624" w14:textId="77777777" w:rsidR="00662E20" w:rsidRDefault="00662E20" w:rsidP="00662E20">
            <w:pPr>
              <w:pStyle w:val="ListParagraph"/>
              <w:numPr>
                <w:ilvl w:val="1"/>
                <w:numId w:val="3"/>
              </w:numPr>
              <w:autoSpaceDE w:val="0"/>
              <w:autoSpaceDN w:val="0"/>
              <w:adjustRightInd w:val="0"/>
              <w:rPr>
                <w:rFonts w:cs="Tahoma"/>
                <w:bCs/>
              </w:rPr>
            </w:pPr>
            <w:r>
              <w:rPr>
                <w:rFonts w:cs="Tahoma"/>
                <w:bCs/>
              </w:rPr>
              <w:t>Rocio and Boris can sign you off on bringing red cells into inventory.  Please complete by the end of July.</w:t>
            </w:r>
          </w:p>
          <w:p w14:paraId="0BC68DBF" w14:textId="77777777" w:rsidR="00662E20" w:rsidRDefault="00662E20" w:rsidP="00662E20">
            <w:pPr>
              <w:pStyle w:val="ListParagraph"/>
              <w:numPr>
                <w:ilvl w:val="1"/>
                <w:numId w:val="3"/>
              </w:numPr>
              <w:autoSpaceDE w:val="0"/>
              <w:autoSpaceDN w:val="0"/>
              <w:adjustRightInd w:val="0"/>
              <w:rPr>
                <w:rFonts w:cs="Tahoma"/>
                <w:bCs/>
              </w:rPr>
            </w:pPr>
            <w:r>
              <w:rPr>
                <w:rFonts w:cs="Tahoma"/>
                <w:bCs/>
              </w:rPr>
              <w:t xml:space="preserve">Rocio and Hojat can sign you off on thawing plasma or </w:t>
            </w:r>
            <w:proofErr w:type="spellStart"/>
            <w:r>
              <w:rPr>
                <w:rFonts w:cs="Tahoma"/>
                <w:bCs/>
              </w:rPr>
              <w:t>cryo</w:t>
            </w:r>
            <w:proofErr w:type="spellEnd"/>
            <w:r>
              <w:rPr>
                <w:rFonts w:cs="Tahoma"/>
                <w:bCs/>
              </w:rPr>
              <w:t>.  Please complete by the end of August.</w:t>
            </w:r>
          </w:p>
          <w:p w14:paraId="648A78CC" w14:textId="77777777" w:rsidR="00662E20" w:rsidRDefault="00662E20" w:rsidP="00662E20">
            <w:pPr>
              <w:pStyle w:val="ListParagraph"/>
              <w:numPr>
                <w:ilvl w:val="1"/>
                <w:numId w:val="3"/>
              </w:numPr>
              <w:autoSpaceDE w:val="0"/>
              <w:autoSpaceDN w:val="0"/>
              <w:adjustRightInd w:val="0"/>
              <w:rPr>
                <w:rFonts w:cs="Tahoma"/>
                <w:bCs/>
              </w:rPr>
            </w:pPr>
            <w:r>
              <w:rPr>
                <w:rFonts w:cs="Tahoma"/>
                <w:bCs/>
              </w:rPr>
              <w:t>Rocio can sign you off on issuing.  Please start working on this.</w:t>
            </w:r>
          </w:p>
          <w:p w14:paraId="1B04B3EA" w14:textId="1E7E7036" w:rsidR="00662E20" w:rsidRPr="00662E20" w:rsidRDefault="00662E20" w:rsidP="00662E20">
            <w:pPr>
              <w:pStyle w:val="ListParagraph"/>
              <w:autoSpaceDE w:val="0"/>
              <w:autoSpaceDN w:val="0"/>
              <w:adjustRightInd w:val="0"/>
              <w:ind w:left="1440"/>
              <w:rPr>
                <w:rFonts w:cs="Tahoma"/>
                <w:bCs/>
              </w:rPr>
            </w:pPr>
          </w:p>
        </w:tc>
        <w:tc>
          <w:tcPr>
            <w:tcW w:w="1658" w:type="dxa"/>
            <w:shd w:val="clear" w:color="auto" w:fill="auto"/>
          </w:tcPr>
          <w:p w14:paraId="1E76D214" w14:textId="09245BD9" w:rsidR="00E40727" w:rsidRDefault="003850E4" w:rsidP="0051743A">
            <w:pPr>
              <w:autoSpaceDE w:val="0"/>
              <w:autoSpaceDN w:val="0"/>
              <w:adjustRightInd w:val="0"/>
              <w:rPr>
                <w:rFonts w:cs="Tahoma"/>
                <w:bCs/>
              </w:rPr>
            </w:pPr>
            <w:r>
              <w:rPr>
                <w:rFonts w:cs="Tahoma"/>
                <w:bCs/>
              </w:rPr>
              <w:t>Informational</w:t>
            </w:r>
          </w:p>
        </w:tc>
        <w:tc>
          <w:tcPr>
            <w:tcW w:w="1078" w:type="dxa"/>
            <w:shd w:val="clear" w:color="auto" w:fill="auto"/>
          </w:tcPr>
          <w:p w14:paraId="4F661A56" w14:textId="32D6AF97" w:rsidR="00E40727" w:rsidRDefault="003850E4" w:rsidP="0051743A">
            <w:pPr>
              <w:autoSpaceDE w:val="0"/>
              <w:autoSpaceDN w:val="0"/>
              <w:adjustRightInd w:val="0"/>
              <w:rPr>
                <w:rFonts w:cs="Tahoma"/>
                <w:bCs/>
              </w:rPr>
            </w:pPr>
            <w:r>
              <w:rPr>
                <w:rFonts w:cs="Tahoma"/>
                <w:bCs/>
              </w:rPr>
              <w:t>None</w:t>
            </w:r>
          </w:p>
        </w:tc>
      </w:tr>
      <w:tr w:rsidR="00292AAA" w14:paraId="00EB2CBD" w14:textId="77777777" w:rsidTr="00CE0D25">
        <w:tc>
          <w:tcPr>
            <w:tcW w:w="1759" w:type="dxa"/>
            <w:shd w:val="clear" w:color="auto" w:fill="auto"/>
          </w:tcPr>
          <w:p w14:paraId="36E8300C" w14:textId="344B92D8" w:rsidR="00B56B7A" w:rsidRDefault="00B56B7A" w:rsidP="00B56B7A">
            <w:pPr>
              <w:autoSpaceDE w:val="0"/>
              <w:autoSpaceDN w:val="0"/>
              <w:adjustRightInd w:val="0"/>
              <w:rPr>
                <w:b/>
                <w:bCs/>
              </w:rPr>
            </w:pPr>
            <w:r>
              <w:rPr>
                <w:b/>
                <w:bCs/>
              </w:rPr>
              <w:t>Employee Engagement Survey</w:t>
            </w:r>
          </w:p>
        </w:tc>
        <w:tc>
          <w:tcPr>
            <w:tcW w:w="6439" w:type="dxa"/>
            <w:shd w:val="clear" w:color="auto" w:fill="auto"/>
          </w:tcPr>
          <w:p w14:paraId="04880245" w14:textId="2C71C5F4" w:rsidR="00B56B7A" w:rsidRPr="00662E20" w:rsidRDefault="00B56B7A" w:rsidP="00B56B7A">
            <w:pPr>
              <w:autoSpaceDE w:val="0"/>
              <w:autoSpaceDN w:val="0"/>
              <w:adjustRightInd w:val="0"/>
              <w:rPr>
                <w:rFonts w:cs="Tahoma"/>
                <w:bCs/>
              </w:rPr>
            </w:pPr>
            <w:r>
              <w:rPr>
                <w:rFonts w:cs="Tahoma"/>
                <w:bCs/>
              </w:rPr>
              <w:t>Review results and solicit feedback.</w:t>
            </w:r>
          </w:p>
        </w:tc>
        <w:tc>
          <w:tcPr>
            <w:tcW w:w="1658" w:type="dxa"/>
            <w:shd w:val="clear" w:color="auto" w:fill="auto"/>
          </w:tcPr>
          <w:p w14:paraId="70CBD699" w14:textId="55956961" w:rsidR="00B56B7A" w:rsidRDefault="00B56B7A" w:rsidP="00B56B7A">
            <w:pPr>
              <w:autoSpaceDE w:val="0"/>
              <w:autoSpaceDN w:val="0"/>
              <w:adjustRightInd w:val="0"/>
              <w:rPr>
                <w:rFonts w:cs="Tahoma"/>
                <w:bCs/>
              </w:rPr>
            </w:pPr>
            <w:r>
              <w:rPr>
                <w:rFonts w:cs="Tahoma"/>
                <w:bCs/>
              </w:rPr>
              <w:t>Informational</w:t>
            </w:r>
          </w:p>
        </w:tc>
        <w:tc>
          <w:tcPr>
            <w:tcW w:w="1078" w:type="dxa"/>
            <w:shd w:val="clear" w:color="auto" w:fill="auto"/>
          </w:tcPr>
          <w:p w14:paraId="56F49B00" w14:textId="5FF8A4C6" w:rsidR="00B56B7A" w:rsidRDefault="00B56B7A" w:rsidP="00B56B7A">
            <w:pPr>
              <w:autoSpaceDE w:val="0"/>
              <w:autoSpaceDN w:val="0"/>
              <w:adjustRightInd w:val="0"/>
              <w:rPr>
                <w:rFonts w:cs="Tahoma"/>
                <w:bCs/>
              </w:rPr>
            </w:pPr>
            <w:r>
              <w:rPr>
                <w:rFonts w:cs="Tahoma"/>
                <w:bCs/>
              </w:rPr>
              <w:t>None</w:t>
            </w:r>
          </w:p>
        </w:tc>
      </w:tr>
      <w:tr w:rsidR="00CE0D25" w14:paraId="7899B16B" w14:textId="77777777" w:rsidTr="00CE0D25">
        <w:tc>
          <w:tcPr>
            <w:tcW w:w="1759" w:type="dxa"/>
            <w:shd w:val="clear" w:color="auto" w:fill="auto"/>
          </w:tcPr>
          <w:p w14:paraId="3F59A363" w14:textId="0BFA552A" w:rsidR="00CE0D25" w:rsidRDefault="00CE0D25" w:rsidP="00CE0D25">
            <w:pPr>
              <w:autoSpaceDE w:val="0"/>
              <w:autoSpaceDN w:val="0"/>
              <w:adjustRightInd w:val="0"/>
              <w:rPr>
                <w:b/>
                <w:bCs/>
              </w:rPr>
            </w:pPr>
            <w:r>
              <w:rPr>
                <w:b/>
                <w:bCs/>
              </w:rPr>
              <w:t>Question</w:t>
            </w:r>
          </w:p>
        </w:tc>
        <w:tc>
          <w:tcPr>
            <w:tcW w:w="6439" w:type="dxa"/>
            <w:shd w:val="clear" w:color="auto" w:fill="auto"/>
          </w:tcPr>
          <w:p w14:paraId="55E9F546" w14:textId="77777777" w:rsidR="00CE0D25" w:rsidRDefault="00CE0D25" w:rsidP="00CE0D25">
            <w:pPr>
              <w:autoSpaceDE w:val="0"/>
              <w:autoSpaceDN w:val="0"/>
              <w:adjustRightInd w:val="0"/>
              <w:rPr>
                <w:rFonts w:cs="Tahoma"/>
                <w:bCs/>
              </w:rPr>
            </w:pPr>
            <w:r>
              <w:rPr>
                <w:rFonts w:cs="Tahoma"/>
                <w:bCs/>
              </w:rPr>
              <w:t>Question:  We had an emergency release request on a baby.  We did not have time to prepare an aliquot, but we did irradiate the unit and issue the full unit.  The unit was returned to inventory.  Can we use the irradiated unit to prepare neonatal aliquots?</w:t>
            </w:r>
          </w:p>
          <w:p w14:paraId="66BA1672" w14:textId="77777777" w:rsidR="00CE0D25" w:rsidRDefault="00CE0D25" w:rsidP="00CE0D25">
            <w:pPr>
              <w:autoSpaceDE w:val="0"/>
              <w:autoSpaceDN w:val="0"/>
              <w:adjustRightInd w:val="0"/>
              <w:rPr>
                <w:rFonts w:cs="Tahoma"/>
                <w:bCs/>
              </w:rPr>
            </w:pPr>
          </w:p>
          <w:p w14:paraId="0E3AF142" w14:textId="77777777" w:rsidR="00CE0D25" w:rsidRDefault="00CE0D25" w:rsidP="00CE0D25">
            <w:pPr>
              <w:autoSpaceDE w:val="0"/>
              <w:autoSpaceDN w:val="0"/>
              <w:adjustRightInd w:val="0"/>
              <w:rPr>
                <w:rFonts w:cs="Tahoma"/>
                <w:bCs/>
              </w:rPr>
            </w:pPr>
            <w:r>
              <w:rPr>
                <w:rFonts w:cs="Tahoma"/>
                <w:bCs/>
              </w:rPr>
              <w:t>Answer:  No.  We can issue the unit to an adult patient, but we cannot prepare aliquots from the unit.  Once irradiated, the potassium leaks out of the red cells and into the supernatant.  This is dangerous for neonates.</w:t>
            </w:r>
          </w:p>
          <w:p w14:paraId="4D139AC0" w14:textId="77777777" w:rsidR="00CE0D25" w:rsidRDefault="00CE0D25" w:rsidP="00CE0D25">
            <w:pPr>
              <w:autoSpaceDE w:val="0"/>
              <w:autoSpaceDN w:val="0"/>
              <w:adjustRightInd w:val="0"/>
              <w:rPr>
                <w:rFonts w:cs="Tahoma"/>
                <w:bCs/>
              </w:rPr>
            </w:pPr>
          </w:p>
          <w:p w14:paraId="1F30B723" w14:textId="77777777" w:rsidR="00CE0D25" w:rsidRDefault="00CE0D25" w:rsidP="00CE0D25">
            <w:pPr>
              <w:autoSpaceDE w:val="0"/>
              <w:autoSpaceDN w:val="0"/>
              <w:adjustRightInd w:val="0"/>
              <w:rPr>
                <w:rFonts w:cs="Tahoma"/>
                <w:bCs/>
              </w:rPr>
            </w:pPr>
            <w:r>
              <w:rPr>
                <w:rFonts w:cs="Tahoma"/>
                <w:bCs/>
              </w:rPr>
              <w:t>Reminder:  If we issue an irradiated unit to a patient that does not have an irradiated marker, you must leave a note for Stephanie to change the billing, so the patient is not billed for a product he/she did not require.</w:t>
            </w:r>
          </w:p>
          <w:p w14:paraId="6CDDE84D" w14:textId="638D1DEC" w:rsidR="00CE0D25" w:rsidRDefault="00CE0D25" w:rsidP="00CE0D25">
            <w:pPr>
              <w:autoSpaceDE w:val="0"/>
              <w:autoSpaceDN w:val="0"/>
              <w:adjustRightInd w:val="0"/>
              <w:rPr>
                <w:rFonts w:cs="Tahoma"/>
                <w:bCs/>
              </w:rPr>
            </w:pPr>
          </w:p>
        </w:tc>
        <w:tc>
          <w:tcPr>
            <w:tcW w:w="1658" w:type="dxa"/>
            <w:shd w:val="clear" w:color="auto" w:fill="auto"/>
          </w:tcPr>
          <w:p w14:paraId="1825BBED" w14:textId="3DD4986F" w:rsidR="00CE0D25" w:rsidRDefault="00CE0D25" w:rsidP="00CE0D25">
            <w:pPr>
              <w:autoSpaceDE w:val="0"/>
              <w:autoSpaceDN w:val="0"/>
              <w:adjustRightInd w:val="0"/>
              <w:rPr>
                <w:rFonts w:cs="Tahoma"/>
                <w:bCs/>
              </w:rPr>
            </w:pPr>
            <w:r>
              <w:rPr>
                <w:rFonts w:cs="Tahoma"/>
                <w:bCs/>
              </w:rPr>
              <w:t>Informational</w:t>
            </w:r>
          </w:p>
        </w:tc>
        <w:tc>
          <w:tcPr>
            <w:tcW w:w="1078" w:type="dxa"/>
            <w:shd w:val="clear" w:color="auto" w:fill="auto"/>
          </w:tcPr>
          <w:p w14:paraId="7AA72093" w14:textId="1FE8AAB9" w:rsidR="00CE0D25" w:rsidRDefault="00CE0D25" w:rsidP="00CE0D25">
            <w:pPr>
              <w:autoSpaceDE w:val="0"/>
              <w:autoSpaceDN w:val="0"/>
              <w:adjustRightInd w:val="0"/>
              <w:rPr>
                <w:rFonts w:cs="Tahoma"/>
                <w:bCs/>
              </w:rPr>
            </w:pPr>
            <w:r>
              <w:rPr>
                <w:rFonts w:cs="Tahoma"/>
                <w:bCs/>
              </w:rPr>
              <w:t>None</w:t>
            </w:r>
          </w:p>
        </w:tc>
      </w:tr>
    </w:tbl>
    <w:p w14:paraId="5B43E848" w14:textId="77777777" w:rsidR="0051743A" w:rsidRDefault="0051743A" w:rsidP="002B6ECE">
      <w:pPr>
        <w:autoSpaceDE w:val="0"/>
        <w:autoSpaceDN w:val="0"/>
        <w:adjustRightInd w:val="0"/>
        <w:rPr>
          <w:rFonts w:cs="Tahoma"/>
          <w:bCs/>
          <w:smallCaps/>
        </w:rPr>
      </w:pPr>
    </w:p>
    <w:p w14:paraId="040837F4" w14:textId="21EFC7C3" w:rsidR="0090788B" w:rsidRPr="000E630F" w:rsidRDefault="0090788B" w:rsidP="0079215B">
      <w:pPr>
        <w:tabs>
          <w:tab w:val="left" w:pos="1420"/>
          <w:tab w:val="left" w:leader="underscore" w:pos="5760"/>
        </w:tabs>
        <w:rPr>
          <w:rFonts w:cs="Tahoma"/>
        </w:rPr>
      </w:pPr>
    </w:p>
    <w:sectPr w:rsidR="0090788B" w:rsidRPr="000E630F" w:rsidSect="004A7CD4">
      <w:headerReference w:type="default" r:id="rId14"/>
      <w:footerReference w:type="default" r:id="rId15"/>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5C0"/>
    <w:multiLevelType w:val="hybridMultilevel"/>
    <w:tmpl w:val="49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831A1"/>
    <w:multiLevelType w:val="hybridMultilevel"/>
    <w:tmpl w:val="A37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E6E5C"/>
    <w:multiLevelType w:val="hybridMultilevel"/>
    <w:tmpl w:val="403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76B6"/>
    <w:multiLevelType w:val="hybridMultilevel"/>
    <w:tmpl w:val="810E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37C39"/>
    <w:multiLevelType w:val="hybridMultilevel"/>
    <w:tmpl w:val="24624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F02CE"/>
    <w:multiLevelType w:val="hybridMultilevel"/>
    <w:tmpl w:val="922A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70253"/>
    <w:multiLevelType w:val="hybridMultilevel"/>
    <w:tmpl w:val="9AF2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1113F"/>
    <w:multiLevelType w:val="hybridMultilevel"/>
    <w:tmpl w:val="5EA8E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53913"/>
    <w:multiLevelType w:val="hybridMultilevel"/>
    <w:tmpl w:val="7A00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94696"/>
    <w:multiLevelType w:val="hybridMultilevel"/>
    <w:tmpl w:val="4004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43FB8"/>
    <w:multiLevelType w:val="hybridMultilevel"/>
    <w:tmpl w:val="8848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92DD2"/>
    <w:multiLevelType w:val="hybridMultilevel"/>
    <w:tmpl w:val="FAEE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A04D5"/>
    <w:multiLevelType w:val="hybridMultilevel"/>
    <w:tmpl w:val="6DEEA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116436">
    <w:abstractNumId w:val="5"/>
  </w:num>
  <w:num w:numId="2" w16cid:durableId="1987274447">
    <w:abstractNumId w:val="8"/>
  </w:num>
  <w:num w:numId="3" w16cid:durableId="323749801">
    <w:abstractNumId w:val="4"/>
  </w:num>
  <w:num w:numId="4" w16cid:durableId="771710377">
    <w:abstractNumId w:val="11"/>
  </w:num>
  <w:num w:numId="5" w16cid:durableId="1231961946">
    <w:abstractNumId w:val="7"/>
  </w:num>
  <w:num w:numId="6" w16cid:durableId="508570484">
    <w:abstractNumId w:val="3"/>
  </w:num>
  <w:num w:numId="7" w16cid:durableId="1449155303">
    <w:abstractNumId w:val="0"/>
  </w:num>
  <w:num w:numId="8" w16cid:durableId="70320232">
    <w:abstractNumId w:val="6"/>
  </w:num>
  <w:num w:numId="9" w16cid:durableId="359209575">
    <w:abstractNumId w:val="9"/>
  </w:num>
  <w:num w:numId="10" w16cid:durableId="691879331">
    <w:abstractNumId w:val="10"/>
  </w:num>
  <w:num w:numId="11" w16cid:durableId="1999308470">
    <w:abstractNumId w:val="1"/>
  </w:num>
  <w:num w:numId="12" w16cid:durableId="1937326548">
    <w:abstractNumId w:val="12"/>
  </w:num>
  <w:num w:numId="13" w16cid:durableId="166266025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186F"/>
    <w:rsid w:val="000118B9"/>
    <w:rsid w:val="000119DC"/>
    <w:rsid w:val="00011A1A"/>
    <w:rsid w:val="00011CD0"/>
    <w:rsid w:val="00012162"/>
    <w:rsid w:val="00012343"/>
    <w:rsid w:val="000123FC"/>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0FDC"/>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E0D"/>
    <w:rsid w:val="000F0672"/>
    <w:rsid w:val="000F081F"/>
    <w:rsid w:val="000F0ED2"/>
    <w:rsid w:val="000F14AD"/>
    <w:rsid w:val="000F173F"/>
    <w:rsid w:val="000F2694"/>
    <w:rsid w:val="000F405B"/>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AFE"/>
    <w:rsid w:val="00116F35"/>
    <w:rsid w:val="001204FD"/>
    <w:rsid w:val="001207D5"/>
    <w:rsid w:val="00120E4C"/>
    <w:rsid w:val="00120F36"/>
    <w:rsid w:val="0012120D"/>
    <w:rsid w:val="00122131"/>
    <w:rsid w:val="001222E3"/>
    <w:rsid w:val="001223B0"/>
    <w:rsid w:val="00122B9D"/>
    <w:rsid w:val="00122C17"/>
    <w:rsid w:val="00122FA0"/>
    <w:rsid w:val="00122FE8"/>
    <w:rsid w:val="0012323F"/>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122"/>
    <w:rsid w:val="00165440"/>
    <w:rsid w:val="00167A86"/>
    <w:rsid w:val="00167C63"/>
    <w:rsid w:val="001701C7"/>
    <w:rsid w:val="0017063E"/>
    <w:rsid w:val="00170AB9"/>
    <w:rsid w:val="0017100F"/>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37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A61"/>
    <w:rsid w:val="001D01F3"/>
    <w:rsid w:val="001D0438"/>
    <w:rsid w:val="001D0956"/>
    <w:rsid w:val="001D0B5D"/>
    <w:rsid w:val="001D2101"/>
    <w:rsid w:val="001D212F"/>
    <w:rsid w:val="001D299A"/>
    <w:rsid w:val="001D2ECF"/>
    <w:rsid w:val="001D31D9"/>
    <w:rsid w:val="001D4212"/>
    <w:rsid w:val="001D4315"/>
    <w:rsid w:val="001D5026"/>
    <w:rsid w:val="001D5096"/>
    <w:rsid w:val="001D5D6E"/>
    <w:rsid w:val="001D619C"/>
    <w:rsid w:val="001D7C2B"/>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4DD5"/>
    <w:rsid w:val="001E53AA"/>
    <w:rsid w:val="001E588E"/>
    <w:rsid w:val="001E65E7"/>
    <w:rsid w:val="001E67D2"/>
    <w:rsid w:val="001E6AA4"/>
    <w:rsid w:val="001E73DF"/>
    <w:rsid w:val="001E7756"/>
    <w:rsid w:val="001E7A54"/>
    <w:rsid w:val="001E7CD4"/>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92B"/>
    <w:rsid w:val="00204991"/>
    <w:rsid w:val="00204A84"/>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2"/>
    <w:rsid w:val="00210859"/>
    <w:rsid w:val="00210E56"/>
    <w:rsid w:val="00210EF0"/>
    <w:rsid w:val="00211383"/>
    <w:rsid w:val="0021180D"/>
    <w:rsid w:val="00212321"/>
    <w:rsid w:val="00212B99"/>
    <w:rsid w:val="00212D94"/>
    <w:rsid w:val="00212FF8"/>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3A9"/>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381"/>
    <w:rsid w:val="00240C0A"/>
    <w:rsid w:val="00240D7B"/>
    <w:rsid w:val="00240E80"/>
    <w:rsid w:val="002411E5"/>
    <w:rsid w:val="00241918"/>
    <w:rsid w:val="00242046"/>
    <w:rsid w:val="00242154"/>
    <w:rsid w:val="0024226E"/>
    <w:rsid w:val="0024249A"/>
    <w:rsid w:val="002431DC"/>
    <w:rsid w:val="0024328C"/>
    <w:rsid w:val="002435B8"/>
    <w:rsid w:val="00244095"/>
    <w:rsid w:val="002444F4"/>
    <w:rsid w:val="00244840"/>
    <w:rsid w:val="002448B1"/>
    <w:rsid w:val="00244933"/>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AAA"/>
    <w:rsid w:val="00292D03"/>
    <w:rsid w:val="002932CD"/>
    <w:rsid w:val="0029352E"/>
    <w:rsid w:val="00294294"/>
    <w:rsid w:val="002944A5"/>
    <w:rsid w:val="0029508A"/>
    <w:rsid w:val="002951FA"/>
    <w:rsid w:val="002953B2"/>
    <w:rsid w:val="0029584E"/>
    <w:rsid w:val="0029588B"/>
    <w:rsid w:val="00295B94"/>
    <w:rsid w:val="00295F8B"/>
    <w:rsid w:val="00295F93"/>
    <w:rsid w:val="002971EC"/>
    <w:rsid w:val="002974B8"/>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51"/>
    <w:rsid w:val="002E14D3"/>
    <w:rsid w:val="002E1AD0"/>
    <w:rsid w:val="002E1C9D"/>
    <w:rsid w:val="002E1EB6"/>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CD6"/>
    <w:rsid w:val="002F5EF6"/>
    <w:rsid w:val="002F639D"/>
    <w:rsid w:val="002F64E6"/>
    <w:rsid w:val="002F6870"/>
    <w:rsid w:val="002F6C33"/>
    <w:rsid w:val="002F6CB1"/>
    <w:rsid w:val="002F7A9A"/>
    <w:rsid w:val="002F7F8E"/>
    <w:rsid w:val="00300352"/>
    <w:rsid w:val="00300531"/>
    <w:rsid w:val="00300637"/>
    <w:rsid w:val="00301287"/>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561"/>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0E4"/>
    <w:rsid w:val="00385393"/>
    <w:rsid w:val="00385966"/>
    <w:rsid w:val="00385EB3"/>
    <w:rsid w:val="00386034"/>
    <w:rsid w:val="00386117"/>
    <w:rsid w:val="003864C2"/>
    <w:rsid w:val="00386881"/>
    <w:rsid w:val="00386BC5"/>
    <w:rsid w:val="003877A9"/>
    <w:rsid w:val="0038784B"/>
    <w:rsid w:val="00387D46"/>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D7F"/>
    <w:rsid w:val="003952BA"/>
    <w:rsid w:val="00395379"/>
    <w:rsid w:val="003959EB"/>
    <w:rsid w:val="00395AEC"/>
    <w:rsid w:val="00395C67"/>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2A7B"/>
    <w:rsid w:val="003A3685"/>
    <w:rsid w:val="003A3F83"/>
    <w:rsid w:val="003A4032"/>
    <w:rsid w:val="003A41DC"/>
    <w:rsid w:val="003A45F4"/>
    <w:rsid w:val="003A4784"/>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C5C"/>
    <w:rsid w:val="003C52AD"/>
    <w:rsid w:val="003C52EC"/>
    <w:rsid w:val="003C592E"/>
    <w:rsid w:val="003C5A11"/>
    <w:rsid w:val="003C6431"/>
    <w:rsid w:val="003C6EC6"/>
    <w:rsid w:val="003C70F7"/>
    <w:rsid w:val="003C7221"/>
    <w:rsid w:val="003C72E0"/>
    <w:rsid w:val="003C73A5"/>
    <w:rsid w:val="003C7608"/>
    <w:rsid w:val="003D0498"/>
    <w:rsid w:val="003D0B09"/>
    <w:rsid w:val="003D137D"/>
    <w:rsid w:val="003D1439"/>
    <w:rsid w:val="003D1DCD"/>
    <w:rsid w:val="003D2A5A"/>
    <w:rsid w:val="003D3368"/>
    <w:rsid w:val="003D352D"/>
    <w:rsid w:val="003D3EC8"/>
    <w:rsid w:val="003D40B9"/>
    <w:rsid w:val="003D48EB"/>
    <w:rsid w:val="003D4E4F"/>
    <w:rsid w:val="003D547D"/>
    <w:rsid w:val="003D548B"/>
    <w:rsid w:val="003D6494"/>
    <w:rsid w:val="003D67B8"/>
    <w:rsid w:val="003D69CB"/>
    <w:rsid w:val="003D6E62"/>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741"/>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BE"/>
    <w:rsid w:val="00417946"/>
    <w:rsid w:val="00417DF8"/>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43E"/>
    <w:rsid w:val="0042649F"/>
    <w:rsid w:val="004264D3"/>
    <w:rsid w:val="00426864"/>
    <w:rsid w:val="004271CC"/>
    <w:rsid w:val="0042783C"/>
    <w:rsid w:val="00427A59"/>
    <w:rsid w:val="00427A64"/>
    <w:rsid w:val="00427C3D"/>
    <w:rsid w:val="004302BE"/>
    <w:rsid w:val="00430369"/>
    <w:rsid w:val="00430D70"/>
    <w:rsid w:val="0043180E"/>
    <w:rsid w:val="004318A3"/>
    <w:rsid w:val="00431CE9"/>
    <w:rsid w:val="00432684"/>
    <w:rsid w:val="004328EA"/>
    <w:rsid w:val="00432BAE"/>
    <w:rsid w:val="00432D6B"/>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74"/>
    <w:rsid w:val="004F48D5"/>
    <w:rsid w:val="004F4F5C"/>
    <w:rsid w:val="004F572F"/>
    <w:rsid w:val="004F582F"/>
    <w:rsid w:val="004F5D34"/>
    <w:rsid w:val="004F5F69"/>
    <w:rsid w:val="004F62AC"/>
    <w:rsid w:val="004F6330"/>
    <w:rsid w:val="004F63A2"/>
    <w:rsid w:val="004F65D5"/>
    <w:rsid w:val="004F67CD"/>
    <w:rsid w:val="004F6B11"/>
    <w:rsid w:val="004F74DD"/>
    <w:rsid w:val="004F796C"/>
    <w:rsid w:val="004F7F3E"/>
    <w:rsid w:val="00500E0D"/>
    <w:rsid w:val="00500EF8"/>
    <w:rsid w:val="0050151F"/>
    <w:rsid w:val="00502073"/>
    <w:rsid w:val="00502886"/>
    <w:rsid w:val="00502B1C"/>
    <w:rsid w:val="0050338D"/>
    <w:rsid w:val="005036AB"/>
    <w:rsid w:val="0050396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75C"/>
    <w:rsid w:val="0059508B"/>
    <w:rsid w:val="00595999"/>
    <w:rsid w:val="00595B84"/>
    <w:rsid w:val="00595BE2"/>
    <w:rsid w:val="00596270"/>
    <w:rsid w:val="005963AE"/>
    <w:rsid w:val="00597288"/>
    <w:rsid w:val="005972C2"/>
    <w:rsid w:val="00597672"/>
    <w:rsid w:val="005976EE"/>
    <w:rsid w:val="005A0C26"/>
    <w:rsid w:val="005A1891"/>
    <w:rsid w:val="005A18EC"/>
    <w:rsid w:val="005A21FF"/>
    <w:rsid w:val="005A232F"/>
    <w:rsid w:val="005A271C"/>
    <w:rsid w:val="005A2B98"/>
    <w:rsid w:val="005A331E"/>
    <w:rsid w:val="005A3444"/>
    <w:rsid w:val="005A37ED"/>
    <w:rsid w:val="005A3BBD"/>
    <w:rsid w:val="005A3E0A"/>
    <w:rsid w:val="005A4054"/>
    <w:rsid w:val="005A4426"/>
    <w:rsid w:val="005A460F"/>
    <w:rsid w:val="005A4922"/>
    <w:rsid w:val="005A4D0D"/>
    <w:rsid w:val="005A53CC"/>
    <w:rsid w:val="005A5AF6"/>
    <w:rsid w:val="005A63FA"/>
    <w:rsid w:val="005A6F42"/>
    <w:rsid w:val="005A767C"/>
    <w:rsid w:val="005A7940"/>
    <w:rsid w:val="005A7A8E"/>
    <w:rsid w:val="005A7D84"/>
    <w:rsid w:val="005B0922"/>
    <w:rsid w:val="005B0B2A"/>
    <w:rsid w:val="005B0DD9"/>
    <w:rsid w:val="005B26E5"/>
    <w:rsid w:val="005B2890"/>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782"/>
    <w:rsid w:val="005D19B2"/>
    <w:rsid w:val="005D1E9F"/>
    <w:rsid w:val="005D241B"/>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1D"/>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D99"/>
    <w:rsid w:val="00616EBB"/>
    <w:rsid w:val="0062049C"/>
    <w:rsid w:val="00620D15"/>
    <w:rsid w:val="006218BA"/>
    <w:rsid w:val="00621907"/>
    <w:rsid w:val="00621ED6"/>
    <w:rsid w:val="00622128"/>
    <w:rsid w:val="00622866"/>
    <w:rsid w:val="00622FDC"/>
    <w:rsid w:val="00624010"/>
    <w:rsid w:val="006240EC"/>
    <w:rsid w:val="00624787"/>
    <w:rsid w:val="00624A83"/>
    <w:rsid w:val="00624BC5"/>
    <w:rsid w:val="00624FD2"/>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6553"/>
    <w:rsid w:val="00646C93"/>
    <w:rsid w:val="00646D3F"/>
    <w:rsid w:val="00647401"/>
    <w:rsid w:val="006475CE"/>
    <w:rsid w:val="006479BC"/>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24AB"/>
    <w:rsid w:val="0066289F"/>
    <w:rsid w:val="00662E20"/>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77"/>
    <w:rsid w:val="006871FA"/>
    <w:rsid w:val="006874B7"/>
    <w:rsid w:val="00687955"/>
    <w:rsid w:val="00687BEB"/>
    <w:rsid w:val="00687C5B"/>
    <w:rsid w:val="00687F9E"/>
    <w:rsid w:val="0069012D"/>
    <w:rsid w:val="00690BBF"/>
    <w:rsid w:val="00690CA5"/>
    <w:rsid w:val="00690F68"/>
    <w:rsid w:val="0069129C"/>
    <w:rsid w:val="00691D19"/>
    <w:rsid w:val="00692A03"/>
    <w:rsid w:val="00692C99"/>
    <w:rsid w:val="00692DA1"/>
    <w:rsid w:val="0069361B"/>
    <w:rsid w:val="0069364F"/>
    <w:rsid w:val="00693F9D"/>
    <w:rsid w:val="00696843"/>
    <w:rsid w:val="00696AB2"/>
    <w:rsid w:val="00697218"/>
    <w:rsid w:val="00697BBC"/>
    <w:rsid w:val="00697FA7"/>
    <w:rsid w:val="00697FAE"/>
    <w:rsid w:val="006A003D"/>
    <w:rsid w:val="006A03D3"/>
    <w:rsid w:val="006A0945"/>
    <w:rsid w:val="006A0AF7"/>
    <w:rsid w:val="006A11F6"/>
    <w:rsid w:val="006A18D1"/>
    <w:rsid w:val="006A1E69"/>
    <w:rsid w:val="006A2C49"/>
    <w:rsid w:val="006A2DC0"/>
    <w:rsid w:val="006A2E06"/>
    <w:rsid w:val="006A30CB"/>
    <w:rsid w:val="006A3547"/>
    <w:rsid w:val="006A49E5"/>
    <w:rsid w:val="006A4D9A"/>
    <w:rsid w:val="006A4DF2"/>
    <w:rsid w:val="006A58F0"/>
    <w:rsid w:val="006A5E9F"/>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2ACC"/>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42F8"/>
    <w:rsid w:val="006F5216"/>
    <w:rsid w:val="006F5A59"/>
    <w:rsid w:val="006F5A69"/>
    <w:rsid w:val="006F5E41"/>
    <w:rsid w:val="006F610F"/>
    <w:rsid w:val="006F6275"/>
    <w:rsid w:val="006F6327"/>
    <w:rsid w:val="006F6506"/>
    <w:rsid w:val="006F67BB"/>
    <w:rsid w:val="006F691F"/>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C04"/>
    <w:rsid w:val="00707176"/>
    <w:rsid w:val="00707415"/>
    <w:rsid w:val="00707447"/>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EDB"/>
    <w:rsid w:val="00750079"/>
    <w:rsid w:val="007505EC"/>
    <w:rsid w:val="007506F8"/>
    <w:rsid w:val="00750849"/>
    <w:rsid w:val="007509D5"/>
    <w:rsid w:val="00750CC3"/>
    <w:rsid w:val="00750E76"/>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74BA"/>
    <w:rsid w:val="00797AAB"/>
    <w:rsid w:val="00797AC1"/>
    <w:rsid w:val="00797D11"/>
    <w:rsid w:val="00797D4F"/>
    <w:rsid w:val="00797F48"/>
    <w:rsid w:val="007A079A"/>
    <w:rsid w:val="007A0E68"/>
    <w:rsid w:val="007A10BB"/>
    <w:rsid w:val="007A1D1A"/>
    <w:rsid w:val="007A1D58"/>
    <w:rsid w:val="007A20CE"/>
    <w:rsid w:val="007A24E6"/>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539B"/>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5BD"/>
    <w:rsid w:val="007F55E2"/>
    <w:rsid w:val="007F5690"/>
    <w:rsid w:val="007F5E73"/>
    <w:rsid w:val="007F621A"/>
    <w:rsid w:val="007F7919"/>
    <w:rsid w:val="007F79F1"/>
    <w:rsid w:val="0080017C"/>
    <w:rsid w:val="00800647"/>
    <w:rsid w:val="0080070E"/>
    <w:rsid w:val="008016AF"/>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66D"/>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916"/>
    <w:rsid w:val="00861CBB"/>
    <w:rsid w:val="0086230F"/>
    <w:rsid w:val="00863006"/>
    <w:rsid w:val="00863035"/>
    <w:rsid w:val="0086318F"/>
    <w:rsid w:val="0086331D"/>
    <w:rsid w:val="008645AD"/>
    <w:rsid w:val="008646BD"/>
    <w:rsid w:val="00864962"/>
    <w:rsid w:val="00864BDA"/>
    <w:rsid w:val="00864D89"/>
    <w:rsid w:val="00864DBF"/>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21B0"/>
    <w:rsid w:val="00892A1A"/>
    <w:rsid w:val="00894000"/>
    <w:rsid w:val="00895094"/>
    <w:rsid w:val="0089522E"/>
    <w:rsid w:val="008954F6"/>
    <w:rsid w:val="00897537"/>
    <w:rsid w:val="00897B18"/>
    <w:rsid w:val="00897CC7"/>
    <w:rsid w:val="008A01AD"/>
    <w:rsid w:val="008A0218"/>
    <w:rsid w:val="008A03AD"/>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75EA"/>
    <w:rsid w:val="008D7B81"/>
    <w:rsid w:val="008D7D7F"/>
    <w:rsid w:val="008E0069"/>
    <w:rsid w:val="008E0331"/>
    <w:rsid w:val="008E053A"/>
    <w:rsid w:val="008E082F"/>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201D"/>
    <w:rsid w:val="00912943"/>
    <w:rsid w:val="0091334F"/>
    <w:rsid w:val="0091335B"/>
    <w:rsid w:val="0091381C"/>
    <w:rsid w:val="009138C9"/>
    <w:rsid w:val="00913D02"/>
    <w:rsid w:val="00913E49"/>
    <w:rsid w:val="00914264"/>
    <w:rsid w:val="00914417"/>
    <w:rsid w:val="0091495C"/>
    <w:rsid w:val="00914FA7"/>
    <w:rsid w:val="00915564"/>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6402"/>
    <w:rsid w:val="00926BE0"/>
    <w:rsid w:val="009272FC"/>
    <w:rsid w:val="00927726"/>
    <w:rsid w:val="0092775B"/>
    <w:rsid w:val="00927BAD"/>
    <w:rsid w:val="00927D41"/>
    <w:rsid w:val="009304D1"/>
    <w:rsid w:val="00930578"/>
    <w:rsid w:val="00930924"/>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41E"/>
    <w:rsid w:val="009437A5"/>
    <w:rsid w:val="009439A0"/>
    <w:rsid w:val="009439F7"/>
    <w:rsid w:val="0094462B"/>
    <w:rsid w:val="00944870"/>
    <w:rsid w:val="009448B3"/>
    <w:rsid w:val="009450C5"/>
    <w:rsid w:val="0094540A"/>
    <w:rsid w:val="0094587A"/>
    <w:rsid w:val="00945E9D"/>
    <w:rsid w:val="00946CD4"/>
    <w:rsid w:val="00946D58"/>
    <w:rsid w:val="00947432"/>
    <w:rsid w:val="00947DBF"/>
    <w:rsid w:val="00947EE0"/>
    <w:rsid w:val="009508C2"/>
    <w:rsid w:val="009509DC"/>
    <w:rsid w:val="00950A28"/>
    <w:rsid w:val="00950B7D"/>
    <w:rsid w:val="0095103E"/>
    <w:rsid w:val="00951237"/>
    <w:rsid w:val="00951261"/>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8E7"/>
    <w:rsid w:val="00962B8C"/>
    <w:rsid w:val="00962F2E"/>
    <w:rsid w:val="009636D0"/>
    <w:rsid w:val="00963782"/>
    <w:rsid w:val="00963945"/>
    <w:rsid w:val="00963B27"/>
    <w:rsid w:val="00963CB5"/>
    <w:rsid w:val="00964009"/>
    <w:rsid w:val="009641AE"/>
    <w:rsid w:val="00964716"/>
    <w:rsid w:val="009647AE"/>
    <w:rsid w:val="00964C7A"/>
    <w:rsid w:val="00964E1E"/>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B62"/>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438A"/>
    <w:rsid w:val="009B4488"/>
    <w:rsid w:val="009B4748"/>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3A9D"/>
    <w:rsid w:val="00A1461F"/>
    <w:rsid w:val="00A14670"/>
    <w:rsid w:val="00A147DA"/>
    <w:rsid w:val="00A151ED"/>
    <w:rsid w:val="00A15672"/>
    <w:rsid w:val="00A156A7"/>
    <w:rsid w:val="00A15B09"/>
    <w:rsid w:val="00A15FD3"/>
    <w:rsid w:val="00A160D4"/>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1305"/>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4780C"/>
    <w:rsid w:val="00A501AE"/>
    <w:rsid w:val="00A5057A"/>
    <w:rsid w:val="00A50CB7"/>
    <w:rsid w:val="00A51148"/>
    <w:rsid w:val="00A51B42"/>
    <w:rsid w:val="00A5218D"/>
    <w:rsid w:val="00A52327"/>
    <w:rsid w:val="00A52508"/>
    <w:rsid w:val="00A52D71"/>
    <w:rsid w:val="00A52DE7"/>
    <w:rsid w:val="00A53957"/>
    <w:rsid w:val="00A53CFF"/>
    <w:rsid w:val="00A548BA"/>
    <w:rsid w:val="00A54B42"/>
    <w:rsid w:val="00A54C64"/>
    <w:rsid w:val="00A550D2"/>
    <w:rsid w:val="00A55878"/>
    <w:rsid w:val="00A558E3"/>
    <w:rsid w:val="00A55E9B"/>
    <w:rsid w:val="00A5655D"/>
    <w:rsid w:val="00A56A0E"/>
    <w:rsid w:val="00A56DC2"/>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630"/>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4D7"/>
    <w:rsid w:val="00A81F59"/>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DE"/>
    <w:rsid w:val="00AA33B3"/>
    <w:rsid w:val="00AA3506"/>
    <w:rsid w:val="00AA3579"/>
    <w:rsid w:val="00AA39D8"/>
    <w:rsid w:val="00AA3BAD"/>
    <w:rsid w:val="00AA4859"/>
    <w:rsid w:val="00AA4941"/>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19E"/>
    <w:rsid w:val="00AC63E9"/>
    <w:rsid w:val="00AC68E5"/>
    <w:rsid w:val="00AC6D5B"/>
    <w:rsid w:val="00AC6DFB"/>
    <w:rsid w:val="00AC7451"/>
    <w:rsid w:val="00AC7550"/>
    <w:rsid w:val="00AC78D2"/>
    <w:rsid w:val="00AC7931"/>
    <w:rsid w:val="00AC7AA2"/>
    <w:rsid w:val="00AC7C57"/>
    <w:rsid w:val="00AD03C9"/>
    <w:rsid w:val="00AD063D"/>
    <w:rsid w:val="00AD0C4D"/>
    <w:rsid w:val="00AD1826"/>
    <w:rsid w:val="00AD19B8"/>
    <w:rsid w:val="00AD1A95"/>
    <w:rsid w:val="00AD1D40"/>
    <w:rsid w:val="00AD2687"/>
    <w:rsid w:val="00AD2D58"/>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5429"/>
    <w:rsid w:val="00B155CE"/>
    <w:rsid w:val="00B15632"/>
    <w:rsid w:val="00B159BD"/>
    <w:rsid w:val="00B15B64"/>
    <w:rsid w:val="00B17BE7"/>
    <w:rsid w:val="00B17C6C"/>
    <w:rsid w:val="00B17CF9"/>
    <w:rsid w:val="00B200F3"/>
    <w:rsid w:val="00B20257"/>
    <w:rsid w:val="00B20980"/>
    <w:rsid w:val="00B20A2F"/>
    <w:rsid w:val="00B214C0"/>
    <w:rsid w:val="00B219C0"/>
    <w:rsid w:val="00B21AC4"/>
    <w:rsid w:val="00B21C3C"/>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B7A"/>
    <w:rsid w:val="00B56CBF"/>
    <w:rsid w:val="00B57059"/>
    <w:rsid w:val="00B5725B"/>
    <w:rsid w:val="00B57917"/>
    <w:rsid w:val="00B6084C"/>
    <w:rsid w:val="00B60BD8"/>
    <w:rsid w:val="00B60BD9"/>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B89"/>
    <w:rsid w:val="00B8261C"/>
    <w:rsid w:val="00B828B9"/>
    <w:rsid w:val="00B828E6"/>
    <w:rsid w:val="00B829EE"/>
    <w:rsid w:val="00B836F6"/>
    <w:rsid w:val="00B83ECB"/>
    <w:rsid w:val="00B846AE"/>
    <w:rsid w:val="00B846FE"/>
    <w:rsid w:val="00B84937"/>
    <w:rsid w:val="00B853DC"/>
    <w:rsid w:val="00B86B73"/>
    <w:rsid w:val="00B86CF0"/>
    <w:rsid w:val="00B86D56"/>
    <w:rsid w:val="00B87DA1"/>
    <w:rsid w:val="00B90146"/>
    <w:rsid w:val="00B90229"/>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F20"/>
    <w:rsid w:val="00BA30F9"/>
    <w:rsid w:val="00BA31B4"/>
    <w:rsid w:val="00BA35A9"/>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552"/>
    <w:rsid w:val="00BA7787"/>
    <w:rsid w:val="00BA7F8B"/>
    <w:rsid w:val="00BB00AD"/>
    <w:rsid w:val="00BB0BAE"/>
    <w:rsid w:val="00BB114F"/>
    <w:rsid w:val="00BB168D"/>
    <w:rsid w:val="00BB193D"/>
    <w:rsid w:val="00BB1AB2"/>
    <w:rsid w:val="00BB2480"/>
    <w:rsid w:val="00BB2F63"/>
    <w:rsid w:val="00BB3243"/>
    <w:rsid w:val="00BB39B7"/>
    <w:rsid w:val="00BB427A"/>
    <w:rsid w:val="00BB4567"/>
    <w:rsid w:val="00BB505A"/>
    <w:rsid w:val="00BB560D"/>
    <w:rsid w:val="00BB588E"/>
    <w:rsid w:val="00BB5A8E"/>
    <w:rsid w:val="00BB6387"/>
    <w:rsid w:val="00BB71BB"/>
    <w:rsid w:val="00BB71DB"/>
    <w:rsid w:val="00BC00D6"/>
    <w:rsid w:val="00BC02EF"/>
    <w:rsid w:val="00BC06D5"/>
    <w:rsid w:val="00BC0909"/>
    <w:rsid w:val="00BC0E8E"/>
    <w:rsid w:val="00BC15A0"/>
    <w:rsid w:val="00BC19AF"/>
    <w:rsid w:val="00BC20DA"/>
    <w:rsid w:val="00BC2DDC"/>
    <w:rsid w:val="00BC2FC8"/>
    <w:rsid w:val="00BC3069"/>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690"/>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6FC"/>
    <w:rsid w:val="00C13AB4"/>
    <w:rsid w:val="00C13F8E"/>
    <w:rsid w:val="00C14180"/>
    <w:rsid w:val="00C146D6"/>
    <w:rsid w:val="00C1545E"/>
    <w:rsid w:val="00C159AA"/>
    <w:rsid w:val="00C15E66"/>
    <w:rsid w:val="00C15F67"/>
    <w:rsid w:val="00C16201"/>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9"/>
    <w:rsid w:val="00C64AED"/>
    <w:rsid w:val="00C64CB1"/>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77D"/>
    <w:rsid w:val="00CB2BAD"/>
    <w:rsid w:val="00CB2D1C"/>
    <w:rsid w:val="00CB2D78"/>
    <w:rsid w:val="00CB5CD5"/>
    <w:rsid w:val="00CB60CC"/>
    <w:rsid w:val="00CB6526"/>
    <w:rsid w:val="00CB6B11"/>
    <w:rsid w:val="00CB6CB9"/>
    <w:rsid w:val="00CB72D0"/>
    <w:rsid w:val="00CB7353"/>
    <w:rsid w:val="00CB74A8"/>
    <w:rsid w:val="00CB7F3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D19"/>
    <w:rsid w:val="00CC6147"/>
    <w:rsid w:val="00CC6511"/>
    <w:rsid w:val="00CC6766"/>
    <w:rsid w:val="00CC69FE"/>
    <w:rsid w:val="00CC6CCB"/>
    <w:rsid w:val="00CC7805"/>
    <w:rsid w:val="00CC7940"/>
    <w:rsid w:val="00CC7F25"/>
    <w:rsid w:val="00CD01ED"/>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D25"/>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952"/>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0CF9"/>
    <w:rsid w:val="00D61648"/>
    <w:rsid w:val="00D6188D"/>
    <w:rsid w:val="00D61BAE"/>
    <w:rsid w:val="00D6228D"/>
    <w:rsid w:val="00D62ABE"/>
    <w:rsid w:val="00D62C74"/>
    <w:rsid w:val="00D62ECE"/>
    <w:rsid w:val="00D6300F"/>
    <w:rsid w:val="00D63B1C"/>
    <w:rsid w:val="00D63B45"/>
    <w:rsid w:val="00D63F77"/>
    <w:rsid w:val="00D6405F"/>
    <w:rsid w:val="00D64075"/>
    <w:rsid w:val="00D647BA"/>
    <w:rsid w:val="00D64C47"/>
    <w:rsid w:val="00D64ECF"/>
    <w:rsid w:val="00D652C5"/>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CE2"/>
    <w:rsid w:val="00DC37FB"/>
    <w:rsid w:val="00DC392F"/>
    <w:rsid w:val="00DC3FAF"/>
    <w:rsid w:val="00DC44D2"/>
    <w:rsid w:val="00DC504F"/>
    <w:rsid w:val="00DC5A1C"/>
    <w:rsid w:val="00DC5EAB"/>
    <w:rsid w:val="00DC641C"/>
    <w:rsid w:val="00DC6CD9"/>
    <w:rsid w:val="00DC74AD"/>
    <w:rsid w:val="00DC74ED"/>
    <w:rsid w:val="00DD0B20"/>
    <w:rsid w:val="00DD0B85"/>
    <w:rsid w:val="00DD0F7E"/>
    <w:rsid w:val="00DD1034"/>
    <w:rsid w:val="00DD120F"/>
    <w:rsid w:val="00DD133D"/>
    <w:rsid w:val="00DD1695"/>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D51"/>
    <w:rsid w:val="00DE1642"/>
    <w:rsid w:val="00DE1D6E"/>
    <w:rsid w:val="00DE22A5"/>
    <w:rsid w:val="00DE257F"/>
    <w:rsid w:val="00DE25AF"/>
    <w:rsid w:val="00DE2918"/>
    <w:rsid w:val="00DE2A68"/>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822"/>
    <w:rsid w:val="00E310C5"/>
    <w:rsid w:val="00E31471"/>
    <w:rsid w:val="00E31E22"/>
    <w:rsid w:val="00E3233F"/>
    <w:rsid w:val="00E324E9"/>
    <w:rsid w:val="00E325BC"/>
    <w:rsid w:val="00E326B2"/>
    <w:rsid w:val="00E32B8C"/>
    <w:rsid w:val="00E32DC7"/>
    <w:rsid w:val="00E32FC8"/>
    <w:rsid w:val="00E3324A"/>
    <w:rsid w:val="00E33711"/>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727"/>
    <w:rsid w:val="00E40A92"/>
    <w:rsid w:val="00E41A50"/>
    <w:rsid w:val="00E42A6D"/>
    <w:rsid w:val="00E42D54"/>
    <w:rsid w:val="00E43839"/>
    <w:rsid w:val="00E439F6"/>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70BE"/>
    <w:rsid w:val="00E672B6"/>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3F9"/>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272E"/>
    <w:rsid w:val="00F2280E"/>
    <w:rsid w:val="00F234D5"/>
    <w:rsid w:val="00F23FB9"/>
    <w:rsid w:val="00F2525D"/>
    <w:rsid w:val="00F258BA"/>
    <w:rsid w:val="00F2610F"/>
    <w:rsid w:val="00F26714"/>
    <w:rsid w:val="00F26E80"/>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183D"/>
    <w:rsid w:val="00F81A68"/>
    <w:rsid w:val="00F81B16"/>
    <w:rsid w:val="00F827B7"/>
    <w:rsid w:val="00F82AD6"/>
    <w:rsid w:val="00F830FD"/>
    <w:rsid w:val="00F83496"/>
    <w:rsid w:val="00F84570"/>
    <w:rsid w:val="00F84791"/>
    <w:rsid w:val="00F848BA"/>
    <w:rsid w:val="00F851AA"/>
    <w:rsid w:val="00F854ED"/>
    <w:rsid w:val="00F8569C"/>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681"/>
    <w:rsid w:val="00FA0DC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46AF"/>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59</TotalTime>
  <Pages>4</Pages>
  <Words>1388</Words>
  <Characters>6716</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10</cp:revision>
  <cp:lastPrinted>2024-05-06T17:30:00Z</cp:lastPrinted>
  <dcterms:created xsi:type="dcterms:W3CDTF">2024-06-03T17:46:00Z</dcterms:created>
  <dcterms:modified xsi:type="dcterms:W3CDTF">2024-06-06T18:12:00Z</dcterms:modified>
</cp:coreProperties>
</file>