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4A9631F5" w:rsidR="002D5C56" w:rsidRPr="005264C8" w:rsidRDefault="00474680" w:rsidP="00E71E50">
            <w:pPr>
              <w:pStyle w:val="Header"/>
              <w:tabs>
                <w:tab w:val="clear" w:pos="4320"/>
                <w:tab w:val="clear" w:pos="8640"/>
              </w:tabs>
              <w:jc w:val="center"/>
              <w:rPr>
                <w:smallCaps/>
                <w:sz w:val="22"/>
                <w:szCs w:val="22"/>
              </w:rPr>
            </w:pPr>
            <w:r>
              <w:rPr>
                <w:b/>
                <w:smallCaps/>
                <w:sz w:val="22"/>
                <w:szCs w:val="22"/>
              </w:rPr>
              <w:t>April 1</w:t>
            </w:r>
            <w:r w:rsidR="00AC6A51">
              <w:rPr>
                <w:b/>
                <w:smallCaps/>
                <w:sz w:val="22"/>
                <w:szCs w:val="22"/>
              </w:rPr>
              <w:t>, 2025</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5904B0" w14:paraId="2CB6CEFC" w14:textId="77777777" w:rsidTr="00FA4709">
        <w:tc>
          <w:tcPr>
            <w:tcW w:w="445" w:type="dxa"/>
          </w:tcPr>
          <w:p w14:paraId="778BBB34" w14:textId="0D91770D" w:rsidR="005904B0" w:rsidRDefault="00D162FE" w:rsidP="005904B0">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5904B0" w:rsidRDefault="005904B0" w:rsidP="005904B0">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34B1737A" w:rsidR="005904B0" w:rsidRDefault="005904B0" w:rsidP="005904B0">
            <w:pPr>
              <w:pStyle w:val="Header"/>
              <w:tabs>
                <w:tab w:val="clear" w:pos="4320"/>
                <w:tab w:val="clear" w:pos="8640"/>
              </w:tabs>
              <w:jc w:val="center"/>
              <w:rPr>
                <w:rFonts w:cs="Tahoma"/>
                <w:smallCaps/>
                <w:lang w:val="it-IT"/>
              </w:rPr>
            </w:pPr>
          </w:p>
        </w:tc>
        <w:tc>
          <w:tcPr>
            <w:tcW w:w="2733" w:type="dxa"/>
          </w:tcPr>
          <w:p w14:paraId="0931D04C" w14:textId="7DEB86F4" w:rsidR="005904B0" w:rsidRDefault="005904B0" w:rsidP="005904B0">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66E3BAE1" w:rsidR="005904B0" w:rsidRDefault="005904B0" w:rsidP="005904B0">
            <w:pPr>
              <w:pStyle w:val="Header"/>
              <w:tabs>
                <w:tab w:val="clear" w:pos="4320"/>
                <w:tab w:val="clear" w:pos="8640"/>
              </w:tabs>
              <w:jc w:val="center"/>
              <w:rPr>
                <w:rFonts w:cs="Tahoma"/>
                <w:smallCaps/>
                <w:lang w:val="it-IT"/>
              </w:rPr>
            </w:pPr>
          </w:p>
        </w:tc>
        <w:tc>
          <w:tcPr>
            <w:tcW w:w="2749" w:type="dxa"/>
          </w:tcPr>
          <w:p w14:paraId="327424DC" w14:textId="04DFC279" w:rsidR="005904B0" w:rsidRDefault="005904B0" w:rsidP="005904B0">
            <w:pPr>
              <w:pStyle w:val="Header"/>
              <w:tabs>
                <w:tab w:val="clear" w:pos="4320"/>
                <w:tab w:val="clear" w:pos="8640"/>
              </w:tabs>
              <w:rPr>
                <w:rFonts w:cs="Tahoma"/>
                <w:smallCaps/>
                <w:lang w:val="it-IT"/>
              </w:rPr>
            </w:pPr>
            <w:r>
              <w:rPr>
                <w:rFonts w:cs="Tahoma"/>
                <w:smallCaps/>
                <w:lang w:val="it-IT"/>
              </w:rPr>
              <w:t>Arlene Mencias</w:t>
            </w:r>
          </w:p>
        </w:tc>
      </w:tr>
      <w:tr w:rsidR="00D162FE" w14:paraId="765BB225" w14:textId="77777777" w:rsidTr="00FA4709">
        <w:tc>
          <w:tcPr>
            <w:tcW w:w="445" w:type="dxa"/>
          </w:tcPr>
          <w:p w14:paraId="7C2F62D3" w14:textId="4D8D9E9F" w:rsidR="00D162FE" w:rsidRDefault="00D162FE" w:rsidP="00D162FE">
            <w:pPr>
              <w:pStyle w:val="Header"/>
              <w:tabs>
                <w:tab w:val="clear" w:pos="4320"/>
                <w:tab w:val="clear" w:pos="8640"/>
              </w:tabs>
              <w:jc w:val="center"/>
              <w:rPr>
                <w:rFonts w:cs="Tahoma"/>
                <w:smallCaps/>
                <w:lang w:val="it-IT"/>
              </w:rPr>
            </w:pPr>
            <w:r w:rsidRPr="006F4E57">
              <w:rPr>
                <w:rFonts w:cs="Tahoma"/>
                <w:smallCaps/>
                <w:lang w:val="it-IT"/>
              </w:rPr>
              <w:t>√</w:t>
            </w:r>
          </w:p>
        </w:tc>
        <w:tc>
          <w:tcPr>
            <w:tcW w:w="2719" w:type="dxa"/>
          </w:tcPr>
          <w:p w14:paraId="40EF2B38" w14:textId="45EDFC53" w:rsidR="00D162FE" w:rsidRDefault="00D162FE" w:rsidP="00D162FE">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2A9C1EC8"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3AFA7798" w14:textId="6B29C6D2" w:rsidR="00D162FE" w:rsidRDefault="00D162FE" w:rsidP="00D162FE">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120CCB5" w:rsidR="00D162FE" w:rsidRDefault="00D162FE" w:rsidP="00D162FE">
            <w:pPr>
              <w:pStyle w:val="Header"/>
              <w:tabs>
                <w:tab w:val="clear" w:pos="4320"/>
                <w:tab w:val="clear" w:pos="8640"/>
              </w:tabs>
              <w:jc w:val="center"/>
              <w:rPr>
                <w:rFonts w:cs="Tahoma"/>
                <w:smallCaps/>
                <w:lang w:val="it-IT"/>
              </w:rPr>
            </w:pPr>
          </w:p>
        </w:tc>
        <w:tc>
          <w:tcPr>
            <w:tcW w:w="2749" w:type="dxa"/>
          </w:tcPr>
          <w:p w14:paraId="41550989" w14:textId="1734591A" w:rsidR="00D162FE" w:rsidRDefault="00D162FE" w:rsidP="00D162FE">
            <w:pPr>
              <w:pStyle w:val="Header"/>
              <w:tabs>
                <w:tab w:val="clear" w:pos="4320"/>
                <w:tab w:val="clear" w:pos="8640"/>
              </w:tabs>
              <w:rPr>
                <w:rFonts w:cs="Tahoma"/>
                <w:smallCaps/>
                <w:lang w:val="it-IT"/>
              </w:rPr>
            </w:pPr>
            <w:r>
              <w:rPr>
                <w:rFonts w:cs="Tahoma"/>
                <w:smallCaps/>
                <w:lang w:val="it-IT"/>
              </w:rPr>
              <w:t>Tsegaye Negash</w:t>
            </w:r>
          </w:p>
        </w:tc>
      </w:tr>
      <w:tr w:rsidR="00D162FE" w14:paraId="494D025C" w14:textId="77777777" w:rsidTr="00FA4709">
        <w:tc>
          <w:tcPr>
            <w:tcW w:w="445" w:type="dxa"/>
          </w:tcPr>
          <w:p w14:paraId="36CE2C6E" w14:textId="4D0B195F" w:rsidR="00D162FE" w:rsidRDefault="00D162FE" w:rsidP="00D162FE">
            <w:pPr>
              <w:pStyle w:val="Header"/>
              <w:tabs>
                <w:tab w:val="clear" w:pos="4320"/>
                <w:tab w:val="clear" w:pos="8640"/>
              </w:tabs>
              <w:jc w:val="center"/>
              <w:rPr>
                <w:rFonts w:cs="Tahoma"/>
                <w:smallCaps/>
                <w:lang w:val="it-IT"/>
              </w:rPr>
            </w:pPr>
            <w:r w:rsidRPr="006F4E57">
              <w:rPr>
                <w:rFonts w:cs="Tahoma"/>
                <w:smallCaps/>
                <w:lang w:val="it-IT"/>
              </w:rPr>
              <w:t>√</w:t>
            </w:r>
          </w:p>
        </w:tc>
        <w:tc>
          <w:tcPr>
            <w:tcW w:w="2719" w:type="dxa"/>
          </w:tcPr>
          <w:p w14:paraId="1E8B3C86" w14:textId="2286B6CF" w:rsidR="00D162FE" w:rsidRDefault="00D162FE" w:rsidP="00D162FE">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42559CEC"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5F71A6E2" w14:textId="43D8CEB8" w:rsidR="00D162FE" w:rsidRDefault="00D162FE" w:rsidP="00D162FE">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D162FE" w:rsidRDefault="00D162FE" w:rsidP="00D162FE">
            <w:pPr>
              <w:pStyle w:val="Header"/>
              <w:tabs>
                <w:tab w:val="clear" w:pos="4320"/>
                <w:tab w:val="clear" w:pos="8640"/>
              </w:tabs>
              <w:jc w:val="center"/>
              <w:rPr>
                <w:rFonts w:cs="Tahoma"/>
                <w:smallCaps/>
                <w:lang w:val="it-IT"/>
              </w:rPr>
            </w:pPr>
          </w:p>
        </w:tc>
        <w:tc>
          <w:tcPr>
            <w:tcW w:w="2749" w:type="dxa"/>
          </w:tcPr>
          <w:p w14:paraId="1BACA545" w14:textId="2CD839EC" w:rsidR="00D162FE" w:rsidRDefault="00D162FE" w:rsidP="00D162FE">
            <w:pPr>
              <w:pStyle w:val="Header"/>
              <w:tabs>
                <w:tab w:val="clear" w:pos="4320"/>
                <w:tab w:val="clear" w:pos="8640"/>
              </w:tabs>
              <w:rPr>
                <w:rFonts w:cs="Tahoma"/>
                <w:smallCaps/>
                <w:lang w:val="it-IT"/>
              </w:rPr>
            </w:pPr>
            <w:r>
              <w:rPr>
                <w:rFonts w:cs="Tahoma"/>
                <w:smallCaps/>
                <w:lang w:val="it-IT"/>
              </w:rPr>
              <w:t>Boris Njeambosay</w:t>
            </w:r>
          </w:p>
        </w:tc>
      </w:tr>
      <w:tr w:rsidR="00D162FE" w14:paraId="32800098" w14:textId="77777777" w:rsidTr="00FA4709">
        <w:tc>
          <w:tcPr>
            <w:tcW w:w="445" w:type="dxa"/>
          </w:tcPr>
          <w:p w14:paraId="2A606967" w14:textId="3DD922A9" w:rsidR="00D162FE" w:rsidRDefault="00D162FE" w:rsidP="00D162FE">
            <w:pPr>
              <w:pStyle w:val="Header"/>
              <w:tabs>
                <w:tab w:val="clear" w:pos="4320"/>
                <w:tab w:val="clear" w:pos="8640"/>
              </w:tabs>
              <w:jc w:val="center"/>
              <w:rPr>
                <w:rFonts w:cs="Tahoma"/>
                <w:smallCaps/>
                <w:lang w:val="it-IT"/>
              </w:rPr>
            </w:pPr>
            <w:r w:rsidRPr="006F4E57">
              <w:rPr>
                <w:rFonts w:cs="Tahoma"/>
                <w:smallCaps/>
                <w:lang w:val="it-IT"/>
              </w:rPr>
              <w:t>√</w:t>
            </w:r>
          </w:p>
        </w:tc>
        <w:tc>
          <w:tcPr>
            <w:tcW w:w="2719" w:type="dxa"/>
          </w:tcPr>
          <w:p w14:paraId="4FB8500F" w14:textId="38292A7E" w:rsidR="00D162FE" w:rsidRDefault="00D162FE" w:rsidP="00D162FE">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6971E166"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0B6F26C3" w14:textId="2C02C23A" w:rsidR="00D162FE" w:rsidRDefault="00D162FE" w:rsidP="00D162FE">
            <w:pPr>
              <w:pStyle w:val="Header"/>
              <w:tabs>
                <w:tab w:val="clear" w:pos="4320"/>
                <w:tab w:val="clear" w:pos="8640"/>
              </w:tabs>
              <w:rPr>
                <w:rFonts w:cs="Tahoma"/>
                <w:smallCaps/>
                <w:lang w:val="it-IT"/>
              </w:rPr>
            </w:pPr>
            <w:r>
              <w:rPr>
                <w:rFonts w:cs="Tahoma"/>
                <w:smallCaps/>
                <w:lang w:val="it-IT"/>
              </w:rPr>
              <w:t>Chizobam Igweh</w:t>
            </w:r>
          </w:p>
        </w:tc>
        <w:tc>
          <w:tcPr>
            <w:tcW w:w="417" w:type="dxa"/>
          </w:tcPr>
          <w:p w14:paraId="422EB153" w14:textId="699DCD37" w:rsidR="00D162FE" w:rsidRDefault="00D162FE" w:rsidP="00D162FE">
            <w:pPr>
              <w:pStyle w:val="Header"/>
              <w:tabs>
                <w:tab w:val="clear" w:pos="4320"/>
                <w:tab w:val="clear" w:pos="8640"/>
              </w:tabs>
              <w:jc w:val="center"/>
              <w:rPr>
                <w:rFonts w:cs="Tahoma"/>
                <w:smallCaps/>
                <w:lang w:val="it-IT"/>
              </w:rPr>
            </w:pPr>
            <w:r w:rsidRPr="00C705E2">
              <w:rPr>
                <w:rFonts w:cs="Tahoma"/>
                <w:smallCaps/>
                <w:lang w:val="it-IT"/>
              </w:rPr>
              <w:t>√</w:t>
            </w:r>
          </w:p>
        </w:tc>
        <w:tc>
          <w:tcPr>
            <w:tcW w:w="2749" w:type="dxa"/>
          </w:tcPr>
          <w:p w14:paraId="1455969F" w14:textId="026B57EC" w:rsidR="00D162FE" w:rsidRDefault="00D162FE" w:rsidP="00D162FE">
            <w:pPr>
              <w:pStyle w:val="Header"/>
              <w:tabs>
                <w:tab w:val="clear" w:pos="4320"/>
                <w:tab w:val="clear" w:pos="8640"/>
              </w:tabs>
              <w:rPr>
                <w:rFonts w:cs="Tahoma"/>
                <w:smallCaps/>
                <w:lang w:val="it-IT"/>
              </w:rPr>
            </w:pPr>
            <w:r>
              <w:rPr>
                <w:rFonts w:cs="Tahoma"/>
                <w:smallCaps/>
                <w:lang w:val="it-IT"/>
              </w:rPr>
              <w:t>Henry Nvule</w:t>
            </w:r>
          </w:p>
        </w:tc>
      </w:tr>
      <w:tr w:rsidR="00D162FE" w14:paraId="3C63648C" w14:textId="77777777" w:rsidTr="00FA4709">
        <w:tc>
          <w:tcPr>
            <w:tcW w:w="445" w:type="dxa"/>
          </w:tcPr>
          <w:p w14:paraId="73A38ED9" w14:textId="4E137C5E" w:rsidR="00D162FE" w:rsidRDefault="00D162FE" w:rsidP="00D162FE">
            <w:pPr>
              <w:pStyle w:val="Header"/>
              <w:tabs>
                <w:tab w:val="clear" w:pos="4320"/>
                <w:tab w:val="clear" w:pos="8640"/>
              </w:tabs>
              <w:jc w:val="center"/>
              <w:rPr>
                <w:rFonts w:cs="Tahoma"/>
                <w:smallCaps/>
                <w:lang w:val="it-IT"/>
              </w:rPr>
            </w:pPr>
            <w:r w:rsidRPr="006F4E57">
              <w:rPr>
                <w:rFonts w:cs="Tahoma"/>
                <w:smallCaps/>
                <w:lang w:val="it-IT"/>
              </w:rPr>
              <w:t>√</w:t>
            </w:r>
          </w:p>
        </w:tc>
        <w:tc>
          <w:tcPr>
            <w:tcW w:w="2719" w:type="dxa"/>
          </w:tcPr>
          <w:p w14:paraId="64AC0D8C" w14:textId="1E4FED81" w:rsidR="00D162FE" w:rsidRDefault="00D162FE" w:rsidP="00D162FE">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50E0F3D3"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4022D77E" w14:textId="45D144F5" w:rsidR="00D162FE" w:rsidRDefault="00D162FE" w:rsidP="00D162FE">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65D6AE7D" w:rsidR="00D162FE" w:rsidRDefault="00D162FE" w:rsidP="00D162FE">
            <w:pPr>
              <w:pStyle w:val="Header"/>
              <w:tabs>
                <w:tab w:val="clear" w:pos="4320"/>
                <w:tab w:val="clear" w:pos="8640"/>
              </w:tabs>
              <w:jc w:val="center"/>
              <w:rPr>
                <w:rFonts w:cs="Tahoma"/>
                <w:smallCaps/>
                <w:lang w:val="it-IT"/>
              </w:rPr>
            </w:pPr>
            <w:r w:rsidRPr="00C705E2">
              <w:rPr>
                <w:rFonts w:cs="Tahoma"/>
                <w:smallCaps/>
                <w:lang w:val="it-IT"/>
              </w:rPr>
              <w:t>√</w:t>
            </w:r>
          </w:p>
        </w:tc>
        <w:tc>
          <w:tcPr>
            <w:tcW w:w="2749" w:type="dxa"/>
          </w:tcPr>
          <w:p w14:paraId="278BE1D5" w14:textId="2E98CE04" w:rsidR="00D162FE" w:rsidRDefault="00D162FE" w:rsidP="00D162FE">
            <w:pPr>
              <w:pStyle w:val="Header"/>
              <w:tabs>
                <w:tab w:val="clear" w:pos="4320"/>
                <w:tab w:val="clear" w:pos="8640"/>
              </w:tabs>
              <w:rPr>
                <w:rFonts w:cs="Tahoma"/>
                <w:smallCaps/>
                <w:lang w:val="it-IT"/>
              </w:rPr>
            </w:pPr>
            <w:r>
              <w:rPr>
                <w:rFonts w:cs="Tahoma"/>
                <w:smallCaps/>
                <w:lang w:val="it-IT"/>
              </w:rPr>
              <w:t>Natasha Quashie</w:t>
            </w:r>
          </w:p>
        </w:tc>
      </w:tr>
      <w:tr w:rsidR="00D162FE" w14:paraId="2863F7FD" w14:textId="77777777" w:rsidTr="00FA4709">
        <w:tc>
          <w:tcPr>
            <w:tcW w:w="445" w:type="dxa"/>
          </w:tcPr>
          <w:p w14:paraId="6EBCA946" w14:textId="5C970D38" w:rsidR="00D162FE" w:rsidRDefault="00D162FE" w:rsidP="00D162FE">
            <w:pPr>
              <w:pStyle w:val="Header"/>
              <w:tabs>
                <w:tab w:val="clear" w:pos="4320"/>
                <w:tab w:val="clear" w:pos="8640"/>
              </w:tabs>
              <w:jc w:val="center"/>
              <w:rPr>
                <w:rFonts w:cs="Tahoma"/>
                <w:smallCaps/>
                <w:lang w:val="it-IT"/>
              </w:rPr>
            </w:pPr>
            <w:r w:rsidRPr="006F4E57">
              <w:rPr>
                <w:rFonts w:cs="Tahoma"/>
                <w:smallCaps/>
                <w:lang w:val="it-IT"/>
              </w:rPr>
              <w:t>√</w:t>
            </w:r>
          </w:p>
        </w:tc>
        <w:tc>
          <w:tcPr>
            <w:tcW w:w="2719" w:type="dxa"/>
          </w:tcPr>
          <w:p w14:paraId="56B6CE1A" w14:textId="1204EEA9" w:rsidR="00D162FE" w:rsidRDefault="00D162FE" w:rsidP="00D162FE">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60F6C376"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2A41A1E6" w14:textId="61A40013" w:rsidR="00D162FE" w:rsidRDefault="00D162FE" w:rsidP="00D162FE">
            <w:pPr>
              <w:pStyle w:val="Header"/>
              <w:tabs>
                <w:tab w:val="clear" w:pos="4320"/>
                <w:tab w:val="clear" w:pos="8640"/>
              </w:tabs>
              <w:rPr>
                <w:rFonts w:cs="Tahoma"/>
                <w:smallCaps/>
                <w:lang w:val="it-IT"/>
              </w:rPr>
            </w:pPr>
            <w:r>
              <w:rPr>
                <w:rFonts w:cs="Tahoma"/>
                <w:smallCaps/>
                <w:lang w:val="it-IT"/>
              </w:rPr>
              <w:t>Larissa Kukapa</w:t>
            </w:r>
          </w:p>
        </w:tc>
        <w:tc>
          <w:tcPr>
            <w:tcW w:w="417" w:type="dxa"/>
          </w:tcPr>
          <w:p w14:paraId="32ECCB19" w14:textId="77F0E6BF" w:rsidR="00D162FE" w:rsidRDefault="00D162FE" w:rsidP="00D162FE">
            <w:pPr>
              <w:pStyle w:val="Header"/>
              <w:tabs>
                <w:tab w:val="clear" w:pos="4320"/>
                <w:tab w:val="clear" w:pos="8640"/>
              </w:tabs>
              <w:jc w:val="center"/>
              <w:rPr>
                <w:rFonts w:cs="Tahoma"/>
                <w:smallCaps/>
                <w:lang w:val="it-IT"/>
              </w:rPr>
            </w:pPr>
            <w:r w:rsidRPr="00C705E2">
              <w:rPr>
                <w:rFonts w:cs="Tahoma"/>
                <w:smallCaps/>
                <w:lang w:val="it-IT"/>
              </w:rPr>
              <w:t>√</w:t>
            </w:r>
          </w:p>
        </w:tc>
        <w:tc>
          <w:tcPr>
            <w:tcW w:w="2749" w:type="dxa"/>
          </w:tcPr>
          <w:p w14:paraId="4138500E" w14:textId="01D28553" w:rsidR="00D162FE" w:rsidRDefault="00D162FE" w:rsidP="00D162FE">
            <w:pPr>
              <w:pStyle w:val="Header"/>
              <w:tabs>
                <w:tab w:val="clear" w:pos="4320"/>
                <w:tab w:val="clear" w:pos="8640"/>
              </w:tabs>
              <w:rPr>
                <w:rFonts w:cs="Tahoma"/>
                <w:smallCaps/>
                <w:lang w:val="it-IT"/>
              </w:rPr>
            </w:pPr>
            <w:r>
              <w:rPr>
                <w:rFonts w:cs="Tahoma"/>
                <w:smallCaps/>
                <w:lang w:val="it-IT"/>
              </w:rPr>
              <w:t>Rocio Vergara Torres</w:t>
            </w:r>
          </w:p>
        </w:tc>
      </w:tr>
      <w:tr w:rsidR="00D162FE" w14:paraId="56CD5B43" w14:textId="77777777" w:rsidTr="00FA4709">
        <w:tc>
          <w:tcPr>
            <w:tcW w:w="445" w:type="dxa"/>
          </w:tcPr>
          <w:p w14:paraId="6965D831" w14:textId="77777777" w:rsidR="00D162FE" w:rsidRDefault="00D162FE" w:rsidP="00D162FE">
            <w:pPr>
              <w:pStyle w:val="Header"/>
              <w:tabs>
                <w:tab w:val="clear" w:pos="4320"/>
                <w:tab w:val="clear" w:pos="8640"/>
              </w:tabs>
              <w:jc w:val="center"/>
              <w:rPr>
                <w:rFonts w:cs="Tahoma"/>
                <w:smallCaps/>
                <w:lang w:val="it-IT"/>
              </w:rPr>
            </w:pPr>
          </w:p>
        </w:tc>
        <w:tc>
          <w:tcPr>
            <w:tcW w:w="2719" w:type="dxa"/>
          </w:tcPr>
          <w:p w14:paraId="0323B3E9" w14:textId="77777777" w:rsidR="00D162FE" w:rsidRDefault="00D162FE" w:rsidP="00D162FE">
            <w:pPr>
              <w:pStyle w:val="Header"/>
              <w:tabs>
                <w:tab w:val="clear" w:pos="4320"/>
                <w:tab w:val="clear" w:pos="8640"/>
              </w:tabs>
              <w:rPr>
                <w:rFonts w:cs="Tahoma"/>
                <w:smallCaps/>
                <w:lang w:val="it-IT"/>
              </w:rPr>
            </w:pPr>
          </w:p>
        </w:tc>
        <w:tc>
          <w:tcPr>
            <w:tcW w:w="431" w:type="dxa"/>
          </w:tcPr>
          <w:p w14:paraId="0BB99889" w14:textId="75B56F97" w:rsidR="00D162FE" w:rsidRDefault="00D162FE" w:rsidP="00D162FE">
            <w:pPr>
              <w:pStyle w:val="Header"/>
              <w:tabs>
                <w:tab w:val="clear" w:pos="4320"/>
                <w:tab w:val="clear" w:pos="8640"/>
              </w:tabs>
              <w:jc w:val="center"/>
              <w:rPr>
                <w:rFonts w:cs="Tahoma"/>
                <w:smallCaps/>
                <w:lang w:val="it-IT"/>
              </w:rPr>
            </w:pPr>
            <w:r w:rsidRPr="009C0507">
              <w:rPr>
                <w:rFonts w:cs="Tahoma"/>
                <w:smallCaps/>
                <w:lang w:val="it-IT"/>
              </w:rPr>
              <w:t>√</w:t>
            </w:r>
          </w:p>
        </w:tc>
        <w:tc>
          <w:tcPr>
            <w:tcW w:w="2733" w:type="dxa"/>
          </w:tcPr>
          <w:p w14:paraId="6A1D7DA9" w14:textId="0326A806" w:rsidR="00D162FE" w:rsidRDefault="00D162FE" w:rsidP="00D162FE">
            <w:pPr>
              <w:pStyle w:val="Header"/>
              <w:tabs>
                <w:tab w:val="clear" w:pos="4320"/>
                <w:tab w:val="clear" w:pos="8640"/>
              </w:tabs>
              <w:rPr>
                <w:rFonts w:cs="Tahoma"/>
                <w:smallCaps/>
                <w:lang w:val="it-IT"/>
              </w:rPr>
            </w:pPr>
            <w:r>
              <w:rPr>
                <w:rFonts w:cs="Tahoma"/>
                <w:smallCaps/>
                <w:lang w:val="it-IT"/>
              </w:rPr>
              <w:t>George Li</w:t>
            </w:r>
          </w:p>
        </w:tc>
        <w:tc>
          <w:tcPr>
            <w:tcW w:w="417" w:type="dxa"/>
          </w:tcPr>
          <w:p w14:paraId="086AAE94" w14:textId="77777777" w:rsidR="00D162FE" w:rsidRDefault="00D162FE" w:rsidP="00D162FE">
            <w:pPr>
              <w:pStyle w:val="Header"/>
              <w:tabs>
                <w:tab w:val="clear" w:pos="4320"/>
                <w:tab w:val="clear" w:pos="8640"/>
              </w:tabs>
              <w:jc w:val="center"/>
              <w:rPr>
                <w:rFonts w:cs="Tahoma"/>
                <w:smallCaps/>
                <w:lang w:val="it-IT"/>
              </w:rPr>
            </w:pPr>
          </w:p>
        </w:tc>
        <w:tc>
          <w:tcPr>
            <w:tcW w:w="2749" w:type="dxa"/>
          </w:tcPr>
          <w:p w14:paraId="7FB8276C" w14:textId="04517588" w:rsidR="00D162FE" w:rsidRDefault="00D162FE" w:rsidP="00D162FE">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ayout w:type="fixed"/>
        <w:tblLook w:val="04A0" w:firstRow="1" w:lastRow="0" w:firstColumn="1" w:lastColumn="0" w:noHBand="0" w:noVBand="1"/>
      </w:tblPr>
      <w:tblGrid>
        <w:gridCol w:w="1795"/>
        <w:gridCol w:w="6660"/>
        <w:gridCol w:w="1440"/>
        <w:gridCol w:w="1039"/>
      </w:tblGrid>
      <w:tr w:rsidR="00935C7F" w14:paraId="4FA75440" w14:textId="77777777" w:rsidTr="005904B0">
        <w:tc>
          <w:tcPr>
            <w:tcW w:w="1795"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660"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40"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39"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935C7F" w14:paraId="7B557F16" w14:textId="77777777" w:rsidTr="005904B0">
        <w:tc>
          <w:tcPr>
            <w:tcW w:w="1795"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660" w:type="dxa"/>
            <w:shd w:val="clear" w:color="auto" w:fill="auto"/>
          </w:tcPr>
          <w:p w14:paraId="7014F089" w14:textId="115A7762" w:rsidR="00312561" w:rsidRDefault="00D162FE" w:rsidP="00312561">
            <w:r>
              <w:t>Isaias</w:t>
            </w:r>
            <w:r w:rsidR="00AF0761">
              <w:t xml:space="preserve"> was recognized</w:t>
            </w:r>
            <w:r>
              <w:t xml:space="preserve"> for doing 4 eluates recently.  She commented that the eluates are time consuming and </w:t>
            </w:r>
            <w:proofErr w:type="gramStart"/>
            <w:r>
              <w:t>tedious</w:t>
            </w:r>
            <w:proofErr w:type="gramEnd"/>
            <w:r>
              <w:t xml:space="preserve"> and he did a great job of taking them on.</w:t>
            </w:r>
          </w:p>
          <w:p w14:paraId="00E4F9BF" w14:textId="77777777" w:rsidR="00D162FE" w:rsidRDefault="00D162FE" w:rsidP="00312561"/>
          <w:p w14:paraId="6BF8027E" w14:textId="1020CAB7" w:rsidR="00503B5C" w:rsidRDefault="00D162FE" w:rsidP="00312561">
            <w:r>
              <w:t xml:space="preserve">Stephanie also recognized the staff members that completed the eluate survey.  We haven’t received results yet, but the workups looked </w:t>
            </w:r>
            <w:proofErr w:type="gramStart"/>
            <w:r>
              <w:t>really good</w:t>
            </w:r>
            <w:proofErr w:type="gramEnd"/>
            <w:r>
              <w:t>.</w:t>
            </w:r>
          </w:p>
          <w:p w14:paraId="071A3CC1" w14:textId="62900A30" w:rsidR="000C2FAF" w:rsidRPr="00BB4567" w:rsidRDefault="000C2FAF" w:rsidP="00697C98"/>
        </w:tc>
        <w:tc>
          <w:tcPr>
            <w:tcW w:w="1440"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39"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474680" w14:paraId="24268FF8" w14:textId="77777777" w:rsidTr="005904B0">
        <w:tc>
          <w:tcPr>
            <w:tcW w:w="1795" w:type="dxa"/>
            <w:shd w:val="clear" w:color="auto" w:fill="auto"/>
          </w:tcPr>
          <w:p w14:paraId="662E9D57" w14:textId="7B4E8853" w:rsidR="00474680" w:rsidRDefault="00474680" w:rsidP="00474680">
            <w:pPr>
              <w:autoSpaceDE w:val="0"/>
              <w:autoSpaceDN w:val="0"/>
              <w:adjustRightInd w:val="0"/>
              <w:rPr>
                <w:rFonts w:cs="Tahoma"/>
                <w:b/>
                <w:smallCaps/>
              </w:rPr>
            </w:pPr>
            <w:r>
              <w:rPr>
                <w:rFonts w:cs="Tahoma"/>
                <w:b/>
                <w:smallCaps/>
              </w:rPr>
              <w:t>Processing Training</w:t>
            </w:r>
          </w:p>
        </w:tc>
        <w:tc>
          <w:tcPr>
            <w:tcW w:w="6660" w:type="dxa"/>
            <w:shd w:val="clear" w:color="auto" w:fill="auto"/>
          </w:tcPr>
          <w:p w14:paraId="04B4E95B" w14:textId="2B690D4B" w:rsidR="00D162FE" w:rsidRDefault="00474680" w:rsidP="00474680">
            <w:pPr>
              <w:rPr>
                <w:noProof/>
              </w:rPr>
            </w:pPr>
            <w:r>
              <w:rPr>
                <w:noProof/>
              </w:rPr>
              <w:t>Blood bank staff are expected to help in processing when they are busy and our workload permits.  Training documents were provided to all BB staff members.  Please work with processing to complete.  This is a quick training.  Please complete before the end of May.</w:t>
            </w:r>
          </w:p>
          <w:p w14:paraId="5C5D3887" w14:textId="77777777" w:rsidR="00D162FE" w:rsidRDefault="00D162FE" w:rsidP="00474680">
            <w:pPr>
              <w:rPr>
                <w:noProof/>
              </w:rPr>
            </w:pPr>
          </w:p>
          <w:p w14:paraId="7ECAEABC" w14:textId="293EE314" w:rsidR="00D162FE" w:rsidRDefault="00D162FE" w:rsidP="00474680">
            <w:pPr>
              <w:rPr>
                <w:noProof/>
              </w:rPr>
            </w:pPr>
            <w:r>
              <w:rPr>
                <w:noProof/>
              </w:rPr>
              <w:t>SGMC—Cathy Amparo (Bongbonga), Anajana Shrestha, and Dorcas Dadzie can sign you off.</w:t>
            </w:r>
          </w:p>
          <w:p w14:paraId="5ADC3A22" w14:textId="4DBEBBFE" w:rsidR="00D162FE" w:rsidRDefault="00D162FE" w:rsidP="00474680">
            <w:pPr>
              <w:rPr>
                <w:noProof/>
              </w:rPr>
            </w:pPr>
            <w:r>
              <w:rPr>
                <w:noProof/>
              </w:rPr>
              <w:t>WOMC—Yvonne Gray, Khadijah Hassan, Derrick Wallace, and Paulette Douglas Thompson can sign you off.</w:t>
            </w:r>
          </w:p>
          <w:p w14:paraId="25570074" w14:textId="2F43CED1" w:rsidR="00474680" w:rsidRDefault="00474680" w:rsidP="00474680"/>
        </w:tc>
        <w:tc>
          <w:tcPr>
            <w:tcW w:w="1440" w:type="dxa"/>
            <w:shd w:val="clear" w:color="auto" w:fill="auto"/>
          </w:tcPr>
          <w:p w14:paraId="15B9208F" w14:textId="5B35E456" w:rsidR="00474680" w:rsidRDefault="00474680" w:rsidP="00474680">
            <w:pPr>
              <w:autoSpaceDE w:val="0"/>
              <w:autoSpaceDN w:val="0"/>
              <w:adjustRightInd w:val="0"/>
              <w:rPr>
                <w:rFonts w:cs="Tahoma"/>
                <w:bCs/>
              </w:rPr>
            </w:pPr>
            <w:r>
              <w:rPr>
                <w:rFonts w:cs="Tahoma"/>
                <w:bCs/>
              </w:rPr>
              <w:t>Informational</w:t>
            </w:r>
          </w:p>
        </w:tc>
        <w:tc>
          <w:tcPr>
            <w:tcW w:w="1039" w:type="dxa"/>
            <w:shd w:val="clear" w:color="auto" w:fill="auto"/>
          </w:tcPr>
          <w:p w14:paraId="7A22CD2F" w14:textId="5DEAD745" w:rsidR="00474680" w:rsidRDefault="00474680" w:rsidP="00474680">
            <w:pPr>
              <w:autoSpaceDE w:val="0"/>
              <w:autoSpaceDN w:val="0"/>
              <w:adjustRightInd w:val="0"/>
              <w:rPr>
                <w:rFonts w:cs="Tahoma"/>
                <w:bCs/>
              </w:rPr>
            </w:pPr>
            <w:r>
              <w:rPr>
                <w:rFonts w:cs="Tahoma"/>
                <w:bCs/>
              </w:rPr>
              <w:t>None</w:t>
            </w:r>
          </w:p>
        </w:tc>
      </w:tr>
      <w:tr w:rsidR="00935C7F" w14:paraId="7D117C6D" w14:textId="77777777" w:rsidTr="005904B0">
        <w:tc>
          <w:tcPr>
            <w:tcW w:w="1795" w:type="dxa"/>
            <w:shd w:val="clear" w:color="auto" w:fill="auto"/>
          </w:tcPr>
          <w:p w14:paraId="41B9050F" w14:textId="2D05C092" w:rsidR="00D93C85" w:rsidRDefault="00474680" w:rsidP="0051743A">
            <w:pPr>
              <w:autoSpaceDE w:val="0"/>
              <w:autoSpaceDN w:val="0"/>
              <w:adjustRightInd w:val="0"/>
              <w:rPr>
                <w:rFonts w:cs="Tahoma"/>
                <w:b/>
                <w:smallCaps/>
              </w:rPr>
            </w:pPr>
            <w:r>
              <w:rPr>
                <w:rFonts w:cs="Tahoma"/>
                <w:b/>
                <w:smallCaps/>
              </w:rPr>
              <w:t>Readback at Issue</w:t>
            </w:r>
          </w:p>
        </w:tc>
        <w:tc>
          <w:tcPr>
            <w:tcW w:w="6660" w:type="dxa"/>
            <w:shd w:val="clear" w:color="auto" w:fill="auto"/>
          </w:tcPr>
          <w:p w14:paraId="6F238238" w14:textId="77777777" w:rsidR="007221F9" w:rsidRDefault="00474680" w:rsidP="00611B19">
            <w:r>
              <w:t>The readback process of the issuing procedure was updated.  Specifically, we added a statement that the “Request for Transfusion” form should be hidden from the staff member picking up blood products.</w:t>
            </w:r>
          </w:p>
          <w:p w14:paraId="1394F579" w14:textId="77777777" w:rsidR="00474680" w:rsidRDefault="00474680" w:rsidP="00611B19"/>
          <w:p w14:paraId="02926B91" w14:textId="77777777" w:rsidR="00474680" w:rsidRDefault="00474680" w:rsidP="00611B19">
            <w:r>
              <w:t xml:space="preserve">We had an FDA-reportable event.  Ten units of plasma were issued for a plasma exchange (apheresis) procedure.  The tech laid the request form on the counter with all 10 units of plasma during readback.  All ten units of plasma were issued with the incorrect BB/TS number.  The units were returned and corrected.  </w:t>
            </w:r>
          </w:p>
          <w:p w14:paraId="051A2BA4" w14:textId="77777777" w:rsidR="00474680" w:rsidRDefault="00474680" w:rsidP="00611B19"/>
          <w:p w14:paraId="4D679344" w14:textId="77777777" w:rsidR="00474680" w:rsidRDefault="00474680" w:rsidP="00611B19">
            <w:r>
              <w:t>We believe the root cause of this error was that the RN was reading from the issue form instead of the patient label on each unit.</w:t>
            </w:r>
          </w:p>
          <w:p w14:paraId="7203D7A1" w14:textId="61DE2FDF" w:rsidR="00474680" w:rsidRDefault="00474680" w:rsidP="00611B19"/>
        </w:tc>
        <w:tc>
          <w:tcPr>
            <w:tcW w:w="1440" w:type="dxa"/>
            <w:shd w:val="clear" w:color="auto" w:fill="auto"/>
          </w:tcPr>
          <w:p w14:paraId="18742AC2" w14:textId="60DDA23D" w:rsidR="00D93C85" w:rsidRDefault="00D93C85" w:rsidP="0051743A">
            <w:pPr>
              <w:autoSpaceDE w:val="0"/>
              <w:autoSpaceDN w:val="0"/>
              <w:adjustRightInd w:val="0"/>
              <w:rPr>
                <w:rFonts w:cs="Tahoma"/>
                <w:bCs/>
              </w:rPr>
            </w:pPr>
            <w:r>
              <w:rPr>
                <w:rFonts w:cs="Tahoma"/>
                <w:bCs/>
              </w:rPr>
              <w:t>Informational</w:t>
            </w:r>
          </w:p>
        </w:tc>
        <w:tc>
          <w:tcPr>
            <w:tcW w:w="1039" w:type="dxa"/>
            <w:shd w:val="clear" w:color="auto" w:fill="auto"/>
          </w:tcPr>
          <w:p w14:paraId="3B992447" w14:textId="184CB551" w:rsidR="00D93C85" w:rsidRDefault="00D93C85" w:rsidP="0051743A">
            <w:pPr>
              <w:autoSpaceDE w:val="0"/>
              <w:autoSpaceDN w:val="0"/>
              <w:adjustRightInd w:val="0"/>
              <w:rPr>
                <w:rFonts w:cs="Tahoma"/>
                <w:bCs/>
              </w:rPr>
            </w:pPr>
            <w:r>
              <w:rPr>
                <w:rFonts w:cs="Tahoma"/>
                <w:bCs/>
              </w:rPr>
              <w:t>None</w:t>
            </w:r>
          </w:p>
        </w:tc>
      </w:tr>
      <w:tr w:rsidR="00935C7F" w14:paraId="615C0302" w14:textId="77777777" w:rsidTr="005904B0">
        <w:tc>
          <w:tcPr>
            <w:tcW w:w="1795" w:type="dxa"/>
            <w:shd w:val="clear" w:color="auto" w:fill="auto"/>
          </w:tcPr>
          <w:p w14:paraId="38880BB4" w14:textId="754CBEF7" w:rsidR="00AC6A51" w:rsidRDefault="00474680" w:rsidP="0051743A">
            <w:pPr>
              <w:autoSpaceDE w:val="0"/>
              <w:autoSpaceDN w:val="0"/>
              <w:adjustRightInd w:val="0"/>
              <w:rPr>
                <w:rFonts w:cs="Tahoma"/>
                <w:b/>
                <w:smallCaps/>
              </w:rPr>
            </w:pPr>
            <w:r>
              <w:rPr>
                <w:rFonts w:cs="Tahoma"/>
                <w:b/>
                <w:smallCaps/>
              </w:rPr>
              <w:lastRenderedPageBreak/>
              <w:t>Non-BB Specimens Tubed to BB</w:t>
            </w:r>
          </w:p>
        </w:tc>
        <w:tc>
          <w:tcPr>
            <w:tcW w:w="6660" w:type="dxa"/>
            <w:shd w:val="clear" w:color="auto" w:fill="auto"/>
          </w:tcPr>
          <w:p w14:paraId="4678A144" w14:textId="77777777" w:rsidR="00474680" w:rsidRDefault="00474680" w:rsidP="00474680">
            <w:r>
              <w:t>If you receive specimens that should have gone to the lab via pneumatic tube, you should walk or tube them to the lab.  Submit an IQE event if this becomes a problem for a specific unit.</w:t>
            </w:r>
          </w:p>
          <w:p w14:paraId="630254F9" w14:textId="77777777" w:rsidR="00474680" w:rsidRDefault="00474680" w:rsidP="00474680"/>
          <w:p w14:paraId="5CFC6EA9" w14:textId="77777777" w:rsidR="00474680" w:rsidRDefault="00474680" w:rsidP="00474680">
            <w:r>
              <w:t>We had an incident where specimens were sent back to the floor via pneumatic tube without notification.  This delayed several c-section surgeries.</w:t>
            </w:r>
          </w:p>
          <w:p w14:paraId="5635D3CD" w14:textId="26A069DC" w:rsidR="00474680" w:rsidRDefault="00474680" w:rsidP="00474680"/>
        </w:tc>
        <w:tc>
          <w:tcPr>
            <w:tcW w:w="1440" w:type="dxa"/>
            <w:shd w:val="clear" w:color="auto" w:fill="auto"/>
          </w:tcPr>
          <w:p w14:paraId="6A0B5063" w14:textId="0F92ADE7" w:rsidR="00AC6A51" w:rsidRDefault="00B9051D" w:rsidP="0051743A">
            <w:pPr>
              <w:autoSpaceDE w:val="0"/>
              <w:autoSpaceDN w:val="0"/>
              <w:adjustRightInd w:val="0"/>
              <w:rPr>
                <w:rFonts w:cs="Tahoma"/>
                <w:bCs/>
              </w:rPr>
            </w:pPr>
            <w:r>
              <w:rPr>
                <w:rFonts w:cs="Tahoma"/>
                <w:bCs/>
              </w:rPr>
              <w:t>Informational</w:t>
            </w:r>
          </w:p>
        </w:tc>
        <w:tc>
          <w:tcPr>
            <w:tcW w:w="1039" w:type="dxa"/>
            <w:shd w:val="clear" w:color="auto" w:fill="auto"/>
          </w:tcPr>
          <w:p w14:paraId="4F17DBE7" w14:textId="4861C2C0" w:rsidR="00AC6A51" w:rsidRDefault="00AC6A51" w:rsidP="0051743A">
            <w:pPr>
              <w:autoSpaceDE w:val="0"/>
              <w:autoSpaceDN w:val="0"/>
              <w:adjustRightInd w:val="0"/>
              <w:rPr>
                <w:rFonts w:cs="Tahoma"/>
                <w:bCs/>
              </w:rPr>
            </w:pPr>
            <w:r>
              <w:rPr>
                <w:rFonts w:cs="Tahoma"/>
                <w:bCs/>
              </w:rPr>
              <w:t>None</w:t>
            </w:r>
          </w:p>
        </w:tc>
      </w:tr>
      <w:tr w:rsidR="007A2A68" w14:paraId="08521565" w14:textId="77777777" w:rsidTr="005904B0">
        <w:tc>
          <w:tcPr>
            <w:tcW w:w="1795" w:type="dxa"/>
            <w:shd w:val="clear" w:color="auto" w:fill="auto"/>
          </w:tcPr>
          <w:p w14:paraId="6DA4A47B" w14:textId="59712D20" w:rsidR="007A2A68" w:rsidRDefault="00D162FE" w:rsidP="0051743A">
            <w:pPr>
              <w:autoSpaceDE w:val="0"/>
              <w:autoSpaceDN w:val="0"/>
              <w:adjustRightInd w:val="0"/>
              <w:rPr>
                <w:rFonts w:cs="Tahoma"/>
                <w:b/>
                <w:smallCaps/>
              </w:rPr>
            </w:pPr>
            <w:r>
              <w:rPr>
                <w:rFonts w:cs="Tahoma"/>
                <w:b/>
                <w:smallCaps/>
              </w:rPr>
              <w:t>Transfusion Reactions and BBREF Billing</w:t>
            </w:r>
          </w:p>
        </w:tc>
        <w:tc>
          <w:tcPr>
            <w:tcW w:w="6660" w:type="dxa"/>
            <w:shd w:val="clear" w:color="auto" w:fill="auto"/>
          </w:tcPr>
          <w:p w14:paraId="76AF7119" w14:textId="1D4967FD" w:rsidR="007A0D91" w:rsidRDefault="007A0D91" w:rsidP="00611B19">
            <w:r>
              <w:t xml:space="preserve">Reminder:  Only group leads should be entering </w:t>
            </w:r>
            <w:r w:rsidR="00D162FE">
              <w:t xml:space="preserve">the pathologist interpretation of </w:t>
            </w:r>
            <w:r>
              <w:t xml:space="preserve">transfusion reactions.  </w:t>
            </w:r>
            <w:r w:rsidR="00D162FE">
              <w:t>Also, only trained personnel should be entering BBREF billing.  Please leave this for those to whom it is assigned to avoid errors in documentation/billing.</w:t>
            </w:r>
          </w:p>
          <w:p w14:paraId="6046FCD1" w14:textId="47013FF9" w:rsidR="00D162FE" w:rsidRDefault="00D162FE" w:rsidP="00611B19"/>
        </w:tc>
        <w:tc>
          <w:tcPr>
            <w:tcW w:w="1440" w:type="dxa"/>
            <w:shd w:val="clear" w:color="auto" w:fill="auto"/>
          </w:tcPr>
          <w:p w14:paraId="1E5DBAC4" w14:textId="1100282E" w:rsidR="007A2A68" w:rsidRDefault="007A2A68" w:rsidP="0051743A">
            <w:pPr>
              <w:autoSpaceDE w:val="0"/>
              <w:autoSpaceDN w:val="0"/>
              <w:adjustRightInd w:val="0"/>
              <w:rPr>
                <w:rFonts w:cs="Tahoma"/>
                <w:bCs/>
              </w:rPr>
            </w:pPr>
            <w:r>
              <w:rPr>
                <w:rFonts w:cs="Tahoma"/>
                <w:bCs/>
              </w:rPr>
              <w:t>Informational</w:t>
            </w:r>
          </w:p>
        </w:tc>
        <w:tc>
          <w:tcPr>
            <w:tcW w:w="1039" w:type="dxa"/>
            <w:shd w:val="clear" w:color="auto" w:fill="auto"/>
          </w:tcPr>
          <w:p w14:paraId="0CD2A6B5" w14:textId="4D1223E0" w:rsidR="007A2A68" w:rsidRDefault="007A2A68" w:rsidP="0051743A">
            <w:pPr>
              <w:autoSpaceDE w:val="0"/>
              <w:autoSpaceDN w:val="0"/>
              <w:adjustRightInd w:val="0"/>
              <w:rPr>
                <w:rFonts w:cs="Tahoma"/>
                <w:bCs/>
              </w:rPr>
            </w:pPr>
            <w:r>
              <w:rPr>
                <w:rFonts w:cs="Tahoma"/>
                <w:bCs/>
              </w:rPr>
              <w:t>None</w:t>
            </w:r>
          </w:p>
        </w:tc>
      </w:tr>
      <w:tr w:rsidR="00935C7F" w14:paraId="4E558B2D" w14:textId="77777777" w:rsidTr="005904B0">
        <w:tc>
          <w:tcPr>
            <w:tcW w:w="1795" w:type="dxa"/>
            <w:shd w:val="clear" w:color="auto" w:fill="auto"/>
          </w:tcPr>
          <w:p w14:paraId="07E37655" w14:textId="7219B96B" w:rsidR="00935C7F" w:rsidRDefault="007A0D91" w:rsidP="0051743A">
            <w:pPr>
              <w:autoSpaceDE w:val="0"/>
              <w:autoSpaceDN w:val="0"/>
              <w:adjustRightInd w:val="0"/>
              <w:rPr>
                <w:rFonts w:cs="Tahoma"/>
                <w:b/>
                <w:smallCaps/>
              </w:rPr>
            </w:pPr>
            <w:r>
              <w:rPr>
                <w:rFonts w:cs="Tahoma"/>
                <w:b/>
                <w:smallCaps/>
              </w:rPr>
              <w:t>In House Workups</w:t>
            </w:r>
          </w:p>
        </w:tc>
        <w:tc>
          <w:tcPr>
            <w:tcW w:w="6660" w:type="dxa"/>
            <w:shd w:val="clear" w:color="auto" w:fill="auto"/>
          </w:tcPr>
          <w:p w14:paraId="41B65D89" w14:textId="56A2ACC3" w:rsidR="007A0D91" w:rsidRDefault="007A0D91" w:rsidP="00611B19">
            <w:r>
              <w:t xml:space="preserve">We must complete in house workups before referring to the ARC (especially if it is the first time we are referring).  Also, we must complete the in-house workup and rule out all antibodies before entering a BB Ref report from a previous specimen.  I have seen </w:t>
            </w:r>
            <w:proofErr w:type="gramStart"/>
            <w:r>
              <w:t>a number of</w:t>
            </w:r>
            <w:proofErr w:type="gramEnd"/>
            <w:r>
              <w:t xml:space="preserve"> cases recently where the Poly DAT is positive</w:t>
            </w:r>
            <w:r w:rsidR="00AF0761">
              <w:t>,</w:t>
            </w:r>
            <w:r>
              <w:t xml:space="preserve"> and no further DAT workup or eluate was performed.  I have also seen cases where we did a </w:t>
            </w:r>
            <w:proofErr w:type="spellStart"/>
            <w:r>
              <w:t>PeG</w:t>
            </w:r>
            <w:proofErr w:type="spellEnd"/>
            <w:r>
              <w:t xml:space="preserve"> screen, resulted it as positive, and did not follow up with a </w:t>
            </w:r>
            <w:proofErr w:type="spellStart"/>
            <w:r>
              <w:t>PeG</w:t>
            </w:r>
            <w:proofErr w:type="spellEnd"/>
            <w:r>
              <w:t xml:space="preserve"> panel.  These are required per procedure.</w:t>
            </w:r>
          </w:p>
          <w:p w14:paraId="3C3F4E48" w14:textId="72EDE9D0" w:rsidR="007A0D91" w:rsidRPr="007A0D91" w:rsidRDefault="007A0D91" w:rsidP="00611B19"/>
        </w:tc>
        <w:tc>
          <w:tcPr>
            <w:tcW w:w="1440" w:type="dxa"/>
            <w:shd w:val="clear" w:color="auto" w:fill="auto"/>
          </w:tcPr>
          <w:p w14:paraId="63AAEADC" w14:textId="3B9C4225" w:rsidR="00935C7F" w:rsidRDefault="00935C7F" w:rsidP="0051743A">
            <w:pPr>
              <w:autoSpaceDE w:val="0"/>
              <w:autoSpaceDN w:val="0"/>
              <w:adjustRightInd w:val="0"/>
              <w:rPr>
                <w:rFonts w:cs="Tahoma"/>
                <w:bCs/>
              </w:rPr>
            </w:pPr>
            <w:r>
              <w:rPr>
                <w:rFonts w:cs="Tahoma"/>
                <w:bCs/>
              </w:rPr>
              <w:t>Informational</w:t>
            </w:r>
          </w:p>
        </w:tc>
        <w:tc>
          <w:tcPr>
            <w:tcW w:w="1039" w:type="dxa"/>
            <w:shd w:val="clear" w:color="auto" w:fill="auto"/>
          </w:tcPr>
          <w:p w14:paraId="2F00D76F" w14:textId="06028B41" w:rsidR="00935C7F" w:rsidRDefault="00935C7F" w:rsidP="0051743A">
            <w:pPr>
              <w:autoSpaceDE w:val="0"/>
              <w:autoSpaceDN w:val="0"/>
              <w:adjustRightInd w:val="0"/>
              <w:rPr>
                <w:rFonts w:cs="Tahoma"/>
                <w:bCs/>
              </w:rPr>
            </w:pPr>
            <w:r>
              <w:rPr>
                <w:rFonts w:cs="Tahoma"/>
                <w:bCs/>
              </w:rPr>
              <w:t>None</w:t>
            </w:r>
          </w:p>
        </w:tc>
      </w:tr>
      <w:tr w:rsidR="00935C7F" w14:paraId="01604B45" w14:textId="77777777" w:rsidTr="005904B0">
        <w:tc>
          <w:tcPr>
            <w:tcW w:w="1795" w:type="dxa"/>
            <w:shd w:val="clear" w:color="auto" w:fill="auto"/>
          </w:tcPr>
          <w:p w14:paraId="2EC1BAB4" w14:textId="53957565" w:rsidR="00AC6A51" w:rsidRDefault="007A0D91" w:rsidP="0051743A">
            <w:pPr>
              <w:autoSpaceDE w:val="0"/>
              <w:autoSpaceDN w:val="0"/>
              <w:adjustRightInd w:val="0"/>
              <w:rPr>
                <w:rFonts w:cs="Tahoma"/>
                <w:b/>
                <w:smallCaps/>
              </w:rPr>
            </w:pPr>
            <w:r>
              <w:rPr>
                <w:rFonts w:cs="Tahoma"/>
                <w:b/>
                <w:smallCaps/>
              </w:rPr>
              <w:t>Comment</w:t>
            </w:r>
          </w:p>
        </w:tc>
        <w:tc>
          <w:tcPr>
            <w:tcW w:w="6660" w:type="dxa"/>
            <w:shd w:val="clear" w:color="auto" w:fill="auto"/>
          </w:tcPr>
          <w:p w14:paraId="503D0E20" w14:textId="49F02235" w:rsidR="00A57727" w:rsidRDefault="007A0D91" w:rsidP="00611B19">
            <w:r>
              <w:t xml:space="preserve">Please do not enter my name in the comments of Sunquest.  </w:t>
            </w:r>
            <w:r w:rsidR="00D162FE">
              <w:t>I am not looking at the workup when you call me</w:t>
            </w:r>
            <w:r w:rsidR="00AF0761">
              <w:t xml:space="preserve"> and do not have a full picture of the results.  I am basing my responses on what you are telling me.  You ultimately make the decision of how to proceed.</w:t>
            </w:r>
          </w:p>
          <w:p w14:paraId="1570C8B7" w14:textId="77777777" w:rsidR="007A0D91" w:rsidRDefault="007A0D91" w:rsidP="00611B19"/>
          <w:p w14:paraId="6E32ADE9" w14:textId="77777777" w:rsidR="007A0D91" w:rsidRDefault="007A0D91" w:rsidP="00611B19">
            <w:r>
              <w:t>Example:</w:t>
            </w:r>
          </w:p>
          <w:p w14:paraId="59245292" w14:textId="23938E6F" w:rsidR="007A0D91" w:rsidRDefault="007A0D91" w:rsidP="00611B19">
            <w:r>
              <w:rPr>
                <w:noProof/>
              </w:rPr>
              <w:drawing>
                <wp:inline distT="0" distB="0" distL="0" distR="0" wp14:anchorId="6ECBF324" wp14:editId="213B9C79">
                  <wp:extent cx="4091940" cy="628015"/>
                  <wp:effectExtent l="0" t="0" r="3810" b="635"/>
                  <wp:docPr id="40211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14084" name=""/>
                          <pic:cNvPicPr/>
                        </pic:nvPicPr>
                        <pic:blipFill>
                          <a:blip r:embed="rId9"/>
                          <a:stretch>
                            <a:fillRect/>
                          </a:stretch>
                        </pic:blipFill>
                        <pic:spPr>
                          <a:xfrm>
                            <a:off x="0" y="0"/>
                            <a:ext cx="4091940" cy="628015"/>
                          </a:xfrm>
                          <a:prstGeom prst="rect">
                            <a:avLst/>
                          </a:prstGeom>
                        </pic:spPr>
                      </pic:pic>
                    </a:graphicData>
                  </a:graphic>
                </wp:inline>
              </w:drawing>
            </w:r>
          </w:p>
        </w:tc>
        <w:tc>
          <w:tcPr>
            <w:tcW w:w="1440" w:type="dxa"/>
            <w:shd w:val="clear" w:color="auto" w:fill="auto"/>
          </w:tcPr>
          <w:p w14:paraId="61809A4E" w14:textId="1C5122C4" w:rsidR="00AC6A51" w:rsidRDefault="00CF1696" w:rsidP="0051743A">
            <w:pPr>
              <w:autoSpaceDE w:val="0"/>
              <w:autoSpaceDN w:val="0"/>
              <w:adjustRightInd w:val="0"/>
              <w:rPr>
                <w:rFonts w:cs="Tahoma"/>
                <w:bCs/>
              </w:rPr>
            </w:pPr>
            <w:r>
              <w:rPr>
                <w:rFonts w:cs="Tahoma"/>
                <w:bCs/>
              </w:rPr>
              <w:t>Informational</w:t>
            </w:r>
          </w:p>
        </w:tc>
        <w:tc>
          <w:tcPr>
            <w:tcW w:w="1039" w:type="dxa"/>
            <w:shd w:val="clear" w:color="auto" w:fill="auto"/>
          </w:tcPr>
          <w:p w14:paraId="1DAC986D" w14:textId="55F8047A" w:rsidR="00AC6A51" w:rsidRDefault="00AC6A51" w:rsidP="0051743A">
            <w:pPr>
              <w:autoSpaceDE w:val="0"/>
              <w:autoSpaceDN w:val="0"/>
              <w:adjustRightInd w:val="0"/>
              <w:rPr>
                <w:rFonts w:cs="Tahoma"/>
                <w:bCs/>
              </w:rPr>
            </w:pPr>
            <w:r>
              <w:rPr>
                <w:rFonts w:cs="Tahoma"/>
                <w:bCs/>
              </w:rPr>
              <w:t>None</w:t>
            </w:r>
          </w:p>
        </w:tc>
      </w:tr>
      <w:tr w:rsidR="00935C7F" w14:paraId="7AF81B8B" w14:textId="77777777" w:rsidTr="005904B0">
        <w:tc>
          <w:tcPr>
            <w:tcW w:w="1795" w:type="dxa"/>
            <w:shd w:val="clear" w:color="auto" w:fill="auto"/>
          </w:tcPr>
          <w:p w14:paraId="31D05867" w14:textId="39D1847C" w:rsidR="00AC6A51" w:rsidRDefault="007A0D91" w:rsidP="0051743A">
            <w:pPr>
              <w:autoSpaceDE w:val="0"/>
              <w:autoSpaceDN w:val="0"/>
              <w:adjustRightInd w:val="0"/>
              <w:rPr>
                <w:rFonts w:cs="Tahoma"/>
                <w:b/>
                <w:smallCaps/>
              </w:rPr>
            </w:pPr>
            <w:r>
              <w:rPr>
                <w:rFonts w:cs="Tahoma"/>
                <w:b/>
                <w:smallCaps/>
              </w:rPr>
              <w:t>NAAB</w:t>
            </w:r>
          </w:p>
        </w:tc>
        <w:tc>
          <w:tcPr>
            <w:tcW w:w="6660" w:type="dxa"/>
            <w:shd w:val="clear" w:color="auto" w:fill="auto"/>
          </w:tcPr>
          <w:p w14:paraId="7E7DDE20" w14:textId="01CB4DF0" w:rsidR="006800B4" w:rsidRDefault="007A0D91" w:rsidP="00611B19">
            <w:r>
              <w:t>Reminder:  We never use “no new antibodies detected” for in house workups.  This is only used if ARC did not confirm historical antibodies in the specimen</w:t>
            </w:r>
            <w:r w:rsidR="00AF0761">
              <w:t xml:space="preserve"> that are in our system.</w:t>
            </w:r>
          </w:p>
          <w:p w14:paraId="71DE0206" w14:textId="77777777" w:rsidR="007A0D91" w:rsidRDefault="007A0D91" w:rsidP="00611B19"/>
          <w:p w14:paraId="3730FE55" w14:textId="77777777" w:rsidR="007A0D91" w:rsidRDefault="007A0D91" w:rsidP="00611B19">
            <w:r>
              <w:t xml:space="preserve">Also, if we are using results of a previous ARC reference lab workup, we enter the results in the </w:t>
            </w:r>
            <w:proofErr w:type="spellStart"/>
            <w:r>
              <w:t>AbID</w:t>
            </w:r>
            <w:proofErr w:type="spellEnd"/>
            <w:r>
              <w:t xml:space="preserve">.  We do not “HIDE” the </w:t>
            </w:r>
            <w:proofErr w:type="spellStart"/>
            <w:r>
              <w:t>AbID</w:t>
            </w:r>
            <w:proofErr w:type="spellEnd"/>
            <w:r>
              <w:t xml:space="preserve"> field.</w:t>
            </w:r>
          </w:p>
          <w:p w14:paraId="20DC2D2E" w14:textId="7639CC34" w:rsidR="007A0D91" w:rsidRDefault="007A0D91" w:rsidP="00611B19"/>
        </w:tc>
        <w:tc>
          <w:tcPr>
            <w:tcW w:w="1440" w:type="dxa"/>
            <w:shd w:val="clear" w:color="auto" w:fill="auto"/>
          </w:tcPr>
          <w:p w14:paraId="39BDF54F" w14:textId="79711E5D" w:rsidR="00AC6A51" w:rsidRDefault="00AC6A51" w:rsidP="0051743A">
            <w:pPr>
              <w:autoSpaceDE w:val="0"/>
              <w:autoSpaceDN w:val="0"/>
              <w:adjustRightInd w:val="0"/>
              <w:rPr>
                <w:rFonts w:cs="Tahoma"/>
                <w:bCs/>
              </w:rPr>
            </w:pPr>
            <w:r>
              <w:rPr>
                <w:rFonts w:cs="Tahoma"/>
                <w:bCs/>
              </w:rPr>
              <w:t>Informational</w:t>
            </w:r>
          </w:p>
        </w:tc>
        <w:tc>
          <w:tcPr>
            <w:tcW w:w="1039" w:type="dxa"/>
            <w:shd w:val="clear" w:color="auto" w:fill="auto"/>
          </w:tcPr>
          <w:p w14:paraId="4778A8FF" w14:textId="5A16A31B" w:rsidR="00AC6A51" w:rsidRDefault="00AC6A51" w:rsidP="0051743A">
            <w:pPr>
              <w:autoSpaceDE w:val="0"/>
              <w:autoSpaceDN w:val="0"/>
              <w:adjustRightInd w:val="0"/>
              <w:rPr>
                <w:rFonts w:cs="Tahoma"/>
                <w:bCs/>
              </w:rPr>
            </w:pPr>
            <w:r>
              <w:rPr>
                <w:rFonts w:cs="Tahoma"/>
                <w:bCs/>
              </w:rPr>
              <w:t>None</w:t>
            </w:r>
          </w:p>
        </w:tc>
      </w:tr>
      <w:tr w:rsidR="000849E8" w14:paraId="62A06366" w14:textId="77777777" w:rsidTr="00D162FE">
        <w:trPr>
          <w:trHeight w:val="2861"/>
        </w:trPr>
        <w:tc>
          <w:tcPr>
            <w:tcW w:w="1795" w:type="dxa"/>
            <w:shd w:val="clear" w:color="auto" w:fill="auto"/>
          </w:tcPr>
          <w:p w14:paraId="092CC2A6" w14:textId="26B5722C" w:rsidR="00AC6A51" w:rsidRDefault="00DE2B17" w:rsidP="0051743A">
            <w:pPr>
              <w:autoSpaceDE w:val="0"/>
              <w:autoSpaceDN w:val="0"/>
              <w:adjustRightInd w:val="0"/>
              <w:rPr>
                <w:rFonts w:cs="Tahoma"/>
                <w:b/>
                <w:smallCaps/>
              </w:rPr>
            </w:pPr>
            <w:r>
              <w:rPr>
                <w:rFonts w:cs="Tahoma"/>
                <w:b/>
                <w:smallCaps/>
              </w:rPr>
              <w:t>Documentation Technique</w:t>
            </w:r>
          </w:p>
        </w:tc>
        <w:tc>
          <w:tcPr>
            <w:tcW w:w="6660" w:type="dxa"/>
            <w:shd w:val="clear" w:color="auto" w:fill="auto"/>
          </w:tcPr>
          <w:p w14:paraId="518D7827" w14:textId="77777777" w:rsidR="00F55233" w:rsidRDefault="00DE2B17" w:rsidP="00F55233">
            <w:r>
              <w:t>Reminder:  If you document something retroactively, you must document the correct date and a comment indicating why the documentation was late.</w:t>
            </w:r>
          </w:p>
          <w:p w14:paraId="3B7E62EA" w14:textId="77777777" w:rsidR="00DE2B17" w:rsidRDefault="00DE2B17" w:rsidP="00F55233"/>
          <w:p w14:paraId="57E41CE1" w14:textId="0A3CA50B" w:rsidR="00DE2B17" w:rsidRDefault="00D162FE" w:rsidP="00F55233">
            <w:r>
              <w:t>This is specifically important on Echo printouts, because the paper lists the date on which it was printed.  If you run QC on 2/4 and reprint it on 2/6, the printout will list 2/6, so writing “QC passed 2/4/25” shows we didn’t follow our procedure.</w:t>
            </w:r>
          </w:p>
          <w:p w14:paraId="7CF0DEFE" w14:textId="77777777" w:rsidR="00D162FE" w:rsidRDefault="00D162FE" w:rsidP="00F55233"/>
          <w:p w14:paraId="250D339F" w14:textId="77777777" w:rsidR="00DE2B17" w:rsidRDefault="00D162FE" w:rsidP="00F55233">
            <w:r>
              <w:t xml:space="preserve">The correct way to do this would be to write, “QC passed 2/4/25.  </w:t>
            </w:r>
            <w:r w:rsidR="00AF0761">
              <w:t xml:space="preserve">Reason for reprint (Ex = original printout missing) </w:t>
            </w:r>
            <w:r>
              <w:t xml:space="preserve">and reprinted on 2/6/25.  No patient </w:t>
            </w:r>
            <w:proofErr w:type="gramStart"/>
            <w:r>
              <w:t>impact</w:t>
            </w:r>
            <w:proofErr w:type="gramEnd"/>
            <w:r>
              <w:t>.”</w:t>
            </w:r>
          </w:p>
          <w:p w14:paraId="15342097" w14:textId="67D73073" w:rsidR="00AF0761" w:rsidRDefault="00AF0761" w:rsidP="00F55233"/>
        </w:tc>
        <w:tc>
          <w:tcPr>
            <w:tcW w:w="1440" w:type="dxa"/>
            <w:shd w:val="clear" w:color="auto" w:fill="auto"/>
          </w:tcPr>
          <w:p w14:paraId="0BD302DF" w14:textId="5B9A9AF0" w:rsidR="00AC6A51" w:rsidRDefault="00F55233" w:rsidP="0051743A">
            <w:pPr>
              <w:autoSpaceDE w:val="0"/>
              <w:autoSpaceDN w:val="0"/>
              <w:adjustRightInd w:val="0"/>
              <w:rPr>
                <w:rFonts w:cs="Tahoma"/>
                <w:bCs/>
              </w:rPr>
            </w:pPr>
            <w:r>
              <w:rPr>
                <w:rFonts w:cs="Tahoma"/>
                <w:bCs/>
              </w:rPr>
              <w:t>Informational</w:t>
            </w:r>
          </w:p>
        </w:tc>
        <w:tc>
          <w:tcPr>
            <w:tcW w:w="1039" w:type="dxa"/>
            <w:shd w:val="clear" w:color="auto" w:fill="auto"/>
          </w:tcPr>
          <w:p w14:paraId="3921D976" w14:textId="4AA5A578" w:rsidR="00AC6A51" w:rsidRDefault="00AC6A51" w:rsidP="0051743A">
            <w:pPr>
              <w:autoSpaceDE w:val="0"/>
              <w:autoSpaceDN w:val="0"/>
              <w:adjustRightInd w:val="0"/>
              <w:rPr>
                <w:rFonts w:cs="Tahoma"/>
                <w:bCs/>
              </w:rPr>
            </w:pPr>
            <w:r>
              <w:rPr>
                <w:rFonts w:cs="Tahoma"/>
                <w:bCs/>
              </w:rPr>
              <w:t>None</w:t>
            </w:r>
          </w:p>
        </w:tc>
      </w:tr>
      <w:tr w:rsidR="000849E8" w14:paraId="0581C645" w14:textId="77777777" w:rsidTr="005904B0">
        <w:tc>
          <w:tcPr>
            <w:tcW w:w="1795" w:type="dxa"/>
            <w:shd w:val="clear" w:color="auto" w:fill="auto"/>
          </w:tcPr>
          <w:p w14:paraId="32FB1314" w14:textId="4F4C624A" w:rsidR="00B17754" w:rsidRDefault="00EA70A3" w:rsidP="0051743A">
            <w:pPr>
              <w:autoSpaceDE w:val="0"/>
              <w:autoSpaceDN w:val="0"/>
              <w:adjustRightInd w:val="0"/>
              <w:rPr>
                <w:rFonts w:cs="Tahoma"/>
                <w:b/>
                <w:smallCaps/>
              </w:rPr>
            </w:pPr>
            <w:r>
              <w:rPr>
                <w:rFonts w:cs="Tahoma"/>
                <w:b/>
                <w:smallCaps/>
              </w:rPr>
              <w:t>Linking Patients</w:t>
            </w:r>
          </w:p>
        </w:tc>
        <w:tc>
          <w:tcPr>
            <w:tcW w:w="6660" w:type="dxa"/>
            <w:shd w:val="clear" w:color="auto" w:fill="auto"/>
          </w:tcPr>
          <w:p w14:paraId="2DFD5547" w14:textId="77777777" w:rsidR="00AA318E" w:rsidRDefault="00EA70A3" w:rsidP="002F56D8">
            <w:r>
              <w:t xml:space="preserve">Reminder:  We must link patients when they are in Sunquest with more than one MRN </w:t>
            </w:r>
            <w:r>
              <w:rPr>
                <w:b/>
                <w:bCs/>
              </w:rPr>
              <w:t>regardless of whether they have BB data.</w:t>
            </w:r>
          </w:p>
          <w:p w14:paraId="7ACAE237" w14:textId="77777777" w:rsidR="00EA70A3" w:rsidRDefault="00EA70A3" w:rsidP="002F56D8"/>
          <w:p w14:paraId="128DF739" w14:textId="06D08A42" w:rsidR="00EA70A3" w:rsidRDefault="00EA70A3" w:rsidP="002F56D8">
            <w:r>
              <w:t>Example:  Patient seen at SGMC and then transferred to rehab.  They will have 2 MRNs and they must be linked</w:t>
            </w:r>
            <w:r w:rsidR="00AF0761">
              <w:t xml:space="preserve"> if they meet criteria.</w:t>
            </w:r>
          </w:p>
          <w:p w14:paraId="6517A355" w14:textId="209C117A" w:rsidR="00EA70A3" w:rsidRPr="00EA70A3" w:rsidRDefault="00EA70A3" w:rsidP="002F56D8"/>
        </w:tc>
        <w:tc>
          <w:tcPr>
            <w:tcW w:w="1440" w:type="dxa"/>
            <w:shd w:val="clear" w:color="auto" w:fill="auto"/>
          </w:tcPr>
          <w:p w14:paraId="56E1CF24" w14:textId="09400F0F" w:rsidR="00B17754" w:rsidRDefault="00B17754" w:rsidP="0051743A">
            <w:pPr>
              <w:autoSpaceDE w:val="0"/>
              <w:autoSpaceDN w:val="0"/>
              <w:adjustRightInd w:val="0"/>
              <w:rPr>
                <w:rFonts w:cs="Tahoma"/>
                <w:bCs/>
              </w:rPr>
            </w:pPr>
            <w:r>
              <w:rPr>
                <w:rFonts w:cs="Tahoma"/>
                <w:bCs/>
              </w:rPr>
              <w:t>Informational</w:t>
            </w:r>
          </w:p>
        </w:tc>
        <w:tc>
          <w:tcPr>
            <w:tcW w:w="1039" w:type="dxa"/>
            <w:shd w:val="clear" w:color="auto" w:fill="auto"/>
          </w:tcPr>
          <w:p w14:paraId="2FD47B0F" w14:textId="22A1D723" w:rsidR="00B17754" w:rsidRDefault="00B17754" w:rsidP="0051743A">
            <w:pPr>
              <w:autoSpaceDE w:val="0"/>
              <w:autoSpaceDN w:val="0"/>
              <w:adjustRightInd w:val="0"/>
              <w:rPr>
                <w:rFonts w:cs="Tahoma"/>
                <w:bCs/>
              </w:rPr>
            </w:pPr>
            <w:r>
              <w:rPr>
                <w:rFonts w:cs="Tahoma"/>
                <w:bCs/>
              </w:rPr>
              <w:t>None</w:t>
            </w:r>
          </w:p>
        </w:tc>
      </w:tr>
      <w:tr w:rsidR="00426034" w14:paraId="6E7F1F2F" w14:textId="77777777" w:rsidTr="005904B0">
        <w:tc>
          <w:tcPr>
            <w:tcW w:w="1795" w:type="dxa"/>
            <w:shd w:val="clear" w:color="auto" w:fill="auto"/>
          </w:tcPr>
          <w:p w14:paraId="226EF602" w14:textId="2F0C44DF" w:rsidR="00426034" w:rsidRDefault="00426034" w:rsidP="0051743A">
            <w:pPr>
              <w:autoSpaceDE w:val="0"/>
              <w:autoSpaceDN w:val="0"/>
              <w:adjustRightInd w:val="0"/>
              <w:rPr>
                <w:rFonts w:cs="Tahoma"/>
                <w:b/>
                <w:smallCaps/>
              </w:rPr>
            </w:pPr>
            <w:r>
              <w:rPr>
                <w:rFonts w:cs="Tahoma"/>
                <w:b/>
                <w:smallCaps/>
              </w:rPr>
              <w:lastRenderedPageBreak/>
              <w:t>Emergency Release with no TS</w:t>
            </w:r>
          </w:p>
        </w:tc>
        <w:tc>
          <w:tcPr>
            <w:tcW w:w="6660" w:type="dxa"/>
            <w:shd w:val="clear" w:color="auto" w:fill="auto"/>
          </w:tcPr>
          <w:p w14:paraId="60B18337" w14:textId="4451F452" w:rsidR="00426034" w:rsidRDefault="00426034" w:rsidP="002F56D8">
            <w:r>
              <w:t>What steps are taken if a patient receives emergency release blood, and the</w:t>
            </w:r>
            <w:r w:rsidR="00AF0761">
              <w:t xml:space="preserve"> patient</w:t>
            </w:r>
            <w:r>
              <w:t xml:space="preserve"> expire</w:t>
            </w:r>
            <w:r w:rsidR="00AF0761">
              <w:t>s</w:t>
            </w:r>
            <w:r>
              <w:t xml:space="preserve"> or </w:t>
            </w:r>
            <w:r w:rsidR="00AF0761">
              <w:t>is</w:t>
            </w:r>
            <w:r>
              <w:t xml:space="preserve"> transferred before the T&amp;S is collected?</w:t>
            </w:r>
          </w:p>
          <w:p w14:paraId="30BEF966" w14:textId="31E267DF" w:rsidR="00D162FE" w:rsidRDefault="00D162FE" w:rsidP="00D162FE">
            <w:pPr>
              <w:pStyle w:val="ListParagraph"/>
              <w:numPr>
                <w:ilvl w:val="0"/>
                <w:numId w:val="5"/>
              </w:numPr>
            </w:pPr>
            <w:r>
              <w:t>T&amp;S gets cancelled with the reason (</w:t>
            </w:r>
            <w:proofErr w:type="spellStart"/>
            <w:r>
              <w:t>ie</w:t>
            </w:r>
            <w:proofErr w:type="spellEnd"/>
            <w:r>
              <w:t xml:space="preserve"> patient expired; patient transferred, </w:t>
            </w:r>
            <w:proofErr w:type="spellStart"/>
            <w:r>
              <w:t>etc</w:t>
            </w:r>
            <w:proofErr w:type="spellEnd"/>
            <w:r>
              <w:t>).</w:t>
            </w:r>
          </w:p>
          <w:p w14:paraId="7EA6609F" w14:textId="52F0C2A0" w:rsidR="00D162FE" w:rsidRDefault="00D162FE" w:rsidP="00D162FE">
            <w:pPr>
              <w:pStyle w:val="ListParagraph"/>
              <w:numPr>
                <w:ilvl w:val="0"/>
                <w:numId w:val="5"/>
              </w:numPr>
            </w:pPr>
            <w:r>
              <w:t>Crossmatches get resulted as follows:</w:t>
            </w:r>
          </w:p>
          <w:p w14:paraId="0A9CD49D" w14:textId="3DEFC518" w:rsidR="00D162FE" w:rsidRDefault="00D162FE" w:rsidP="00D162FE">
            <w:pPr>
              <w:pStyle w:val="ListParagraph"/>
              <w:numPr>
                <w:ilvl w:val="1"/>
                <w:numId w:val="5"/>
              </w:numPr>
            </w:pPr>
            <w:r>
              <w:t>Reactions = 9 for “not tested.”</w:t>
            </w:r>
          </w:p>
          <w:p w14:paraId="7E7B9BFE" w14:textId="611547B5" w:rsidR="00D162FE" w:rsidRDefault="00D162FE" w:rsidP="00D162FE">
            <w:pPr>
              <w:pStyle w:val="ListParagraph"/>
              <w:numPr>
                <w:ilvl w:val="1"/>
                <w:numId w:val="5"/>
              </w:numPr>
            </w:pPr>
            <w:r>
              <w:t xml:space="preserve">Crossmatch interpretation </w:t>
            </w:r>
            <w:proofErr w:type="gramStart"/>
            <w:r>
              <w:t>= ;HIDE</w:t>
            </w:r>
            <w:proofErr w:type="gramEnd"/>
          </w:p>
          <w:p w14:paraId="54AF93FC" w14:textId="6DB66DC3" w:rsidR="00D162FE" w:rsidRDefault="00D162FE" w:rsidP="00D162FE">
            <w:pPr>
              <w:pStyle w:val="ListParagraph"/>
              <w:numPr>
                <w:ilvl w:val="1"/>
                <w:numId w:val="5"/>
              </w:numPr>
            </w:pPr>
            <w:r>
              <w:t>OK to transfuse is still OK to transfuse</w:t>
            </w:r>
          </w:p>
          <w:p w14:paraId="603CE806" w14:textId="772BEE1C" w:rsidR="00D162FE" w:rsidRDefault="00D162FE" w:rsidP="00D162FE"/>
          <w:p w14:paraId="0D8A78C4" w14:textId="2538FE2C" w:rsidR="00D162FE" w:rsidRDefault="00D162FE" w:rsidP="00D162FE">
            <w:r>
              <w:t>Doing this will generate a QA failure, but all staff should be able to override.  If you cannot, please put a note on the Emergency Release form and give to Stephanie or a group lead to document.</w:t>
            </w:r>
          </w:p>
          <w:p w14:paraId="15E062DA" w14:textId="7F88FEE9" w:rsidR="00426034" w:rsidRDefault="00426034" w:rsidP="002F56D8"/>
        </w:tc>
        <w:tc>
          <w:tcPr>
            <w:tcW w:w="1440" w:type="dxa"/>
            <w:shd w:val="clear" w:color="auto" w:fill="auto"/>
          </w:tcPr>
          <w:p w14:paraId="5C3CFA8B" w14:textId="511E1BEF" w:rsidR="00426034" w:rsidRDefault="00426034" w:rsidP="0051743A">
            <w:pPr>
              <w:autoSpaceDE w:val="0"/>
              <w:autoSpaceDN w:val="0"/>
              <w:adjustRightInd w:val="0"/>
              <w:rPr>
                <w:rFonts w:cs="Tahoma"/>
                <w:bCs/>
              </w:rPr>
            </w:pPr>
            <w:r>
              <w:rPr>
                <w:rFonts w:cs="Tahoma"/>
                <w:bCs/>
              </w:rPr>
              <w:t>Discussion</w:t>
            </w:r>
          </w:p>
        </w:tc>
        <w:tc>
          <w:tcPr>
            <w:tcW w:w="1039" w:type="dxa"/>
            <w:shd w:val="clear" w:color="auto" w:fill="auto"/>
          </w:tcPr>
          <w:p w14:paraId="2A648CED" w14:textId="2EA7F273" w:rsidR="00426034" w:rsidRDefault="00426034" w:rsidP="0051743A">
            <w:pPr>
              <w:autoSpaceDE w:val="0"/>
              <w:autoSpaceDN w:val="0"/>
              <w:adjustRightInd w:val="0"/>
              <w:rPr>
                <w:rFonts w:cs="Tahoma"/>
                <w:bCs/>
              </w:rPr>
            </w:pPr>
            <w:r>
              <w:rPr>
                <w:rFonts w:cs="Tahoma"/>
                <w:bCs/>
              </w:rPr>
              <w:t>None</w:t>
            </w:r>
          </w:p>
        </w:tc>
      </w:tr>
      <w:tr w:rsidR="006A278D" w14:paraId="3E478B0F" w14:textId="77777777" w:rsidTr="005904B0">
        <w:tc>
          <w:tcPr>
            <w:tcW w:w="1795" w:type="dxa"/>
            <w:shd w:val="clear" w:color="auto" w:fill="auto"/>
          </w:tcPr>
          <w:p w14:paraId="53519C3E" w14:textId="4177603E" w:rsidR="006A278D" w:rsidRDefault="006A278D" w:rsidP="0051743A">
            <w:pPr>
              <w:autoSpaceDE w:val="0"/>
              <w:autoSpaceDN w:val="0"/>
              <w:adjustRightInd w:val="0"/>
              <w:rPr>
                <w:rFonts w:cs="Tahoma"/>
                <w:b/>
                <w:smallCaps/>
              </w:rPr>
            </w:pPr>
            <w:r>
              <w:rPr>
                <w:rFonts w:cs="Tahoma"/>
                <w:b/>
                <w:smallCaps/>
              </w:rPr>
              <w:t>IQE</w:t>
            </w:r>
          </w:p>
        </w:tc>
        <w:tc>
          <w:tcPr>
            <w:tcW w:w="6660" w:type="dxa"/>
            <w:shd w:val="clear" w:color="auto" w:fill="auto"/>
          </w:tcPr>
          <w:p w14:paraId="0B3BB5AC" w14:textId="31F231EF" w:rsidR="006A278D" w:rsidRDefault="006A278D" w:rsidP="002F56D8">
            <w:r>
              <w:t>When entering IQE events, please ensure you fill in all applicable fields.  Specifically, the specimen accession number</w:t>
            </w:r>
            <w:r w:rsidR="00D162FE">
              <w:t xml:space="preserve">, RQI, and FDA-reportable fields are being left blank.  </w:t>
            </w:r>
          </w:p>
          <w:p w14:paraId="474EDE7C" w14:textId="77777777" w:rsidR="00D162FE" w:rsidRDefault="00D162FE" w:rsidP="002F56D8"/>
          <w:p w14:paraId="78921C34" w14:textId="3B6CB11E" w:rsidR="00D162FE" w:rsidRDefault="00D162FE" w:rsidP="002F56D8">
            <w:r>
              <w:t>You can refer to the procedures for more guidance, but FDA-reportable events generally involve a blood product that was issued EVEN IF IT WAS RETURNED FOR CORRECTION PRIOR TO TRANSFUSION.</w:t>
            </w:r>
          </w:p>
          <w:p w14:paraId="769BD715" w14:textId="77777777" w:rsidR="00D162FE" w:rsidRDefault="00D162FE" w:rsidP="002F56D8"/>
          <w:p w14:paraId="6CC45B5E" w14:textId="2FAF15B4" w:rsidR="00D162FE" w:rsidRDefault="00D162FE" w:rsidP="002F56D8">
            <w:r>
              <w:t xml:space="preserve">All FDA-reportable events are RQIs.  Other RQIs occur when we enter incorrect results and </w:t>
            </w:r>
            <w:proofErr w:type="gramStart"/>
            <w:r>
              <w:t>have to</w:t>
            </w:r>
            <w:proofErr w:type="gramEnd"/>
            <w:r>
              <w:t xml:space="preserve"> issue a corrected report.</w:t>
            </w:r>
          </w:p>
          <w:p w14:paraId="7CE3D874" w14:textId="185EEBBA" w:rsidR="006A278D" w:rsidRDefault="006A278D" w:rsidP="002F56D8"/>
        </w:tc>
        <w:tc>
          <w:tcPr>
            <w:tcW w:w="1440" w:type="dxa"/>
            <w:shd w:val="clear" w:color="auto" w:fill="auto"/>
          </w:tcPr>
          <w:p w14:paraId="4BF3C37D" w14:textId="0ED5B560" w:rsidR="006A278D" w:rsidRDefault="006A278D" w:rsidP="0051743A">
            <w:pPr>
              <w:autoSpaceDE w:val="0"/>
              <w:autoSpaceDN w:val="0"/>
              <w:adjustRightInd w:val="0"/>
              <w:rPr>
                <w:rFonts w:cs="Tahoma"/>
                <w:bCs/>
              </w:rPr>
            </w:pPr>
            <w:r>
              <w:rPr>
                <w:rFonts w:cs="Tahoma"/>
                <w:bCs/>
              </w:rPr>
              <w:t>Informational</w:t>
            </w:r>
          </w:p>
        </w:tc>
        <w:tc>
          <w:tcPr>
            <w:tcW w:w="1039" w:type="dxa"/>
            <w:shd w:val="clear" w:color="auto" w:fill="auto"/>
          </w:tcPr>
          <w:p w14:paraId="619F7B3C" w14:textId="4A0DAF75" w:rsidR="006A278D" w:rsidRDefault="006A278D" w:rsidP="0051743A">
            <w:pPr>
              <w:autoSpaceDE w:val="0"/>
              <w:autoSpaceDN w:val="0"/>
              <w:adjustRightInd w:val="0"/>
              <w:rPr>
                <w:rFonts w:cs="Tahoma"/>
                <w:bCs/>
              </w:rPr>
            </w:pPr>
            <w:r>
              <w:rPr>
                <w:rFonts w:cs="Tahoma"/>
                <w:bCs/>
              </w:rPr>
              <w:t>None</w:t>
            </w:r>
          </w:p>
        </w:tc>
      </w:tr>
      <w:tr w:rsidR="000849E8" w14:paraId="5DF8491C" w14:textId="77777777" w:rsidTr="005904B0">
        <w:tc>
          <w:tcPr>
            <w:tcW w:w="1795" w:type="dxa"/>
            <w:shd w:val="clear" w:color="auto" w:fill="auto"/>
          </w:tcPr>
          <w:p w14:paraId="35385EE9" w14:textId="1AB65FB8" w:rsidR="00AA318E" w:rsidRDefault="003015A1" w:rsidP="0051743A">
            <w:pPr>
              <w:autoSpaceDE w:val="0"/>
              <w:autoSpaceDN w:val="0"/>
              <w:adjustRightInd w:val="0"/>
              <w:rPr>
                <w:rFonts w:cs="Tahoma"/>
                <w:b/>
                <w:smallCaps/>
              </w:rPr>
            </w:pPr>
            <w:r>
              <w:rPr>
                <w:rFonts w:cs="Tahoma"/>
                <w:b/>
                <w:smallCaps/>
              </w:rPr>
              <w:t>Equipment Failure Form</w:t>
            </w:r>
          </w:p>
        </w:tc>
        <w:tc>
          <w:tcPr>
            <w:tcW w:w="6660" w:type="dxa"/>
            <w:shd w:val="clear" w:color="auto" w:fill="auto"/>
          </w:tcPr>
          <w:p w14:paraId="3E151B78" w14:textId="651828B1" w:rsidR="00AA318E" w:rsidRDefault="003015A1" w:rsidP="002F56D8">
            <w:r>
              <w:t>We should be completing a Quality Control or Equipment Failure Review Form each time QC or equipment fails for any reason.</w:t>
            </w:r>
          </w:p>
          <w:p w14:paraId="5FF6E98A" w14:textId="3CF9BFB5" w:rsidR="003015A1" w:rsidRDefault="003015A1" w:rsidP="00DD0FAE">
            <w:pPr>
              <w:pStyle w:val="ListParagraph"/>
              <w:numPr>
                <w:ilvl w:val="0"/>
                <w:numId w:val="1"/>
              </w:numPr>
            </w:pPr>
            <w:r>
              <w:t>Problem identified needs to list the equipment including SN and the problem that occurred.</w:t>
            </w:r>
          </w:p>
          <w:p w14:paraId="2B7C7C19" w14:textId="70821803" w:rsidR="003015A1" w:rsidRDefault="003015A1" w:rsidP="00DD0FAE">
            <w:pPr>
              <w:pStyle w:val="ListParagraph"/>
              <w:numPr>
                <w:ilvl w:val="0"/>
                <w:numId w:val="1"/>
              </w:numPr>
            </w:pPr>
            <w:r>
              <w:t>We always suspend patient testing during investigation, so that date and time should be filled in.</w:t>
            </w:r>
          </w:p>
          <w:p w14:paraId="4178A046" w14:textId="22B2D82E" w:rsidR="00DD0FAE" w:rsidRDefault="00DD0FAE" w:rsidP="00DD0FAE">
            <w:pPr>
              <w:pStyle w:val="ListParagraph"/>
              <w:numPr>
                <w:ilvl w:val="0"/>
                <w:numId w:val="1"/>
              </w:numPr>
            </w:pPr>
            <w:r>
              <w:t xml:space="preserve">Actions taken include corrective actions.  This is whatever you did to resolve the issue—repeated QC, contacted Immucor technical support, cleaned the </w:t>
            </w:r>
            <w:proofErr w:type="gramStart"/>
            <w:r>
              <w:t>instrument ,</w:t>
            </w:r>
            <w:proofErr w:type="gramEnd"/>
            <w:r>
              <w:t>etc.</w:t>
            </w:r>
          </w:p>
          <w:p w14:paraId="4AAE4736" w14:textId="38503919" w:rsidR="00DD0FAE" w:rsidRDefault="00DD0FAE" w:rsidP="00DD0FAE">
            <w:pPr>
              <w:pStyle w:val="ListParagraph"/>
              <w:numPr>
                <w:ilvl w:val="0"/>
                <w:numId w:val="1"/>
              </w:numPr>
            </w:pPr>
            <w:r>
              <w:t xml:space="preserve">Patient and blood product impact </w:t>
            </w:r>
            <w:r w:rsidRPr="00DD0FAE">
              <w:rPr>
                <w:u w:val="single"/>
              </w:rPr>
              <w:t>must</w:t>
            </w:r>
            <w:r>
              <w:t xml:space="preserve"> be filled in.  If no patient impact, you need to list the reason there is no impact such as “Lookback </w:t>
            </w:r>
            <w:proofErr w:type="gramStart"/>
            <w:r>
              <w:t>performed</w:t>
            </w:r>
            <w:proofErr w:type="gramEnd"/>
            <w:r>
              <w:t xml:space="preserve"> and no patient impact identified.”  Another example would be, “Pulled electronic tracing of refrigerator and it shows temp did not go out of range.  No product impact.”</w:t>
            </w:r>
          </w:p>
          <w:p w14:paraId="0153494B" w14:textId="77777777" w:rsidR="003015A1" w:rsidRDefault="003015A1" w:rsidP="002F56D8"/>
          <w:p w14:paraId="4E9DE204" w14:textId="4179F318" w:rsidR="003015A1" w:rsidRDefault="003015A1" w:rsidP="002F56D8">
            <w:r>
              <w:rPr>
                <w:noProof/>
              </w:rPr>
              <w:drawing>
                <wp:inline distT="0" distB="0" distL="0" distR="0" wp14:anchorId="7E6FAB05" wp14:editId="4A54729F">
                  <wp:extent cx="2327563" cy="2935666"/>
                  <wp:effectExtent l="0" t="0" r="0" b="0"/>
                  <wp:docPr id="213417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1939" name=""/>
                          <pic:cNvPicPr/>
                        </pic:nvPicPr>
                        <pic:blipFill>
                          <a:blip r:embed="rId10"/>
                          <a:stretch>
                            <a:fillRect/>
                          </a:stretch>
                        </pic:blipFill>
                        <pic:spPr>
                          <a:xfrm>
                            <a:off x="0" y="0"/>
                            <a:ext cx="2355966" cy="2971489"/>
                          </a:xfrm>
                          <a:prstGeom prst="rect">
                            <a:avLst/>
                          </a:prstGeom>
                        </pic:spPr>
                      </pic:pic>
                    </a:graphicData>
                  </a:graphic>
                </wp:inline>
              </w:drawing>
            </w:r>
          </w:p>
        </w:tc>
        <w:tc>
          <w:tcPr>
            <w:tcW w:w="1440" w:type="dxa"/>
            <w:shd w:val="clear" w:color="auto" w:fill="auto"/>
          </w:tcPr>
          <w:p w14:paraId="19F49756" w14:textId="4A9C4A9B" w:rsidR="00AA318E" w:rsidRDefault="00AA318E" w:rsidP="0051743A">
            <w:pPr>
              <w:autoSpaceDE w:val="0"/>
              <w:autoSpaceDN w:val="0"/>
              <w:adjustRightInd w:val="0"/>
              <w:rPr>
                <w:rFonts w:cs="Tahoma"/>
                <w:bCs/>
              </w:rPr>
            </w:pPr>
            <w:r>
              <w:rPr>
                <w:rFonts w:cs="Tahoma"/>
                <w:bCs/>
              </w:rPr>
              <w:t>Informational</w:t>
            </w:r>
          </w:p>
        </w:tc>
        <w:tc>
          <w:tcPr>
            <w:tcW w:w="1039" w:type="dxa"/>
            <w:shd w:val="clear" w:color="auto" w:fill="auto"/>
          </w:tcPr>
          <w:p w14:paraId="575E7696" w14:textId="29B0AC9D" w:rsidR="00AA318E" w:rsidRDefault="00AA318E" w:rsidP="0051743A">
            <w:pPr>
              <w:autoSpaceDE w:val="0"/>
              <w:autoSpaceDN w:val="0"/>
              <w:adjustRightInd w:val="0"/>
              <w:rPr>
                <w:rFonts w:cs="Tahoma"/>
                <w:bCs/>
              </w:rPr>
            </w:pPr>
            <w:r>
              <w:rPr>
                <w:rFonts w:cs="Tahoma"/>
                <w:bCs/>
              </w:rPr>
              <w:t>None</w:t>
            </w:r>
          </w:p>
        </w:tc>
      </w:tr>
      <w:tr w:rsidR="007479F4" w14:paraId="48958D02" w14:textId="77777777" w:rsidTr="005904B0">
        <w:tc>
          <w:tcPr>
            <w:tcW w:w="1795" w:type="dxa"/>
            <w:shd w:val="clear" w:color="auto" w:fill="auto"/>
          </w:tcPr>
          <w:p w14:paraId="1659C981" w14:textId="566FB276" w:rsidR="007479F4" w:rsidRDefault="007479F4" w:rsidP="0051743A">
            <w:pPr>
              <w:autoSpaceDE w:val="0"/>
              <w:autoSpaceDN w:val="0"/>
              <w:adjustRightInd w:val="0"/>
              <w:rPr>
                <w:rFonts w:cs="Tahoma"/>
                <w:b/>
                <w:smallCaps/>
              </w:rPr>
            </w:pPr>
            <w:r>
              <w:rPr>
                <w:rFonts w:cs="Tahoma"/>
                <w:b/>
                <w:smallCaps/>
              </w:rPr>
              <w:lastRenderedPageBreak/>
              <w:t>Syringe Aliquots</w:t>
            </w:r>
          </w:p>
        </w:tc>
        <w:tc>
          <w:tcPr>
            <w:tcW w:w="6660" w:type="dxa"/>
            <w:shd w:val="clear" w:color="auto" w:fill="auto"/>
          </w:tcPr>
          <w:p w14:paraId="1FA31A65" w14:textId="35C55D4F" w:rsidR="007479F4" w:rsidRDefault="007479F4" w:rsidP="002F56D8">
            <w:pPr>
              <w:rPr>
                <w:noProof/>
              </w:rPr>
            </w:pPr>
            <w:r>
              <w:rPr>
                <w:noProof/>
              </w:rPr>
              <w:t>I received an IQE event about a syringe aliquot leaking.  This picture was provided.  What do you see?</w:t>
            </w:r>
          </w:p>
          <w:p w14:paraId="2C3A5981" w14:textId="6D87D685" w:rsidR="00D162FE" w:rsidRDefault="00D162FE" w:rsidP="00D162FE">
            <w:pPr>
              <w:pStyle w:val="ListParagraph"/>
              <w:numPr>
                <w:ilvl w:val="0"/>
                <w:numId w:val="6"/>
              </w:numPr>
              <w:rPr>
                <w:noProof/>
              </w:rPr>
            </w:pPr>
            <w:r>
              <w:rPr>
                <w:noProof/>
              </w:rPr>
              <w:t>We have 50cc and 30cc syringes.  This is the maximum amount of blood we can put in a syringe.  Do not pull more blood than allowed.</w:t>
            </w:r>
            <w:r w:rsidR="00AF0761">
              <w:rPr>
                <w:noProof/>
              </w:rPr>
              <w:t xml:space="preserve">  Never pull blood past the volume grid of the syringe.</w:t>
            </w:r>
          </w:p>
          <w:p w14:paraId="62E0153A" w14:textId="229A4CA4" w:rsidR="00D162FE" w:rsidRDefault="00D162FE" w:rsidP="00D162FE">
            <w:pPr>
              <w:pStyle w:val="ListParagraph"/>
              <w:numPr>
                <w:ilvl w:val="0"/>
                <w:numId w:val="6"/>
              </w:numPr>
              <w:rPr>
                <w:noProof/>
              </w:rPr>
            </w:pPr>
            <w:r>
              <w:rPr>
                <w:noProof/>
              </w:rPr>
              <w:t>Also, the volume entered in Sunquest for the aliquot has to be the volume pulled.  This volume includes the extra amount for tubing.</w:t>
            </w:r>
            <w:r w:rsidR="00AF0761">
              <w:rPr>
                <w:noProof/>
              </w:rPr>
              <w:t xml:space="preserve">  The volume entered in the computer should </w:t>
            </w:r>
            <w:r w:rsidR="00AF0761" w:rsidRPr="00AF0761">
              <w:rPr>
                <w:noProof/>
                <w:u w:val="single"/>
              </w:rPr>
              <w:t>not</w:t>
            </w:r>
            <w:r w:rsidR="00AF0761">
              <w:rPr>
                <w:noProof/>
              </w:rPr>
              <w:t xml:space="preserve"> match the volume requested for the transfuse order.</w:t>
            </w:r>
          </w:p>
          <w:p w14:paraId="3DF322C2" w14:textId="77777777" w:rsidR="007479F4" w:rsidRDefault="007479F4" w:rsidP="002F56D8">
            <w:pPr>
              <w:rPr>
                <w:noProof/>
              </w:rPr>
            </w:pPr>
          </w:p>
          <w:p w14:paraId="249D6A42" w14:textId="77777777" w:rsidR="007479F4" w:rsidRDefault="007479F4" w:rsidP="002F56D8">
            <w:r>
              <w:rPr>
                <w:noProof/>
              </w:rPr>
              <w:drawing>
                <wp:inline distT="0" distB="0" distL="0" distR="0" wp14:anchorId="34399C35" wp14:editId="605F3AB4">
                  <wp:extent cx="1120875" cy="3348871"/>
                  <wp:effectExtent l="0" t="8890" r="0" b="0"/>
                  <wp:docPr id="1177759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59366" name=""/>
                          <pic:cNvPicPr/>
                        </pic:nvPicPr>
                        <pic:blipFill>
                          <a:blip r:embed="rId11"/>
                          <a:stretch>
                            <a:fillRect/>
                          </a:stretch>
                        </pic:blipFill>
                        <pic:spPr>
                          <a:xfrm rot="5400000">
                            <a:off x="0" y="0"/>
                            <a:ext cx="1135834" cy="3393565"/>
                          </a:xfrm>
                          <a:prstGeom prst="rect">
                            <a:avLst/>
                          </a:prstGeom>
                        </pic:spPr>
                      </pic:pic>
                    </a:graphicData>
                  </a:graphic>
                </wp:inline>
              </w:drawing>
            </w:r>
          </w:p>
          <w:p w14:paraId="0D9415BC" w14:textId="3389426C" w:rsidR="00372282" w:rsidRDefault="00372282" w:rsidP="002F56D8"/>
        </w:tc>
        <w:tc>
          <w:tcPr>
            <w:tcW w:w="1440" w:type="dxa"/>
            <w:shd w:val="clear" w:color="auto" w:fill="auto"/>
          </w:tcPr>
          <w:p w14:paraId="051285CC" w14:textId="6983DB59" w:rsidR="007479F4" w:rsidRDefault="007479F4" w:rsidP="0051743A">
            <w:pPr>
              <w:autoSpaceDE w:val="0"/>
              <w:autoSpaceDN w:val="0"/>
              <w:adjustRightInd w:val="0"/>
              <w:rPr>
                <w:rFonts w:cs="Tahoma"/>
                <w:bCs/>
              </w:rPr>
            </w:pPr>
            <w:r>
              <w:rPr>
                <w:rFonts w:cs="Tahoma"/>
                <w:bCs/>
              </w:rPr>
              <w:t xml:space="preserve">Discussion </w:t>
            </w:r>
          </w:p>
        </w:tc>
        <w:tc>
          <w:tcPr>
            <w:tcW w:w="1039" w:type="dxa"/>
            <w:shd w:val="clear" w:color="auto" w:fill="auto"/>
          </w:tcPr>
          <w:p w14:paraId="32A394F0" w14:textId="79962A7A" w:rsidR="007479F4" w:rsidRDefault="007479F4" w:rsidP="0051743A">
            <w:pPr>
              <w:autoSpaceDE w:val="0"/>
              <w:autoSpaceDN w:val="0"/>
              <w:adjustRightInd w:val="0"/>
              <w:rPr>
                <w:rFonts w:cs="Tahoma"/>
                <w:bCs/>
              </w:rPr>
            </w:pPr>
            <w:r>
              <w:rPr>
                <w:rFonts w:cs="Tahoma"/>
                <w:bCs/>
              </w:rPr>
              <w:t>None</w:t>
            </w:r>
          </w:p>
        </w:tc>
      </w:tr>
      <w:tr w:rsidR="000849E8" w14:paraId="3E98CAA4" w14:textId="77777777" w:rsidTr="005904B0">
        <w:tc>
          <w:tcPr>
            <w:tcW w:w="1795" w:type="dxa"/>
            <w:shd w:val="clear" w:color="auto" w:fill="auto"/>
          </w:tcPr>
          <w:p w14:paraId="6DFC3794" w14:textId="780466E1" w:rsidR="00616199" w:rsidRDefault="00426034" w:rsidP="0051743A">
            <w:pPr>
              <w:autoSpaceDE w:val="0"/>
              <w:autoSpaceDN w:val="0"/>
              <w:adjustRightInd w:val="0"/>
              <w:rPr>
                <w:rFonts w:cs="Tahoma"/>
                <w:b/>
                <w:smallCaps/>
              </w:rPr>
            </w:pPr>
            <w:r>
              <w:rPr>
                <w:rFonts w:cs="Tahoma"/>
                <w:b/>
                <w:smallCaps/>
              </w:rPr>
              <w:t>Case Study</w:t>
            </w:r>
          </w:p>
        </w:tc>
        <w:tc>
          <w:tcPr>
            <w:tcW w:w="6660" w:type="dxa"/>
            <w:shd w:val="clear" w:color="auto" w:fill="auto"/>
          </w:tcPr>
          <w:p w14:paraId="6EBC6E7A" w14:textId="4E13DB04" w:rsidR="00616199" w:rsidRDefault="00426034" w:rsidP="002F56D8">
            <w:r>
              <w:t>You receive a workup from ARC.  The patient currently shows this history:</w:t>
            </w:r>
          </w:p>
          <w:p w14:paraId="4B862F92" w14:textId="4672794E" w:rsidR="00426034" w:rsidRDefault="00426034" w:rsidP="00426034">
            <w:pPr>
              <w:pStyle w:val="ListParagraph"/>
              <w:numPr>
                <w:ilvl w:val="0"/>
                <w:numId w:val="2"/>
              </w:numPr>
            </w:pPr>
            <w:r>
              <w:t>Anti-</w:t>
            </w:r>
            <w:proofErr w:type="spellStart"/>
            <w:r>
              <w:t>Jka</w:t>
            </w:r>
            <w:proofErr w:type="spellEnd"/>
          </w:p>
          <w:p w14:paraId="3000866B" w14:textId="6AFE2CA1" w:rsidR="00426034" w:rsidRDefault="00426034" w:rsidP="00426034">
            <w:pPr>
              <w:pStyle w:val="ListParagraph"/>
              <w:numPr>
                <w:ilvl w:val="0"/>
                <w:numId w:val="2"/>
              </w:numPr>
            </w:pPr>
            <w:r>
              <w:t>Anti-C</w:t>
            </w:r>
          </w:p>
          <w:p w14:paraId="74D85669" w14:textId="1DEEFC00" w:rsidR="00426034" w:rsidRDefault="00426034" w:rsidP="00426034">
            <w:pPr>
              <w:pStyle w:val="ListParagraph"/>
              <w:numPr>
                <w:ilvl w:val="0"/>
                <w:numId w:val="2"/>
              </w:numPr>
            </w:pPr>
            <w:r>
              <w:t>Anti-E</w:t>
            </w:r>
          </w:p>
          <w:p w14:paraId="4A78E964" w14:textId="1E1ECFA4" w:rsidR="00426034" w:rsidRDefault="00426034" w:rsidP="00426034">
            <w:pPr>
              <w:pStyle w:val="ListParagraph"/>
              <w:numPr>
                <w:ilvl w:val="0"/>
                <w:numId w:val="2"/>
              </w:numPr>
            </w:pPr>
            <w:r>
              <w:t>Anti-K</w:t>
            </w:r>
          </w:p>
          <w:p w14:paraId="587D21DB" w14:textId="33E76C73" w:rsidR="00426034" w:rsidRDefault="00426034" w:rsidP="00426034">
            <w:pPr>
              <w:pStyle w:val="ListParagraph"/>
              <w:numPr>
                <w:ilvl w:val="0"/>
                <w:numId w:val="2"/>
              </w:numPr>
            </w:pPr>
            <w:r>
              <w:t>Eluted Anti-E</w:t>
            </w:r>
          </w:p>
          <w:p w14:paraId="1C2CC5BC" w14:textId="0E2A616F" w:rsidR="00426034" w:rsidRDefault="00426034" w:rsidP="00426034">
            <w:pPr>
              <w:pStyle w:val="ListParagraph"/>
              <w:numPr>
                <w:ilvl w:val="0"/>
                <w:numId w:val="2"/>
              </w:numPr>
            </w:pPr>
            <w:r>
              <w:t>Eluted Anti-K</w:t>
            </w:r>
          </w:p>
          <w:p w14:paraId="15A287AD" w14:textId="1E70B99D" w:rsidR="00426034" w:rsidRDefault="00426034" w:rsidP="00426034">
            <w:pPr>
              <w:pStyle w:val="ListParagraph"/>
              <w:numPr>
                <w:ilvl w:val="0"/>
                <w:numId w:val="2"/>
              </w:numPr>
            </w:pPr>
            <w:r>
              <w:t>Negative for E</w:t>
            </w:r>
          </w:p>
          <w:p w14:paraId="01825DA8" w14:textId="5D55ADA2" w:rsidR="00426034" w:rsidRDefault="00426034" w:rsidP="00426034">
            <w:pPr>
              <w:pStyle w:val="ListParagraph"/>
              <w:numPr>
                <w:ilvl w:val="0"/>
                <w:numId w:val="2"/>
              </w:numPr>
            </w:pPr>
            <w:r>
              <w:t>Negative for K</w:t>
            </w:r>
          </w:p>
          <w:p w14:paraId="39E0BD3D" w14:textId="77777777" w:rsidR="00426034" w:rsidRDefault="00426034" w:rsidP="002F56D8"/>
          <w:p w14:paraId="77951DDC" w14:textId="2EE34D9E" w:rsidR="00426034" w:rsidRDefault="00426034" w:rsidP="002F56D8">
            <w:r>
              <w:t>ARC workup is returned with this result:</w:t>
            </w:r>
          </w:p>
          <w:p w14:paraId="7BDED6CC" w14:textId="7FD4C5AD" w:rsidR="00426034" w:rsidRDefault="00426034" w:rsidP="002F56D8">
            <w:r>
              <w:rPr>
                <w:noProof/>
              </w:rPr>
              <w:drawing>
                <wp:inline distT="0" distB="0" distL="0" distR="0" wp14:anchorId="20B06E2B" wp14:editId="2B7F25E3">
                  <wp:extent cx="2286000" cy="1962150"/>
                  <wp:effectExtent l="0" t="0" r="0" b="0"/>
                  <wp:docPr id="383342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42711" name=""/>
                          <pic:cNvPicPr/>
                        </pic:nvPicPr>
                        <pic:blipFill>
                          <a:blip r:embed="rId12"/>
                          <a:stretch>
                            <a:fillRect/>
                          </a:stretch>
                        </pic:blipFill>
                        <pic:spPr>
                          <a:xfrm>
                            <a:off x="0" y="0"/>
                            <a:ext cx="2286000" cy="1962150"/>
                          </a:xfrm>
                          <a:prstGeom prst="rect">
                            <a:avLst/>
                          </a:prstGeom>
                        </pic:spPr>
                      </pic:pic>
                    </a:graphicData>
                  </a:graphic>
                </wp:inline>
              </w:drawing>
            </w:r>
          </w:p>
          <w:p w14:paraId="3FD92DC9" w14:textId="03A659F4" w:rsidR="00426034" w:rsidRDefault="00426034" w:rsidP="002F56D8">
            <w:r>
              <w:t xml:space="preserve">What gets </w:t>
            </w:r>
            <w:proofErr w:type="gramStart"/>
            <w:r>
              <w:t>entered into</w:t>
            </w:r>
            <w:proofErr w:type="gramEnd"/>
            <w:r>
              <w:t xml:space="preserve"> the patient report in Sunquest?</w:t>
            </w:r>
          </w:p>
          <w:p w14:paraId="4A5F7682" w14:textId="65FCCBC4" w:rsidR="00AF0761" w:rsidRDefault="00AF0761" w:rsidP="00AF0761">
            <w:pPr>
              <w:pStyle w:val="ListParagraph"/>
              <w:numPr>
                <w:ilvl w:val="0"/>
                <w:numId w:val="7"/>
              </w:numPr>
              <w:rPr>
                <w:color w:val="548DD4" w:themeColor="text2" w:themeTint="99"/>
              </w:rPr>
            </w:pPr>
            <w:r>
              <w:rPr>
                <w:color w:val="548DD4" w:themeColor="text2" w:themeTint="99"/>
              </w:rPr>
              <w:t>Anti-E, Anti-K, non-specific reactivity from the serum/plasma, because these are currently demonstrating</w:t>
            </w:r>
          </w:p>
          <w:p w14:paraId="6B772A29" w14:textId="7D490520" w:rsidR="00AF0761" w:rsidRDefault="00AF0761" w:rsidP="00AF0761">
            <w:pPr>
              <w:pStyle w:val="ListParagraph"/>
              <w:numPr>
                <w:ilvl w:val="0"/>
                <w:numId w:val="7"/>
              </w:numPr>
              <w:rPr>
                <w:color w:val="548DD4" w:themeColor="text2" w:themeTint="99"/>
              </w:rPr>
            </w:pPr>
            <w:r>
              <w:rPr>
                <w:color w:val="548DD4" w:themeColor="text2" w:themeTint="99"/>
              </w:rPr>
              <w:t>Anti-C and Anti-</w:t>
            </w:r>
            <w:proofErr w:type="spellStart"/>
            <w:r>
              <w:rPr>
                <w:color w:val="548DD4" w:themeColor="text2" w:themeTint="99"/>
              </w:rPr>
              <w:t>Jka</w:t>
            </w:r>
            <w:proofErr w:type="spellEnd"/>
            <w:r>
              <w:rPr>
                <w:color w:val="548DD4" w:themeColor="text2" w:themeTint="99"/>
              </w:rPr>
              <w:t xml:space="preserve"> were listed as “reported by the facility” and not reverified.  We would definitely re-enter these if they </w:t>
            </w:r>
            <w:proofErr w:type="gramStart"/>
            <w:r>
              <w:rPr>
                <w:color w:val="548DD4" w:themeColor="text2" w:themeTint="99"/>
              </w:rPr>
              <w:t>are</w:t>
            </w:r>
            <w:proofErr w:type="gramEnd"/>
            <w:r>
              <w:rPr>
                <w:color w:val="548DD4" w:themeColor="text2" w:themeTint="99"/>
              </w:rPr>
              <w:t xml:space="preserve"> not listed in our system.  However, since they were not verified and are listed in our system, we can enter or not enter.</w:t>
            </w:r>
          </w:p>
          <w:p w14:paraId="1466FE63" w14:textId="7CA3E4F6" w:rsidR="00AF0761" w:rsidRPr="00AF0761" w:rsidRDefault="00AF0761" w:rsidP="00AF0761">
            <w:pPr>
              <w:pStyle w:val="ListParagraph"/>
              <w:numPr>
                <w:ilvl w:val="0"/>
                <w:numId w:val="7"/>
              </w:numPr>
              <w:rPr>
                <w:color w:val="548DD4" w:themeColor="text2" w:themeTint="99"/>
              </w:rPr>
            </w:pPr>
            <w:r>
              <w:rPr>
                <w:color w:val="548DD4" w:themeColor="text2" w:themeTint="99"/>
              </w:rPr>
              <w:t>Eluted anti-K, eluted anti-</w:t>
            </w:r>
            <w:proofErr w:type="spellStart"/>
            <w:r>
              <w:rPr>
                <w:color w:val="548DD4" w:themeColor="text2" w:themeTint="99"/>
              </w:rPr>
              <w:t>Jka</w:t>
            </w:r>
            <w:proofErr w:type="spellEnd"/>
            <w:r>
              <w:rPr>
                <w:color w:val="548DD4" w:themeColor="text2" w:themeTint="99"/>
              </w:rPr>
              <w:t xml:space="preserve">, and </w:t>
            </w:r>
            <w:proofErr w:type="spellStart"/>
            <w:r>
              <w:rPr>
                <w:color w:val="548DD4" w:themeColor="text2" w:themeTint="99"/>
              </w:rPr>
              <w:t>panagglutinin</w:t>
            </w:r>
            <w:proofErr w:type="spellEnd"/>
            <w:r>
              <w:rPr>
                <w:color w:val="548DD4" w:themeColor="text2" w:themeTint="99"/>
              </w:rPr>
              <w:t xml:space="preserve"> in the eluate are all in the current sample and must be entered.</w:t>
            </w:r>
          </w:p>
          <w:p w14:paraId="60AAA235" w14:textId="033EDC52" w:rsidR="00426034" w:rsidRDefault="00426034" w:rsidP="002F56D8"/>
          <w:p w14:paraId="128B5E3B" w14:textId="0C1D52F6" w:rsidR="00426034" w:rsidRDefault="00426034" w:rsidP="002F56D8">
            <w:r>
              <w:t>The patient was transfused 4 weeks ago at WOMC.  What additional testing is required?</w:t>
            </w:r>
          </w:p>
          <w:p w14:paraId="5A524852" w14:textId="0B9BB8B5" w:rsidR="00AF0761" w:rsidRPr="00AF0761" w:rsidRDefault="00AF0761" w:rsidP="00AF0761">
            <w:pPr>
              <w:pStyle w:val="ListParagraph"/>
              <w:numPr>
                <w:ilvl w:val="0"/>
                <w:numId w:val="8"/>
              </w:numPr>
              <w:rPr>
                <w:color w:val="548DD4" w:themeColor="text2" w:themeTint="99"/>
              </w:rPr>
            </w:pPr>
            <w:r>
              <w:rPr>
                <w:color w:val="548DD4" w:themeColor="text2" w:themeTint="99"/>
              </w:rPr>
              <w:t>We need to initiate a delayed transfusion reaction workup since we are eluting antibodies from the patient sample and the patient was transfused.</w:t>
            </w:r>
          </w:p>
          <w:p w14:paraId="7FED1C9A" w14:textId="65C4D9B9" w:rsidR="00426034" w:rsidRDefault="00426034" w:rsidP="002F56D8"/>
        </w:tc>
        <w:tc>
          <w:tcPr>
            <w:tcW w:w="1440" w:type="dxa"/>
            <w:shd w:val="clear" w:color="auto" w:fill="auto"/>
          </w:tcPr>
          <w:p w14:paraId="466F3941" w14:textId="11DE532D" w:rsidR="00616199" w:rsidRDefault="00426034" w:rsidP="0051743A">
            <w:pPr>
              <w:autoSpaceDE w:val="0"/>
              <w:autoSpaceDN w:val="0"/>
              <w:adjustRightInd w:val="0"/>
              <w:rPr>
                <w:rFonts w:cs="Tahoma"/>
                <w:bCs/>
              </w:rPr>
            </w:pPr>
            <w:r>
              <w:rPr>
                <w:rFonts w:cs="Tahoma"/>
                <w:bCs/>
              </w:rPr>
              <w:t>Discussion</w:t>
            </w:r>
          </w:p>
        </w:tc>
        <w:tc>
          <w:tcPr>
            <w:tcW w:w="1039" w:type="dxa"/>
            <w:shd w:val="clear" w:color="auto" w:fill="auto"/>
          </w:tcPr>
          <w:p w14:paraId="33F44F73" w14:textId="1BC7AF9B" w:rsidR="00616199" w:rsidRDefault="00616199" w:rsidP="0051743A">
            <w:pPr>
              <w:autoSpaceDE w:val="0"/>
              <w:autoSpaceDN w:val="0"/>
              <w:adjustRightInd w:val="0"/>
              <w:rPr>
                <w:rFonts w:cs="Tahoma"/>
                <w:bCs/>
              </w:rPr>
            </w:pPr>
            <w:r>
              <w:rPr>
                <w:rFonts w:cs="Tahoma"/>
                <w:bCs/>
              </w:rPr>
              <w:t>None</w:t>
            </w:r>
          </w:p>
        </w:tc>
      </w:tr>
      <w:tr w:rsidR="0075173B" w14:paraId="54F50AC0" w14:textId="77777777" w:rsidTr="005904B0">
        <w:tc>
          <w:tcPr>
            <w:tcW w:w="1795" w:type="dxa"/>
            <w:shd w:val="clear" w:color="auto" w:fill="auto"/>
          </w:tcPr>
          <w:p w14:paraId="554DDEE9" w14:textId="73297AAA" w:rsidR="0075173B" w:rsidRDefault="00171CE2" w:rsidP="0051743A">
            <w:pPr>
              <w:autoSpaceDE w:val="0"/>
              <w:autoSpaceDN w:val="0"/>
              <w:adjustRightInd w:val="0"/>
              <w:rPr>
                <w:rFonts w:cs="Tahoma"/>
                <w:b/>
                <w:smallCaps/>
              </w:rPr>
            </w:pPr>
            <w:r>
              <w:rPr>
                <w:rFonts w:cs="Tahoma"/>
                <w:b/>
                <w:smallCaps/>
              </w:rPr>
              <w:lastRenderedPageBreak/>
              <w:t>Daily Reagent QC</w:t>
            </w:r>
          </w:p>
        </w:tc>
        <w:tc>
          <w:tcPr>
            <w:tcW w:w="6660" w:type="dxa"/>
            <w:shd w:val="clear" w:color="auto" w:fill="auto"/>
          </w:tcPr>
          <w:p w14:paraId="1BD0EAFE" w14:textId="77777777" w:rsidR="0075173B" w:rsidRDefault="00171CE2" w:rsidP="002F56D8">
            <w:r>
              <w:t>Last month, we had issues where QC was missed at both sites on the evening shift.  Night shift is supposed to be verifying QC was performed, but night shift also did not review the QC as required in each case.</w:t>
            </w:r>
          </w:p>
          <w:p w14:paraId="33E533EB" w14:textId="77777777" w:rsidR="00171CE2" w:rsidRDefault="00171CE2" w:rsidP="002F56D8"/>
          <w:p w14:paraId="08368334" w14:textId="77777777" w:rsidR="00171CE2" w:rsidRDefault="00171CE2" w:rsidP="002F56D8">
            <w:r>
              <w:t>When this issue was discussed with the staff involved, they said, “I was working with another person, and I thought he/she was going to do the QC.”  This is not an acceptable response.  If you are working a shift, you must communicate with your coworker and verify all assigned QC and maintenance tasks get completed as required.  Failing to do so puts our patient in danger.</w:t>
            </w:r>
          </w:p>
          <w:p w14:paraId="3245D6D7" w14:textId="77777777" w:rsidR="00171CE2" w:rsidRDefault="00171CE2" w:rsidP="002F56D8"/>
          <w:p w14:paraId="5E02FBE9" w14:textId="05C07859" w:rsidR="00171CE2" w:rsidRDefault="00171CE2" w:rsidP="002F56D8">
            <w:r>
              <w:t>The lookback for failed QC is very long and tedious.  We need to verify all results tested on the day in which QC was missed and the following day until QC was performed.  We must report the issue to the FDA if we performed pre-transfusion testing and issued blood products based on the results.</w:t>
            </w:r>
          </w:p>
          <w:p w14:paraId="69E749C5" w14:textId="77777777" w:rsidR="00171CE2" w:rsidRDefault="00171CE2" w:rsidP="002F56D8"/>
          <w:p w14:paraId="53835714" w14:textId="77777777" w:rsidR="00171CE2" w:rsidRDefault="00171CE2" w:rsidP="002F56D8">
            <w:r>
              <w:t xml:space="preserve">Moving forward, each shift will be required to log into </w:t>
            </w:r>
            <w:proofErr w:type="spellStart"/>
            <w:r>
              <w:t>SmarTerm</w:t>
            </w:r>
            <w:proofErr w:type="spellEnd"/>
            <w:r>
              <w:t xml:space="preserve"> QCR and review QC results for the previous 24 hours.  If QC is missing or if results are not correct, you must perform/repeat QC and document.  This was also added to the daily duties checklist for each shift to ensure it gets done.  </w:t>
            </w:r>
          </w:p>
          <w:p w14:paraId="3BF8A644" w14:textId="77777777" w:rsidR="00171CE2" w:rsidRDefault="00171CE2" w:rsidP="002F56D8"/>
          <w:p w14:paraId="40347799" w14:textId="77777777" w:rsidR="00171CE2" w:rsidRDefault="00171CE2" w:rsidP="002F56D8">
            <w:r>
              <w:t>Please complete the MTS assignment that goes with this if you haven’t already.</w:t>
            </w:r>
          </w:p>
          <w:p w14:paraId="276D688A" w14:textId="71663ACD" w:rsidR="00171CE2" w:rsidRDefault="00171CE2" w:rsidP="002F56D8"/>
        </w:tc>
        <w:tc>
          <w:tcPr>
            <w:tcW w:w="1440" w:type="dxa"/>
            <w:shd w:val="clear" w:color="auto" w:fill="auto"/>
          </w:tcPr>
          <w:p w14:paraId="2B502C15" w14:textId="141CD6C9" w:rsidR="0075173B" w:rsidRDefault="00171CE2" w:rsidP="0051743A">
            <w:pPr>
              <w:autoSpaceDE w:val="0"/>
              <w:autoSpaceDN w:val="0"/>
              <w:adjustRightInd w:val="0"/>
              <w:rPr>
                <w:rFonts w:cs="Tahoma"/>
                <w:bCs/>
              </w:rPr>
            </w:pPr>
            <w:r>
              <w:rPr>
                <w:rFonts w:cs="Tahoma"/>
                <w:bCs/>
              </w:rPr>
              <w:t>Informational</w:t>
            </w:r>
          </w:p>
        </w:tc>
        <w:tc>
          <w:tcPr>
            <w:tcW w:w="1039" w:type="dxa"/>
            <w:shd w:val="clear" w:color="auto" w:fill="auto"/>
          </w:tcPr>
          <w:p w14:paraId="3DB7F314" w14:textId="68617B92" w:rsidR="0075173B" w:rsidRDefault="00171CE2" w:rsidP="0051743A">
            <w:pPr>
              <w:autoSpaceDE w:val="0"/>
              <w:autoSpaceDN w:val="0"/>
              <w:adjustRightInd w:val="0"/>
              <w:rPr>
                <w:rFonts w:cs="Tahoma"/>
                <w:bCs/>
              </w:rPr>
            </w:pPr>
            <w:r>
              <w:rPr>
                <w:rFonts w:cs="Tahoma"/>
                <w:bCs/>
              </w:rPr>
              <w:t>None</w:t>
            </w:r>
          </w:p>
        </w:tc>
      </w:tr>
      <w:tr w:rsidR="00171CE2" w14:paraId="5D10E986" w14:textId="77777777" w:rsidTr="005904B0">
        <w:tc>
          <w:tcPr>
            <w:tcW w:w="1795" w:type="dxa"/>
            <w:shd w:val="clear" w:color="auto" w:fill="auto"/>
          </w:tcPr>
          <w:p w14:paraId="6E56F2DD" w14:textId="4204894B" w:rsidR="00171CE2" w:rsidRDefault="00171CE2" w:rsidP="0051743A">
            <w:pPr>
              <w:autoSpaceDE w:val="0"/>
              <w:autoSpaceDN w:val="0"/>
              <w:adjustRightInd w:val="0"/>
              <w:rPr>
                <w:rFonts w:cs="Tahoma"/>
                <w:b/>
                <w:smallCaps/>
              </w:rPr>
            </w:pPr>
            <w:r>
              <w:rPr>
                <w:rFonts w:cs="Tahoma"/>
                <w:b/>
                <w:smallCaps/>
              </w:rPr>
              <w:t>Reagent Receipt QC</w:t>
            </w:r>
          </w:p>
        </w:tc>
        <w:tc>
          <w:tcPr>
            <w:tcW w:w="6660" w:type="dxa"/>
            <w:shd w:val="clear" w:color="auto" w:fill="auto"/>
          </w:tcPr>
          <w:p w14:paraId="660F9C68" w14:textId="77777777" w:rsidR="00171CE2" w:rsidRDefault="00171CE2" w:rsidP="00171CE2">
            <w:r>
              <w:t xml:space="preserve">Reminder that you should be entering reagent receipt QC in SUNQUEST if you place a reagent into use that normally gets </w:t>
            </w:r>
            <w:proofErr w:type="spellStart"/>
            <w:r>
              <w:t>QC’d</w:t>
            </w:r>
            <w:proofErr w:type="spellEnd"/>
            <w:r>
              <w:t xml:space="preserve"> in Sunquest.  You must also add the comment that a new reagent is being placed into use.</w:t>
            </w:r>
          </w:p>
          <w:p w14:paraId="3C5D1209" w14:textId="77777777" w:rsidR="00171CE2" w:rsidRDefault="00171CE2" w:rsidP="00171CE2"/>
          <w:p w14:paraId="0CEE1B97" w14:textId="77777777" w:rsidR="00171CE2" w:rsidRDefault="00171CE2" w:rsidP="00171CE2">
            <w:r>
              <w:t xml:space="preserve">The manual form is ONLY used for reagents that cannot be </w:t>
            </w:r>
            <w:proofErr w:type="spellStart"/>
            <w:r>
              <w:t>QC’d</w:t>
            </w:r>
            <w:proofErr w:type="spellEnd"/>
            <w:r>
              <w:t xml:space="preserve"> on the Echo or in Sunquest.  Examples:  Ab Panels, fetal screen kits, </w:t>
            </w:r>
            <w:proofErr w:type="spellStart"/>
            <w:r>
              <w:t>HemoTemps</w:t>
            </w:r>
            <w:proofErr w:type="spellEnd"/>
            <w:r>
              <w:t>, irradiation indicators, etc.</w:t>
            </w:r>
          </w:p>
          <w:p w14:paraId="18AFF515" w14:textId="08D86856" w:rsidR="00171CE2" w:rsidRDefault="00171CE2" w:rsidP="00171CE2"/>
        </w:tc>
        <w:tc>
          <w:tcPr>
            <w:tcW w:w="1440" w:type="dxa"/>
            <w:shd w:val="clear" w:color="auto" w:fill="auto"/>
          </w:tcPr>
          <w:p w14:paraId="3159F694" w14:textId="79FED6DF" w:rsidR="00171CE2" w:rsidRDefault="00171CE2" w:rsidP="0051743A">
            <w:pPr>
              <w:autoSpaceDE w:val="0"/>
              <w:autoSpaceDN w:val="0"/>
              <w:adjustRightInd w:val="0"/>
              <w:rPr>
                <w:rFonts w:cs="Tahoma"/>
                <w:bCs/>
              </w:rPr>
            </w:pPr>
            <w:r>
              <w:rPr>
                <w:rFonts w:cs="Tahoma"/>
                <w:bCs/>
              </w:rPr>
              <w:t>Informational</w:t>
            </w:r>
          </w:p>
        </w:tc>
        <w:tc>
          <w:tcPr>
            <w:tcW w:w="1039" w:type="dxa"/>
            <w:shd w:val="clear" w:color="auto" w:fill="auto"/>
          </w:tcPr>
          <w:p w14:paraId="63555E56" w14:textId="5D7B40C8" w:rsidR="00171CE2" w:rsidRDefault="00171CE2" w:rsidP="0051743A">
            <w:pPr>
              <w:autoSpaceDE w:val="0"/>
              <w:autoSpaceDN w:val="0"/>
              <w:adjustRightInd w:val="0"/>
              <w:rPr>
                <w:rFonts w:cs="Tahoma"/>
                <w:bCs/>
              </w:rPr>
            </w:pPr>
            <w:r>
              <w:rPr>
                <w:rFonts w:cs="Tahoma"/>
                <w:bCs/>
              </w:rPr>
              <w:t>None</w:t>
            </w:r>
          </w:p>
        </w:tc>
      </w:tr>
      <w:tr w:rsidR="00297946" w14:paraId="5EA9CA60" w14:textId="77777777" w:rsidTr="005904B0">
        <w:tc>
          <w:tcPr>
            <w:tcW w:w="1795" w:type="dxa"/>
            <w:shd w:val="clear" w:color="auto" w:fill="auto"/>
          </w:tcPr>
          <w:p w14:paraId="78C5D47A" w14:textId="6D8B91F3" w:rsidR="00297946" w:rsidRDefault="00297946" w:rsidP="0051743A">
            <w:pPr>
              <w:autoSpaceDE w:val="0"/>
              <w:autoSpaceDN w:val="0"/>
              <w:adjustRightInd w:val="0"/>
              <w:rPr>
                <w:rFonts w:cs="Tahoma"/>
                <w:b/>
                <w:smallCaps/>
              </w:rPr>
            </w:pPr>
            <w:r>
              <w:rPr>
                <w:rFonts w:cs="Tahoma"/>
                <w:b/>
                <w:smallCaps/>
              </w:rPr>
              <w:t>Open Forum</w:t>
            </w:r>
          </w:p>
        </w:tc>
        <w:tc>
          <w:tcPr>
            <w:tcW w:w="6660" w:type="dxa"/>
            <w:shd w:val="clear" w:color="auto" w:fill="auto"/>
          </w:tcPr>
          <w:p w14:paraId="1F56C2DA" w14:textId="3127FB30" w:rsidR="00297946" w:rsidRDefault="00297946" w:rsidP="00171CE2">
            <w:r>
              <w:t>Question:</w:t>
            </w:r>
          </w:p>
          <w:p w14:paraId="0FEA7696" w14:textId="0E9C5ADF" w:rsidR="00297946" w:rsidRDefault="00297946" w:rsidP="00171CE2">
            <w:r>
              <w:t xml:space="preserve">If FWMC refers and </w:t>
            </w:r>
            <w:proofErr w:type="spellStart"/>
            <w:r>
              <w:t>AbID</w:t>
            </w:r>
            <w:proofErr w:type="spellEnd"/>
            <w:r>
              <w:t xml:space="preserve"> sample and we order blood from the reference lab due to multiple antibodies identified, do we still have to antigen type the segments they sent?</w:t>
            </w:r>
          </w:p>
          <w:p w14:paraId="5379E824" w14:textId="77777777" w:rsidR="00297946" w:rsidRDefault="00297946" w:rsidP="00171CE2"/>
          <w:p w14:paraId="1B1AAC98" w14:textId="77777777" w:rsidR="00297946" w:rsidRDefault="00297946" w:rsidP="00171CE2">
            <w:r>
              <w:t>Answer:</w:t>
            </w:r>
          </w:p>
          <w:p w14:paraId="0E27C702" w14:textId="77777777" w:rsidR="00297946" w:rsidRDefault="00297946" w:rsidP="00171CE2">
            <w:r>
              <w:t>Yes.  They send those segments so we can identify units in their inventory that are available for transfusion if the patient needs emergency release blood before the workup/compatible units are available.</w:t>
            </w:r>
          </w:p>
          <w:p w14:paraId="587548ED" w14:textId="5CA9DC81" w:rsidR="00297946" w:rsidRDefault="00297946" w:rsidP="00171CE2"/>
        </w:tc>
        <w:tc>
          <w:tcPr>
            <w:tcW w:w="1440" w:type="dxa"/>
            <w:shd w:val="clear" w:color="auto" w:fill="auto"/>
          </w:tcPr>
          <w:p w14:paraId="267B88A3" w14:textId="7CC0E19E" w:rsidR="00297946" w:rsidRDefault="00297946" w:rsidP="0051743A">
            <w:pPr>
              <w:autoSpaceDE w:val="0"/>
              <w:autoSpaceDN w:val="0"/>
              <w:adjustRightInd w:val="0"/>
              <w:rPr>
                <w:rFonts w:cs="Tahoma"/>
                <w:bCs/>
              </w:rPr>
            </w:pPr>
            <w:r>
              <w:rPr>
                <w:rFonts w:cs="Tahoma"/>
                <w:bCs/>
              </w:rPr>
              <w:t>Informational</w:t>
            </w:r>
          </w:p>
        </w:tc>
        <w:tc>
          <w:tcPr>
            <w:tcW w:w="1039" w:type="dxa"/>
            <w:shd w:val="clear" w:color="auto" w:fill="auto"/>
          </w:tcPr>
          <w:p w14:paraId="6C359534" w14:textId="1AD6BDE0" w:rsidR="00297946" w:rsidRDefault="00297946" w:rsidP="0051743A">
            <w:pPr>
              <w:autoSpaceDE w:val="0"/>
              <w:autoSpaceDN w:val="0"/>
              <w:adjustRightInd w:val="0"/>
              <w:rPr>
                <w:rFonts w:cs="Tahoma"/>
                <w:bCs/>
              </w:rPr>
            </w:pPr>
            <w:r>
              <w:rPr>
                <w:rFonts w:cs="Tahoma"/>
                <w:bCs/>
              </w:rPr>
              <w:t>None</w:t>
            </w:r>
          </w:p>
        </w:tc>
      </w:tr>
      <w:tr w:rsidR="000849E8" w14:paraId="6BED440B" w14:textId="77777777" w:rsidTr="005904B0">
        <w:tc>
          <w:tcPr>
            <w:tcW w:w="1795" w:type="dxa"/>
            <w:shd w:val="clear" w:color="auto" w:fill="auto"/>
          </w:tcPr>
          <w:p w14:paraId="16717671" w14:textId="453C13E4" w:rsidR="006925CD" w:rsidRDefault="003A1E85" w:rsidP="0051743A">
            <w:pPr>
              <w:autoSpaceDE w:val="0"/>
              <w:autoSpaceDN w:val="0"/>
              <w:adjustRightInd w:val="0"/>
              <w:rPr>
                <w:rFonts w:cs="Tahoma"/>
                <w:b/>
                <w:smallCaps/>
              </w:rPr>
            </w:pPr>
            <w:r>
              <w:rPr>
                <w:rFonts w:cs="Tahoma"/>
                <w:b/>
                <w:smallCaps/>
              </w:rPr>
              <w:t>Gel/Vision Implementation</w:t>
            </w:r>
          </w:p>
        </w:tc>
        <w:tc>
          <w:tcPr>
            <w:tcW w:w="6660" w:type="dxa"/>
            <w:shd w:val="clear" w:color="auto" w:fill="auto"/>
          </w:tcPr>
          <w:p w14:paraId="7CB56EBE" w14:textId="24227809" w:rsidR="00BB70CE" w:rsidRDefault="003A1E85" w:rsidP="003A1E85">
            <w:pPr>
              <w:pStyle w:val="ListParagraph"/>
              <w:numPr>
                <w:ilvl w:val="0"/>
                <w:numId w:val="3"/>
              </w:numPr>
            </w:pPr>
            <w:r>
              <w:t>We are receiving reagents for gel now.  Please pay attention when putting them away.</w:t>
            </w:r>
          </w:p>
          <w:p w14:paraId="635F64E2" w14:textId="77777777" w:rsidR="003A1E85" w:rsidRDefault="003A1E85" w:rsidP="003A1E85">
            <w:pPr>
              <w:pStyle w:val="ListParagraph"/>
              <w:numPr>
                <w:ilvl w:val="1"/>
                <w:numId w:val="3"/>
              </w:numPr>
            </w:pPr>
            <w:r>
              <w:t xml:space="preserve">Gel cards can be kept at room temperature </w:t>
            </w:r>
            <w:proofErr w:type="gramStart"/>
            <w:r>
              <w:t>with the exception of</w:t>
            </w:r>
            <w:proofErr w:type="gramEnd"/>
            <w:r>
              <w:t xml:space="preserve"> the Ag typing cards.  </w:t>
            </w:r>
            <w:proofErr w:type="spellStart"/>
            <w:proofErr w:type="gramStart"/>
            <w:r>
              <w:t>C,c</w:t>
            </w:r>
            <w:proofErr w:type="gramEnd"/>
            <w:r>
              <w:t>,E,e</w:t>
            </w:r>
            <w:proofErr w:type="spellEnd"/>
            <w:r>
              <w:t xml:space="preserve"> need to be refrigerated.</w:t>
            </w:r>
          </w:p>
          <w:p w14:paraId="600A15AB" w14:textId="77777777" w:rsidR="003A1E85" w:rsidRDefault="003A1E85" w:rsidP="003A1E85">
            <w:pPr>
              <w:pStyle w:val="ListParagraph"/>
              <w:numPr>
                <w:ilvl w:val="1"/>
                <w:numId w:val="3"/>
              </w:numPr>
            </w:pPr>
            <w:r>
              <w:t>Diluent and albumin also need to be refrigerated.</w:t>
            </w:r>
          </w:p>
          <w:p w14:paraId="2CC30956" w14:textId="77777777" w:rsidR="003A1E85" w:rsidRDefault="003A1E85" w:rsidP="003A1E85">
            <w:pPr>
              <w:pStyle w:val="ListParagraph"/>
              <w:numPr>
                <w:ilvl w:val="0"/>
                <w:numId w:val="3"/>
              </w:numPr>
            </w:pPr>
            <w:r>
              <w:t>The new instruments will use both DI water and saline.  I have ordered both.  Please look closely at the box before using.  We will have major issues if someone accidently puts DI water on the Echo or in a cell washer.</w:t>
            </w:r>
          </w:p>
          <w:p w14:paraId="12DF438E" w14:textId="6ECB0738" w:rsidR="003A1E85" w:rsidRDefault="003A1E85" w:rsidP="003A1E85">
            <w:pPr>
              <w:pStyle w:val="ListParagraph"/>
              <w:numPr>
                <w:ilvl w:val="0"/>
                <w:numId w:val="3"/>
              </w:numPr>
            </w:pPr>
            <w:r>
              <w:t>I also ordered 70% isopropyl alcohol and sodium hydroxide for each site.</w:t>
            </w:r>
          </w:p>
          <w:p w14:paraId="04564996" w14:textId="77777777" w:rsidR="003A1E85" w:rsidRDefault="003A1E85" w:rsidP="003A1E85">
            <w:pPr>
              <w:pStyle w:val="ListParagraph"/>
              <w:numPr>
                <w:ilvl w:val="0"/>
                <w:numId w:val="3"/>
              </w:numPr>
            </w:pPr>
            <w:r>
              <w:lastRenderedPageBreak/>
              <w:t>Manual gel equipment arrives this week at both sites.  Please notify me when it arrives.  Do not unbox.</w:t>
            </w:r>
          </w:p>
          <w:p w14:paraId="3CF5BA6C" w14:textId="77777777" w:rsidR="003A1E85" w:rsidRDefault="003A1E85" w:rsidP="003A1E85">
            <w:pPr>
              <w:pStyle w:val="ListParagraph"/>
              <w:numPr>
                <w:ilvl w:val="0"/>
                <w:numId w:val="3"/>
              </w:numPr>
            </w:pPr>
            <w:r>
              <w:t>Vision instruments arrive next week, Tuesday, April 8.  They will be delivered to WOMC first and then SGMC.</w:t>
            </w:r>
          </w:p>
          <w:p w14:paraId="5D4206EB" w14:textId="6B6D6681" w:rsidR="003A1E85" w:rsidRDefault="003A1E85" w:rsidP="003A1E85">
            <w:pPr>
              <w:pStyle w:val="ListParagraph"/>
              <w:numPr>
                <w:ilvl w:val="0"/>
                <w:numId w:val="3"/>
              </w:numPr>
            </w:pPr>
            <w:r>
              <w:t xml:space="preserve">Nolan Aponte will be onsite next week training all employees on manual gel.  Please look at your assigned time in Humanity.  Training takes approximately 3 hours.  </w:t>
            </w:r>
            <w:r>
              <w:rPr>
                <w:color w:val="FF0000"/>
              </w:rPr>
              <w:t xml:space="preserve">You must complete the online gel training first.  </w:t>
            </w:r>
            <w:r>
              <w:t>This is a 1-hour course.</w:t>
            </w:r>
          </w:p>
          <w:p w14:paraId="55AA3757" w14:textId="77777777" w:rsidR="003A1E85" w:rsidRDefault="003A1E85" w:rsidP="003A1E85">
            <w:pPr>
              <w:pStyle w:val="ListParagraph"/>
              <w:numPr>
                <w:ilvl w:val="0"/>
                <w:numId w:val="3"/>
              </w:numPr>
            </w:pPr>
            <w:r>
              <w:t>Lisa Melvin will be at SGMC the week of April 14 to complete instrument configuration, IQ/OQ validation, and super user training.</w:t>
            </w:r>
          </w:p>
          <w:p w14:paraId="43976E43" w14:textId="77777777" w:rsidR="003A1E85" w:rsidRDefault="003A1E85" w:rsidP="003A1E85">
            <w:pPr>
              <w:pStyle w:val="ListParagraph"/>
              <w:numPr>
                <w:ilvl w:val="0"/>
                <w:numId w:val="3"/>
              </w:numPr>
            </w:pPr>
            <w:r>
              <w:t>Lisa Melvin will be at WOMC the week of April 28 to complete instrument configuration, IQ/OQ validation, and super user training.</w:t>
            </w:r>
          </w:p>
          <w:p w14:paraId="6A80C9A2" w14:textId="21DDFBD5" w:rsidR="003A1E85" w:rsidRDefault="003A1E85" w:rsidP="003A1E85">
            <w:pPr>
              <w:pStyle w:val="ListParagraph"/>
              <w:numPr>
                <w:ilvl w:val="0"/>
                <w:numId w:val="3"/>
              </w:numPr>
            </w:pPr>
            <w:r>
              <w:t>We will begin PQ validations (including correlation studies) as soon as the WOMC instrument is configured and passes IQ/OQ validation.</w:t>
            </w:r>
          </w:p>
          <w:p w14:paraId="5CA8EB9A" w14:textId="77777777" w:rsidR="003A1E85" w:rsidRDefault="003A1E85" w:rsidP="003A1E85">
            <w:pPr>
              <w:pStyle w:val="ListParagraph"/>
              <w:numPr>
                <w:ilvl w:val="0"/>
                <w:numId w:val="3"/>
              </w:numPr>
            </w:pPr>
            <w:r>
              <w:t xml:space="preserve">Someone from Ortho will be onsite the weeks of 5/5 and 5/12 to complete general user training.  This takes approximately 3 weeks.  I will schedule everyone as soon as I receive confirmation.  </w:t>
            </w:r>
            <w:r>
              <w:rPr>
                <w:color w:val="FF0000"/>
              </w:rPr>
              <w:t>You must complete online Vision training first.</w:t>
            </w:r>
            <w:r>
              <w:t xml:space="preserve">  This is a 5-hour course.</w:t>
            </w:r>
          </w:p>
          <w:p w14:paraId="19D98B8B" w14:textId="0DFA941F" w:rsidR="003A1E85" w:rsidRDefault="003A1E85" w:rsidP="003A1E85"/>
        </w:tc>
        <w:tc>
          <w:tcPr>
            <w:tcW w:w="1440" w:type="dxa"/>
            <w:shd w:val="clear" w:color="auto" w:fill="auto"/>
          </w:tcPr>
          <w:p w14:paraId="49CB19B4" w14:textId="6AE44591" w:rsidR="006925CD" w:rsidRDefault="003A1E85" w:rsidP="0051743A">
            <w:pPr>
              <w:autoSpaceDE w:val="0"/>
              <w:autoSpaceDN w:val="0"/>
              <w:adjustRightInd w:val="0"/>
              <w:rPr>
                <w:rFonts w:cs="Tahoma"/>
                <w:bCs/>
              </w:rPr>
            </w:pPr>
            <w:r>
              <w:rPr>
                <w:rFonts w:cs="Tahoma"/>
                <w:bCs/>
              </w:rPr>
              <w:lastRenderedPageBreak/>
              <w:t>Informational</w:t>
            </w:r>
          </w:p>
        </w:tc>
        <w:tc>
          <w:tcPr>
            <w:tcW w:w="1039" w:type="dxa"/>
            <w:shd w:val="clear" w:color="auto" w:fill="auto"/>
          </w:tcPr>
          <w:p w14:paraId="0FA5EFCD" w14:textId="166DA96B" w:rsidR="006925CD" w:rsidRDefault="003A1E85" w:rsidP="0051743A">
            <w:pPr>
              <w:autoSpaceDE w:val="0"/>
              <w:autoSpaceDN w:val="0"/>
              <w:adjustRightInd w:val="0"/>
              <w:rPr>
                <w:rFonts w:cs="Tahoma"/>
                <w:bCs/>
              </w:rPr>
            </w:pPr>
            <w:r>
              <w:rPr>
                <w:rFonts w:cs="Tahoma"/>
                <w:bCs/>
              </w:rPr>
              <w:t>None</w:t>
            </w:r>
          </w:p>
        </w:tc>
      </w:tr>
      <w:tr w:rsidR="000849E8" w14:paraId="6E908F9F" w14:textId="77777777" w:rsidTr="005904B0">
        <w:tc>
          <w:tcPr>
            <w:tcW w:w="1795" w:type="dxa"/>
            <w:shd w:val="clear" w:color="auto" w:fill="auto"/>
          </w:tcPr>
          <w:p w14:paraId="203187A4" w14:textId="446ABD8E" w:rsidR="00AC6A51" w:rsidRDefault="00BC307A" w:rsidP="0051743A">
            <w:pPr>
              <w:autoSpaceDE w:val="0"/>
              <w:autoSpaceDN w:val="0"/>
              <w:adjustRightInd w:val="0"/>
              <w:rPr>
                <w:rFonts w:cs="Tahoma"/>
                <w:b/>
                <w:smallCaps/>
              </w:rPr>
            </w:pPr>
            <w:r>
              <w:rPr>
                <w:rFonts w:cs="Tahoma"/>
                <w:b/>
                <w:smallCaps/>
              </w:rPr>
              <w:t>To Do List</w:t>
            </w:r>
          </w:p>
        </w:tc>
        <w:tc>
          <w:tcPr>
            <w:tcW w:w="6660" w:type="dxa"/>
            <w:shd w:val="clear" w:color="auto" w:fill="auto"/>
          </w:tcPr>
          <w:p w14:paraId="69CBA61A" w14:textId="2F476F45" w:rsidR="003A1E85" w:rsidRDefault="003A1E85" w:rsidP="003A1E85">
            <w:pPr>
              <w:pStyle w:val="ListParagraph"/>
              <w:numPr>
                <w:ilvl w:val="0"/>
                <w:numId w:val="4"/>
              </w:numPr>
            </w:pPr>
            <w:r>
              <w:t>Complete the mandatory online gel training by Monday, April 7 and provide me with your certificate.</w:t>
            </w:r>
          </w:p>
          <w:p w14:paraId="0D24B6BB" w14:textId="4143BD18" w:rsidR="003A1E85" w:rsidRDefault="003A1E85" w:rsidP="003A1E85">
            <w:pPr>
              <w:pStyle w:val="ListParagraph"/>
              <w:numPr>
                <w:ilvl w:val="0"/>
                <w:numId w:val="4"/>
              </w:numPr>
            </w:pPr>
            <w:r>
              <w:t>Complete mandatory online Vision training by Monday, April 13 and provide me with your certificate.</w:t>
            </w:r>
          </w:p>
          <w:p w14:paraId="249D902D" w14:textId="77777777" w:rsidR="0086147C" w:rsidRDefault="003A1E85" w:rsidP="003A1E85">
            <w:pPr>
              <w:pStyle w:val="ListParagraph"/>
              <w:numPr>
                <w:ilvl w:val="0"/>
                <w:numId w:val="4"/>
              </w:numPr>
            </w:pPr>
            <w:r>
              <w:t xml:space="preserve">2025 Blood Product Competency is due on May 15.  Please turn this in to me as soon as you complete, so I can track compliance.  You will not have questions/problem solving signed off. </w:t>
            </w:r>
          </w:p>
          <w:p w14:paraId="62EEFC34" w14:textId="4751324D" w:rsidR="007479F4" w:rsidRDefault="007479F4" w:rsidP="003A1E85">
            <w:pPr>
              <w:pStyle w:val="ListParagraph"/>
              <w:numPr>
                <w:ilvl w:val="0"/>
                <w:numId w:val="4"/>
              </w:numPr>
            </w:pPr>
            <w:r>
              <w:t>Processing training due May 31.</w:t>
            </w:r>
          </w:p>
          <w:p w14:paraId="1D117AEF" w14:textId="766A91A4" w:rsidR="0041741D" w:rsidRDefault="0041741D" w:rsidP="003A1E85">
            <w:pPr>
              <w:pStyle w:val="ListParagraph"/>
              <w:numPr>
                <w:ilvl w:val="0"/>
                <w:numId w:val="4"/>
              </w:numPr>
            </w:pPr>
            <w:r>
              <w:t>Annual COE training was assigned in Workday.  These are usually due in October/November.  BB staff should only have 1 assignment.  Please complete as time permits.</w:t>
            </w:r>
          </w:p>
          <w:p w14:paraId="69379FAB" w14:textId="77777777" w:rsidR="003A1E85" w:rsidRDefault="003A1E85" w:rsidP="003A1E85"/>
          <w:p w14:paraId="0BF71A11" w14:textId="77777777" w:rsidR="003A1E85" w:rsidRDefault="003A1E85" w:rsidP="003A1E85">
            <w:r>
              <w:t>We will have a lot of items due over the next couple of months as we bring up and validate new testing on the vision.  Please stay ahead of training.</w:t>
            </w:r>
          </w:p>
          <w:p w14:paraId="272D5B92" w14:textId="74884026" w:rsidR="003A1E85" w:rsidRDefault="003A1E85" w:rsidP="003A1E85"/>
        </w:tc>
        <w:tc>
          <w:tcPr>
            <w:tcW w:w="1440" w:type="dxa"/>
            <w:shd w:val="clear" w:color="auto" w:fill="auto"/>
          </w:tcPr>
          <w:p w14:paraId="121EC456" w14:textId="52DDC753" w:rsidR="00AC6A51" w:rsidRDefault="00387F41" w:rsidP="0051743A">
            <w:pPr>
              <w:autoSpaceDE w:val="0"/>
              <w:autoSpaceDN w:val="0"/>
              <w:adjustRightInd w:val="0"/>
              <w:rPr>
                <w:rFonts w:cs="Tahoma"/>
                <w:bCs/>
              </w:rPr>
            </w:pPr>
            <w:r>
              <w:rPr>
                <w:rFonts w:cs="Tahoma"/>
                <w:bCs/>
              </w:rPr>
              <w:t xml:space="preserve">Complete </w:t>
            </w:r>
            <w:r w:rsidR="00796578">
              <w:rPr>
                <w:rFonts w:cs="Tahoma"/>
                <w:bCs/>
              </w:rPr>
              <w:t>mandatory training assignments by the deadline and c</w:t>
            </w:r>
            <w:r>
              <w:rPr>
                <w:rFonts w:cs="Tahoma"/>
                <w:bCs/>
              </w:rPr>
              <w:t>ompetency by 5/15/25</w:t>
            </w:r>
          </w:p>
        </w:tc>
        <w:tc>
          <w:tcPr>
            <w:tcW w:w="1039" w:type="dxa"/>
            <w:shd w:val="clear" w:color="auto" w:fill="auto"/>
          </w:tcPr>
          <w:p w14:paraId="415ED7FB" w14:textId="2068B1EF" w:rsidR="00AC6A51" w:rsidRDefault="00387F41" w:rsidP="0051743A">
            <w:pPr>
              <w:autoSpaceDE w:val="0"/>
              <w:autoSpaceDN w:val="0"/>
              <w:adjustRightInd w:val="0"/>
              <w:rPr>
                <w:rFonts w:cs="Tahoma"/>
                <w:bCs/>
              </w:rPr>
            </w:pPr>
            <w:r>
              <w:rPr>
                <w:rFonts w:cs="Tahoma"/>
                <w:bCs/>
              </w:rPr>
              <w:t>All Staff</w:t>
            </w:r>
          </w:p>
        </w:tc>
      </w:tr>
    </w:tbl>
    <w:p w14:paraId="040837F4" w14:textId="4ED8876E" w:rsidR="0090788B" w:rsidRPr="000E630F" w:rsidRDefault="0090788B" w:rsidP="00D93C85">
      <w:pPr>
        <w:rPr>
          <w:rFonts w:cs="Tahoma"/>
        </w:rPr>
      </w:pPr>
    </w:p>
    <w:sectPr w:rsidR="0090788B" w:rsidRPr="000E630F" w:rsidSect="004A7CD4">
      <w:headerReference w:type="default" r:id="rId13"/>
      <w:footerReference w:type="default" r:id="rId14"/>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2F"/>
    <w:multiLevelType w:val="hybridMultilevel"/>
    <w:tmpl w:val="0DB6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E6EC8"/>
    <w:multiLevelType w:val="hybridMultilevel"/>
    <w:tmpl w:val="643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36E94"/>
    <w:multiLevelType w:val="hybridMultilevel"/>
    <w:tmpl w:val="1C2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256E3"/>
    <w:multiLevelType w:val="hybridMultilevel"/>
    <w:tmpl w:val="D96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43FE5"/>
    <w:multiLevelType w:val="hybridMultilevel"/>
    <w:tmpl w:val="F6A0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57E5E"/>
    <w:multiLevelType w:val="hybridMultilevel"/>
    <w:tmpl w:val="5A8A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C2423"/>
    <w:multiLevelType w:val="hybridMultilevel"/>
    <w:tmpl w:val="2CB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44FDB"/>
    <w:multiLevelType w:val="hybridMultilevel"/>
    <w:tmpl w:val="D4508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B1852"/>
    <w:multiLevelType w:val="hybridMultilevel"/>
    <w:tmpl w:val="4910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3493">
    <w:abstractNumId w:val="0"/>
  </w:num>
  <w:num w:numId="2" w16cid:durableId="1568223038">
    <w:abstractNumId w:val="1"/>
  </w:num>
  <w:num w:numId="3" w16cid:durableId="1037662855">
    <w:abstractNumId w:val="7"/>
  </w:num>
  <w:num w:numId="4" w16cid:durableId="2104719828">
    <w:abstractNumId w:val="2"/>
  </w:num>
  <w:num w:numId="5" w16cid:durableId="1696690991">
    <w:abstractNumId w:val="5"/>
  </w:num>
  <w:num w:numId="6" w16cid:durableId="1121800481">
    <w:abstractNumId w:val="4"/>
  </w:num>
  <w:num w:numId="7" w16cid:durableId="499581720">
    <w:abstractNumId w:val="6"/>
  </w:num>
  <w:num w:numId="8" w16cid:durableId="508643205">
    <w:abstractNumId w:val="8"/>
  </w:num>
  <w:num w:numId="9" w16cid:durableId="113136305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0E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1975"/>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470F"/>
    <w:rsid w:val="000849E8"/>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343"/>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2B30"/>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0F0"/>
    <w:rsid w:val="001701C7"/>
    <w:rsid w:val="0017063E"/>
    <w:rsid w:val="00170AB9"/>
    <w:rsid w:val="0017100F"/>
    <w:rsid w:val="00171CE2"/>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096"/>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927"/>
    <w:rsid w:val="001C7A61"/>
    <w:rsid w:val="001D01F3"/>
    <w:rsid w:val="001D0438"/>
    <w:rsid w:val="001D0956"/>
    <w:rsid w:val="001D0B5D"/>
    <w:rsid w:val="001D0D23"/>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4FCC"/>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53"/>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432"/>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8DA"/>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97946"/>
    <w:rsid w:val="002A02AF"/>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04C"/>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6D8"/>
    <w:rsid w:val="002F5CD6"/>
    <w:rsid w:val="002F5EF6"/>
    <w:rsid w:val="002F639D"/>
    <w:rsid w:val="002F64E6"/>
    <w:rsid w:val="002F6870"/>
    <w:rsid w:val="002F6C33"/>
    <w:rsid w:val="002F6CB1"/>
    <w:rsid w:val="002F7A9A"/>
    <w:rsid w:val="002F7F8E"/>
    <w:rsid w:val="00300352"/>
    <w:rsid w:val="00300531"/>
    <w:rsid w:val="00300637"/>
    <w:rsid w:val="00301287"/>
    <w:rsid w:val="003015A1"/>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43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1E"/>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B7B"/>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282"/>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41"/>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D96"/>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1E85"/>
    <w:rsid w:val="003A26CF"/>
    <w:rsid w:val="003A2A7B"/>
    <w:rsid w:val="003A3685"/>
    <w:rsid w:val="003A3F83"/>
    <w:rsid w:val="003A4032"/>
    <w:rsid w:val="003A41DC"/>
    <w:rsid w:val="003A45F4"/>
    <w:rsid w:val="003A4784"/>
    <w:rsid w:val="003A484A"/>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9AF"/>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0EAD"/>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1CC"/>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1D"/>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034"/>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2DBE"/>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680"/>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B0"/>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639"/>
    <w:rsid w:val="0059475C"/>
    <w:rsid w:val="0059508B"/>
    <w:rsid w:val="00595999"/>
    <w:rsid w:val="00595B84"/>
    <w:rsid w:val="00595BE2"/>
    <w:rsid w:val="00596270"/>
    <w:rsid w:val="005963AE"/>
    <w:rsid w:val="00597288"/>
    <w:rsid w:val="005972C2"/>
    <w:rsid w:val="00597672"/>
    <w:rsid w:val="005976EE"/>
    <w:rsid w:val="005A0C26"/>
    <w:rsid w:val="005A11BA"/>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199"/>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2C1"/>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199"/>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E5A"/>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0B4"/>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5CD"/>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945"/>
    <w:rsid w:val="006A0AF7"/>
    <w:rsid w:val="006A11F6"/>
    <w:rsid w:val="006A18D1"/>
    <w:rsid w:val="006A1E69"/>
    <w:rsid w:val="006A278D"/>
    <w:rsid w:val="006A2C49"/>
    <w:rsid w:val="006A2DC0"/>
    <w:rsid w:val="006A2E06"/>
    <w:rsid w:val="006A30CB"/>
    <w:rsid w:val="006A3547"/>
    <w:rsid w:val="006A49E5"/>
    <w:rsid w:val="006A4D9A"/>
    <w:rsid w:val="006A4DF2"/>
    <w:rsid w:val="006A58F0"/>
    <w:rsid w:val="006A5E9F"/>
    <w:rsid w:val="006A627A"/>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3A5"/>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A11"/>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1F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9F4"/>
    <w:rsid w:val="00747EDB"/>
    <w:rsid w:val="00750079"/>
    <w:rsid w:val="007505EC"/>
    <w:rsid w:val="007506F8"/>
    <w:rsid w:val="00750849"/>
    <w:rsid w:val="007509D5"/>
    <w:rsid w:val="00750CC3"/>
    <w:rsid w:val="00750E76"/>
    <w:rsid w:val="0075173B"/>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24F"/>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6578"/>
    <w:rsid w:val="007974BA"/>
    <w:rsid w:val="00797AAB"/>
    <w:rsid w:val="00797AC1"/>
    <w:rsid w:val="00797D11"/>
    <w:rsid w:val="00797D4F"/>
    <w:rsid w:val="00797F48"/>
    <w:rsid w:val="007A079A"/>
    <w:rsid w:val="007A0D91"/>
    <w:rsid w:val="007A0E68"/>
    <w:rsid w:val="007A10BB"/>
    <w:rsid w:val="007A1D1A"/>
    <w:rsid w:val="007A1D58"/>
    <w:rsid w:val="007A20CE"/>
    <w:rsid w:val="007A24E6"/>
    <w:rsid w:val="007A2A68"/>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720"/>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47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805"/>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1A88"/>
    <w:rsid w:val="008921B0"/>
    <w:rsid w:val="00892A1A"/>
    <w:rsid w:val="00894000"/>
    <w:rsid w:val="00895094"/>
    <w:rsid w:val="0089522E"/>
    <w:rsid w:val="008954F6"/>
    <w:rsid w:val="00897537"/>
    <w:rsid w:val="008979B5"/>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0FCC"/>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58A5"/>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C7F"/>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195"/>
    <w:rsid w:val="0094341E"/>
    <w:rsid w:val="009437A5"/>
    <w:rsid w:val="009439A0"/>
    <w:rsid w:val="009439F7"/>
    <w:rsid w:val="0094462B"/>
    <w:rsid w:val="00944870"/>
    <w:rsid w:val="009448B3"/>
    <w:rsid w:val="009450C5"/>
    <w:rsid w:val="0094540A"/>
    <w:rsid w:val="0094587A"/>
    <w:rsid w:val="00945E9D"/>
    <w:rsid w:val="00946CD4"/>
    <w:rsid w:val="00946D58"/>
    <w:rsid w:val="00946D68"/>
    <w:rsid w:val="00947432"/>
    <w:rsid w:val="00947DBF"/>
    <w:rsid w:val="00947EE0"/>
    <w:rsid w:val="009508C2"/>
    <w:rsid w:val="009509DC"/>
    <w:rsid w:val="00950A28"/>
    <w:rsid w:val="00950B7D"/>
    <w:rsid w:val="0095103E"/>
    <w:rsid w:val="00951237"/>
    <w:rsid w:val="00951261"/>
    <w:rsid w:val="0095203B"/>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E76"/>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5A4"/>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11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354"/>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E3A"/>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727"/>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8E"/>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A51"/>
    <w:rsid w:val="00AC6D5B"/>
    <w:rsid w:val="00AC6DFB"/>
    <w:rsid w:val="00AC7451"/>
    <w:rsid w:val="00AC7550"/>
    <w:rsid w:val="00AC78D2"/>
    <w:rsid w:val="00AC7931"/>
    <w:rsid w:val="00AC7AA2"/>
    <w:rsid w:val="00AC7C57"/>
    <w:rsid w:val="00AC7CC2"/>
    <w:rsid w:val="00AD03C9"/>
    <w:rsid w:val="00AD063D"/>
    <w:rsid w:val="00AD0C4D"/>
    <w:rsid w:val="00AD1826"/>
    <w:rsid w:val="00AD19B8"/>
    <w:rsid w:val="00AD1A95"/>
    <w:rsid w:val="00AD1D40"/>
    <w:rsid w:val="00AD2687"/>
    <w:rsid w:val="00AD2D58"/>
    <w:rsid w:val="00AD2E0F"/>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0761"/>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754"/>
    <w:rsid w:val="00B17BE7"/>
    <w:rsid w:val="00B17C6C"/>
    <w:rsid w:val="00B17CF9"/>
    <w:rsid w:val="00B200F3"/>
    <w:rsid w:val="00B20257"/>
    <w:rsid w:val="00B20980"/>
    <w:rsid w:val="00B20A2F"/>
    <w:rsid w:val="00B214C0"/>
    <w:rsid w:val="00B219C0"/>
    <w:rsid w:val="00B21AC4"/>
    <w:rsid w:val="00B21C3C"/>
    <w:rsid w:val="00B21C8A"/>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2DBD"/>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AB3"/>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51D"/>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070"/>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6CA8"/>
    <w:rsid w:val="00BB70CE"/>
    <w:rsid w:val="00BB71BB"/>
    <w:rsid w:val="00BB71DB"/>
    <w:rsid w:val="00BC00D6"/>
    <w:rsid w:val="00BC02EF"/>
    <w:rsid w:val="00BC06D5"/>
    <w:rsid w:val="00BC0909"/>
    <w:rsid w:val="00BC0E8E"/>
    <w:rsid w:val="00BC15A0"/>
    <w:rsid w:val="00BC19AF"/>
    <w:rsid w:val="00BC20DA"/>
    <w:rsid w:val="00BC2DDC"/>
    <w:rsid w:val="00BC2FC8"/>
    <w:rsid w:val="00BC3069"/>
    <w:rsid w:val="00BC307A"/>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337"/>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05A"/>
    <w:rsid w:val="00C136FC"/>
    <w:rsid w:val="00C13AB4"/>
    <w:rsid w:val="00C13F8E"/>
    <w:rsid w:val="00C14180"/>
    <w:rsid w:val="00C146D6"/>
    <w:rsid w:val="00C1545E"/>
    <w:rsid w:val="00C154DD"/>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AE1"/>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4E6"/>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9A8"/>
    <w:rsid w:val="00CC5D19"/>
    <w:rsid w:val="00CC6147"/>
    <w:rsid w:val="00CC6511"/>
    <w:rsid w:val="00CC6766"/>
    <w:rsid w:val="00CC69FE"/>
    <w:rsid w:val="00CC6CCB"/>
    <w:rsid w:val="00CC7805"/>
    <w:rsid w:val="00CC7940"/>
    <w:rsid w:val="00CC7F25"/>
    <w:rsid w:val="00CC7FA5"/>
    <w:rsid w:val="00CD01ED"/>
    <w:rsid w:val="00CD02AE"/>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1696"/>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2FE"/>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800"/>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85"/>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0FAE"/>
    <w:rsid w:val="00DD1034"/>
    <w:rsid w:val="00DD120F"/>
    <w:rsid w:val="00DD133D"/>
    <w:rsid w:val="00DD1695"/>
    <w:rsid w:val="00DD2179"/>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B17"/>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22B"/>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6B2B"/>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0A3"/>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A9E"/>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233"/>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05EE"/>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586"/>
    <w:rsid w:val="00F97681"/>
    <w:rsid w:val="00FA0DC3"/>
    <w:rsid w:val="00FA169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B73"/>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227</TotalTime>
  <Pages>6</Pages>
  <Words>2190</Words>
  <Characters>10913</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17</cp:revision>
  <cp:lastPrinted>2024-11-04T18:37:00Z</cp:lastPrinted>
  <dcterms:created xsi:type="dcterms:W3CDTF">2025-03-31T18:12:00Z</dcterms:created>
  <dcterms:modified xsi:type="dcterms:W3CDTF">2025-04-04T11:40:00Z</dcterms:modified>
</cp:coreProperties>
</file>