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388500600"/>
        <w:lock w:val="sdtContentLocked"/>
        <w:placeholder>
          <w:docPart w:val="ED39B8BFCC03442A820A5945669954C2"/>
        </w:placeholder>
        <w:text w:multiLine="1"/>
      </w:sdtPr>
      <w:sdtEndPr>
        <w:rPr>
          <w:rStyle w:val="TitleChar"/>
          <w:b/>
        </w:rPr>
      </w:sdtEndPr>
      <w:sdtContent>
        <w:p w:rsidR="009359FE" w:rsidRPr="00BE7AF5" w:rsidRDefault="00745E3C" w:rsidP="00BD443E">
          <w:pPr>
            <w:ind w:left="0"/>
            <w:jc w:val="center"/>
            <w:rPr>
              <w:rStyle w:val="TitleChar"/>
              <w:b w:val="0"/>
            </w:rPr>
          </w:pPr>
          <w:r>
            <w:rPr>
              <w:rStyle w:val="TitleChar"/>
            </w:rPr>
            <w:t>Dignity Health</w:t>
          </w:r>
          <w:r>
            <w:rPr>
              <w:rStyle w:val="TitleChar"/>
            </w:rPr>
            <w:br/>
            <w:t>C</w:t>
          </w:r>
          <w:r w:rsidR="009359FE" w:rsidRPr="00BE7AF5">
            <w:rPr>
              <w:rStyle w:val="TitleChar"/>
            </w:rPr>
            <w:t>entral Coast Service Area Procedure</w:t>
          </w:r>
        </w:p>
      </w:sdtContent>
    </w:sdt>
    <w:p w:rsidR="00BE33DD" w:rsidRDefault="00BE33DD" w:rsidP="00BC345C"/>
    <w:tbl>
      <w:tblPr>
        <w:tblStyle w:val="TableGrid"/>
        <w:tblW w:w="990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4F3E61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9C3543DD4C3B45D5B1EECB4B449FB8E5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</w:tcPr>
              <w:p w:rsidR="00E046B0" w:rsidRPr="00871139" w:rsidRDefault="00E046B0" w:rsidP="00B05AA8">
                <w:pPr>
                  <w:ind w:left="0"/>
                  <w:rPr>
                    <w:b/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North:</w:t>
                </w:r>
              </w:p>
            </w:tc>
          </w:sdtContent>
        </w:sdt>
      </w:tr>
      <w:tr w:rsidR="00B40650" w:rsidRPr="00CB0685" w:rsidTr="004F3E61">
        <w:trPr>
          <w:trHeight w:val="810"/>
        </w:trPr>
        <w:tc>
          <w:tcPr>
            <w:tcW w:w="3420" w:type="dxa"/>
          </w:tcPr>
          <w:p w:rsidR="00B40650" w:rsidRDefault="00873864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71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CB0685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873864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</w:tcPr>
          <w:p w:rsidR="00B40650" w:rsidRPr="00CB0685" w:rsidRDefault="00873864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2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873864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</w:tcPr>
          <w:p w:rsidR="00B40650" w:rsidRPr="00CB0685" w:rsidRDefault="00873864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71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E046B0" w:rsidRPr="00CB0685" w:rsidTr="004F3E61">
        <w:trPr>
          <w:trHeight w:val="351"/>
        </w:trPr>
        <w:sdt>
          <w:sdtPr>
            <w:rPr>
              <w:sz w:val="18"/>
            </w:rPr>
            <w:id w:val="2089426779"/>
            <w:lock w:val="sdtContentLocked"/>
            <w:showingPlcHdr/>
            <w:text/>
          </w:sdtPr>
          <w:sdtEndPr/>
          <w:sdtContent>
            <w:tc>
              <w:tcPr>
                <w:tcW w:w="9900" w:type="dxa"/>
                <w:gridSpan w:val="3"/>
              </w:tcPr>
              <w:p w:rsidR="00E046B0" w:rsidRPr="00CB0685" w:rsidRDefault="00E046B0" w:rsidP="00871139">
                <w:pPr>
                  <w:ind w:left="0"/>
                  <w:rPr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South:</w:t>
                </w:r>
              </w:p>
            </w:tc>
          </w:sdtContent>
        </w:sdt>
      </w:tr>
      <w:tr w:rsidR="00B40650" w:rsidRPr="00CB0685" w:rsidTr="004F3E61">
        <w:trPr>
          <w:trHeight w:val="431"/>
        </w:trPr>
        <w:tc>
          <w:tcPr>
            <w:tcW w:w="3420" w:type="dxa"/>
          </w:tcPr>
          <w:p w:rsidR="00B40650" w:rsidRPr="00CB0685" w:rsidRDefault="00873864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2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3420" w:type="dxa"/>
          </w:tcPr>
          <w:p w:rsidR="00B40650" w:rsidRPr="00CB0685" w:rsidRDefault="00873864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2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  <w:tc>
          <w:tcPr>
            <w:tcW w:w="3060" w:type="dxa"/>
          </w:tcPr>
          <w:p w:rsidR="00B40650" w:rsidRPr="00CB0685" w:rsidRDefault="00B40650" w:rsidP="008419CC">
            <w:pPr>
              <w:ind w:left="0"/>
              <w:rPr>
                <w:sz w:val="18"/>
              </w:rPr>
            </w:pPr>
          </w:p>
        </w:tc>
      </w:tr>
    </w:tbl>
    <w:p w:rsidR="00A247B0" w:rsidRDefault="00A247B0" w:rsidP="00BC345C"/>
    <w:p w:rsidR="00A247B0" w:rsidRDefault="00873864" w:rsidP="004B0B7D">
      <w:pPr>
        <w:ind w:left="0"/>
      </w:pPr>
      <w:sdt>
        <w:sdtPr>
          <w:alias w:val="Type Title in Field on Right"/>
          <w:tag w:val="Type Title in Field on Right"/>
          <w:id w:val="1281069417"/>
          <w:lock w:val="sdtContentLocked"/>
        </w:sdtPr>
        <w:sdtEndPr/>
        <w:sdtContent>
          <w:r w:rsidR="002D5692" w:rsidRPr="00A247B0">
            <w:rPr>
              <w:b/>
            </w:rPr>
            <w:t>SUBJECT</w:t>
          </w:r>
          <w:r w:rsidR="002D5692" w:rsidRPr="00EC6D3B">
            <w:t>:</w:t>
          </w:r>
        </w:sdtContent>
      </w:sdt>
      <w:r w:rsidR="002D5692">
        <w:t xml:space="preserve"> </w:t>
      </w:r>
      <w:sdt>
        <w:sdtPr>
          <w:alias w:val="Title of Policy Here"/>
          <w:tag w:val="Title of Policy Here"/>
          <w:id w:val="498936599"/>
          <w:lock w:val="sdtLocked"/>
          <w:text w:multiLine="1"/>
        </w:sdtPr>
        <w:sdtEndPr/>
        <w:sdtContent>
          <w:r w:rsidR="00F21716">
            <w:t>Fetal Maternal Hemorrhage Screening Test-Immucor, Inc.</w:t>
          </w:r>
        </w:sdtContent>
      </w:sdt>
    </w:p>
    <w:p w:rsidR="002D5692" w:rsidRPr="002B0316" w:rsidRDefault="002B0316" w:rsidP="009A18BE">
      <w:pPr>
        <w:spacing w:after="120"/>
      </w:pPr>
      <w:r>
        <w:rPr>
          <w:b/>
        </w:rPr>
        <w:t xml:space="preserve">Lab Policy Number:  </w:t>
      </w:r>
      <w:r>
        <w:t>7540.BB.CC.174</w:t>
      </w:r>
    </w:p>
    <w:p w:rsidR="00F21716" w:rsidRPr="00D94158" w:rsidRDefault="0017789F" w:rsidP="00D94158">
      <w:pPr>
        <w:pStyle w:val="Heading1"/>
        <w:rPr>
          <w:b w:val="0"/>
          <w:caps w:val="0"/>
        </w:rPr>
      </w:pPr>
      <w:r>
        <w:t>Purpose</w:t>
      </w:r>
      <w:r w:rsidR="005E37C5">
        <w:t xml:space="preserve">: </w:t>
      </w:r>
      <w:r w:rsidR="00EE04DD">
        <w:t xml:space="preserve"> </w:t>
      </w:r>
      <w:r w:rsidR="001D2F66" w:rsidRPr="00D94158">
        <w:rPr>
          <w:b w:val="0"/>
          <w:caps w:val="0"/>
        </w:rPr>
        <w:t>The Fetom</w:t>
      </w:r>
      <w:r w:rsidR="00831463" w:rsidRPr="00D94158">
        <w:rPr>
          <w:b w:val="0"/>
          <w:caps w:val="0"/>
        </w:rPr>
        <w:t>aternal Hemorrhage test provides a qualitative in</w:t>
      </w:r>
      <w:r w:rsidR="001D2F66" w:rsidRPr="00D94158">
        <w:rPr>
          <w:b w:val="0"/>
          <w:caps w:val="0"/>
        </w:rPr>
        <w:t>dication of a significant feto</w:t>
      </w:r>
      <w:r w:rsidR="00831463" w:rsidRPr="00D94158">
        <w:rPr>
          <w:b w:val="0"/>
          <w:caps w:val="0"/>
        </w:rPr>
        <w:t>maternal bleed</w:t>
      </w:r>
      <w:r w:rsidR="008D4C35" w:rsidRPr="00D94158">
        <w:rPr>
          <w:b w:val="0"/>
          <w:caps w:val="0"/>
        </w:rPr>
        <w:t xml:space="preserve"> in Rh(D) negative mothers</w:t>
      </w:r>
      <w:r w:rsidR="00831463" w:rsidRPr="00D94158">
        <w:rPr>
          <w:b w:val="0"/>
          <w:caps w:val="0"/>
        </w:rPr>
        <w:t>, which would warrant a quantitative test to determine the dose of Rh Immune Globulin (RhIG) to be administered in order to prevent Rh(D) alloimmunization in the mother.</w:t>
      </w:r>
      <w:r w:rsidR="008619F8" w:rsidRPr="00D94158">
        <w:rPr>
          <w:b w:val="0"/>
          <w:caps w:val="0"/>
        </w:rPr>
        <w:t xml:space="preserve"> </w:t>
      </w:r>
      <w:r w:rsidR="00831463" w:rsidRPr="00D94158">
        <w:rPr>
          <w:b w:val="0"/>
          <w:caps w:val="0"/>
        </w:rPr>
        <w:t xml:space="preserve"> </w:t>
      </w:r>
      <w:r w:rsidR="001D2F66" w:rsidRPr="00D94158">
        <w:rPr>
          <w:b w:val="0"/>
          <w:caps w:val="0"/>
        </w:rPr>
        <w:t>A Fetom</w:t>
      </w:r>
      <w:r w:rsidR="00831463" w:rsidRPr="00D94158">
        <w:rPr>
          <w:b w:val="0"/>
          <w:caps w:val="0"/>
        </w:rPr>
        <w:t>aternal Hemorrhage test is run on all postpartum Rh Immune Globulin (RhIG) eligible mothers to detect a fetal bleed greater than 30 milliliters of whole blood.</w:t>
      </w:r>
      <w:r w:rsidR="009C5A19">
        <w:rPr>
          <w:b w:val="0"/>
          <w:caps w:val="0"/>
        </w:rPr>
        <w:t xml:space="preserve">  A fetomaternal hemorrhage test should be performed on all Rh(D) negative mothers that are &gt; 20 weeks gestation </w:t>
      </w:r>
      <w:r w:rsidR="004659C4">
        <w:rPr>
          <w:b w:val="0"/>
          <w:caps w:val="0"/>
        </w:rPr>
        <w:t>and</w:t>
      </w:r>
      <w:r w:rsidR="009C5A19">
        <w:rPr>
          <w:b w:val="0"/>
          <w:caps w:val="0"/>
        </w:rPr>
        <w:t xml:space="preserve"> have experienced </w:t>
      </w:r>
      <w:r w:rsidR="00AB066F">
        <w:rPr>
          <w:b w:val="0"/>
          <w:caps w:val="0"/>
        </w:rPr>
        <w:t>abdominal trauma or miscarriage in order to determine the appropriate dose of RhIG to prevent Rh(D) alloimmunization.</w:t>
      </w:r>
    </w:p>
    <w:p w:rsidR="0092495E" w:rsidRDefault="0092495E" w:rsidP="00F21716">
      <w:pPr>
        <w:pStyle w:val="BodyText"/>
      </w:pPr>
      <w:r w:rsidRPr="008619F8">
        <w:rPr>
          <w:b/>
        </w:rPr>
        <w:t>Table 1:</w:t>
      </w:r>
      <w:r>
        <w:t xml:space="preserve"> Indications for </w:t>
      </w:r>
      <w:r w:rsidR="008619F8">
        <w:t>fetomaternal hemorrhage testing.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668"/>
        <w:gridCol w:w="4248"/>
      </w:tblGrid>
      <w:tr w:rsidR="00BD6791" w:rsidRPr="0015776B" w:rsidTr="00356BD8">
        <w:tc>
          <w:tcPr>
            <w:tcW w:w="4968" w:type="dxa"/>
            <w:gridSpan w:val="2"/>
          </w:tcPr>
          <w:p w:rsidR="00BD6791" w:rsidRPr="0015776B" w:rsidRDefault="00BD6791" w:rsidP="00F21716">
            <w:pPr>
              <w:pStyle w:val="BodyText"/>
              <w:ind w:left="0"/>
              <w:rPr>
                <w:b/>
              </w:rPr>
            </w:pPr>
            <w:r w:rsidRPr="0015776B">
              <w:rPr>
                <w:b/>
              </w:rPr>
              <w:t>If</w:t>
            </w:r>
          </w:p>
        </w:tc>
        <w:tc>
          <w:tcPr>
            <w:tcW w:w="4248" w:type="dxa"/>
          </w:tcPr>
          <w:p w:rsidR="00BD6791" w:rsidRPr="0015776B" w:rsidRDefault="00BD6791" w:rsidP="00F21716">
            <w:pPr>
              <w:pStyle w:val="BodyText"/>
              <w:ind w:left="0"/>
              <w:rPr>
                <w:b/>
              </w:rPr>
            </w:pPr>
            <w:r w:rsidRPr="0015776B">
              <w:rPr>
                <w:b/>
              </w:rPr>
              <w:t>Then</w:t>
            </w:r>
          </w:p>
        </w:tc>
      </w:tr>
      <w:tr w:rsidR="00BD6791" w:rsidRPr="0015776B" w:rsidTr="00356BD8">
        <w:tc>
          <w:tcPr>
            <w:tcW w:w="2300" w:type="dxa"/>
          </w:tcPr>
          <w:p w:rsidR="00BD6791" w:rsidRPr="0015776B" w:rsidRDefault="00BD6791" w:rsidP="00F21716">
            <w:pPr>
              <w:pStyle w:val="BodyText"/>
              <w:ind w:left="0"/>
              <w:rPr>
                <w:b/>
              </w:rPr>
            </w:pPr>
            <w:r w:rsidRPr="0015776B">
              <w:rPr>
                <w:b/>
              </w:rPr>
              <w:t>Mother</w:t>
            </w:r>
          </w:p>
        </w:tc>
        <w:tc>
          <w:tcPr>
            <w:tcW w:w="2668" w:type="dxa"/>
          </w:tcPr>
          <w:p w:rsidR="00BD6791" w:rsidRPr="0015776B" w:rsidRDefault="00BD6791" w:rsidP="00F21716">
            <w:pPr>
              <w:pStyle w:val="BodyText"/>
              <w:ind w:left="0"/>
              <w:rPr>
                <w:b/>
              </w:rPr>
            </w:pPr>
            <w:r w:rsidRPr="0015776B">
              <w:rPr>
                <w:b/>
              </w:rPr>
              <w:t>Infant</w:t>
            </w:r>
          </w:p>
        </w:tc>
        <w:tc>
          <w:tcPr>
            <w:tcW w:w="4248" w:type="dxa"/>
          </w:tcPr>
          <w:p w:rsidR="00BD6791" w:rsidRPr="0015776B" w:rsidRDefault="00BD6791" w:rsidP="00F21716">
            <w:pPr>
              <w:pStyle w:val="BodyText"/>
              <w:ind w:left="0"/>
              <w:rPr>
                <w:b/>
              </w:rPr>
            </w:pPr>
          </w:p>
        </w:tc>
      </w:tr>
      <w:tr w:rsidR="00BD6791" w:rsidTr="00356BD8">
        <w:tc>
          <w:tcPr>
            <w:tcW w:w="2300" w:type="dxa"/>
          </w:tcPr>
          <w:p w:rsidR="00BD6791" w:rsidRDefault="00BD6791" w:rsidP="00BD6791">
            <w:pPr>
              <w:pStyle w:val="BodyText"/>
              <w:ind w:left="0"/>
            </w:pPr>
            <w:r>
              <w:t>Rh(D) positive</w:t>
            </w:r>
          </w:p>
        </w:tc>
        <w:tc>
          <w:tcPr>
            <w:tcW w:w="2668" w:type="dxa"/>
          </w:tcPr>
          <w:p w:rsidR="00BD6791" w:rsidRDefault="00BD6791" w:rsidP="00F21716">
            <w:pPr>
              <w:pStyle w:val="BodyText"/>
              <w:ind w:left="0"/>
            </w:pPr>
            <w:r>
              <w:t>Rh(D) positive or Rh(D) negative</w:t>
            </w:r>
          </w:p>
        </w:tc>
        <w:tc>
          <w:tcPr>
            <w:tcW w:w="4248" w:type="dxa"/>
          </w:tcPr>
          <w:p w:rsidR="00BD6791" w:rsidRDefault="00BD6791" w:rsidP="00F21716">
            <w:pPr>
              <w:pStyle w:val="BodyText"/>
              <w:ind w:left="0"/>
            </w:pPr>
            <w:r>
              <w:t>Test not indicated</w:t>
            </w:r>
          </w:p>
        </w:tc>
      </w:tr>
      <w:tr w:rsidR="00BD6791" w:rsidTr="00356BD8">
        <w:tc>
          <w:tcPr>
            <w:tcW w:w="2300" w:type="dxa"/>
          </w:tcPr>
          <w:p w:rsidR="00BD6791" w:rsidRDefault="00BD6791" w:rsidP="00F21716">
            <w:pPr>
              <w:pStyle w:val="BodyText"/>
              <w:ind w:left="0"/>
            </w:pPr>
            <w:r>
              <w:t>Rh(D) negative</w:t>
            </w:r>
          </w:p>
        </w:tc>
        <w:tc>
          <w:tcPr>
            <w:tcW w:w="2668" w:type="dxa"/>
          </w:tcPr>
          <w:p w:rsidR="00BD6791" w:rsidRDefault="00BD6791" w:rsidP="00F21716">
            <w:pPr>
              <w:pStyle w:val="BodyText"/>
              <w:ind w:left="0"/>
            </w:pPr>
            <w:r>
              <w:t>Rh(D) negative</w:t>
            </w:r>
          </w:p>
        </w:tc>
        <w:tc>
          <w:tcPr>
            <w:tcW w:w="4248" w:type="dxa"/>
          </w:tcPr>
          <w:p w:rsidR="00BD6791" w:rsidRDefault="00BD6791" w:rsidP="00F21716">
            <w:pPr>
              <w:pStyle w:val="BodyText"/>
              <w:ind w:left="0"/>
            </w:pPr>
            <w:r>
              <w:t>Test not indicated</w:t>
            </w:r>
          </w:p>
        </w:tc>
      </w:tr>
      <w:tr w:rsidR="00BD6791" w:rsidTr="00356BD8">
        <w:tc>
          <w:tcPr>
            <w:tcW w:w="2300" w:type="dxa"/>
          </w:tcPr>
          <w:p w:rsidR="00BD6791" w:rsidRDefault="00BD6791" w:rsidP="00F21716">
            <w:pPr>
              <w:pStyle w:val="BodyText"/>
              <w:ind w:left="0"/>
            </w:pPr>
            <w:r>
              <w:t>Rh(D) negative</w:t>
            </w:r>
          </w:p>
        </w:tc>
        <w:tc>
          <w:tcPr>
            <w:tcW w:w="2668" w:type="dxa"/>
          </w:tcPr>
          <w:p w:rsidR="00BD6791" w:rsidRDefault="00BD6791" w:rsidP="00F21716">
            <w:pPr>
              <w:pStyle w:val="BodyText"/>
              <w:ind w:left="0"/>
            </w:pPr>
            <w:r>
              <w:t>Rh(D) positive</w:t>
            </w:r>
          </w:p>
        </w:tc>
        <w:tc>
          <w:tcPr>
            <w:tcW w:w="4248" w:type="dxa"/>
          </w:tcPr>
          <w:p w:rsidR="00BD6791" w:rsidRDefault="00BD6791" w:rsidP="00F21716">
            <w:pPr>
              <w:pStyle w:val="BodyText"/>
              <w:ind w:left="0"/>
            </w:pPr>
            <w:r>
              <w:t>Test indicated</w:t>
            </w:r>
          </w:p>
        </w:tc>
      </w:tr>
      <w:tr w:rsidR="00AB066F" w:rsidTr="00356BD8">
        <w:tc>
          <w:tcPr>
            <w:tcW w:w="2300" w:type="dxa"/>
          </w:tcPr>
          <w:p w:rsidR="00AB066F" w:rsidRDefault="00AB066F" w:rsidP="00F21716">
            <w:pPr>
              <w:pStyle w:val="BodyText"/>
              <w:ind w:left="0"/>
            </w:pPr>
            <w:r>
              <w:t>Rh(D) negative</w:t>
            </w:r>
          </w:p>
        </w:tc>
        <w:tc>
          <w:tcPr>
            <w:tcW w:w="2668" w:type="dxa"/>
          </w:tcPr>
          <w:p w:rsidR="00AB066F" w:rsidRDefault="00AB066F" w:rsidP="00F21716">
            <w:pPr>
              <w:pStyle w:val="BodyText"/>
              <w:ind w:left="0"/>
            </w:pPr>
            <w:r>
              <w:t>Rh(D) unknown</w:t>
            </w:r>
          </w:p>
          <w:p w:rsidR="00356BD8" w:rsidRDefault="00356BD8" w:rsidP="00F21716">
            <w:pPr>
              <w:pStyle w:val="BodyText"/>
              <w:ind w:left="0"/>
            </w:pPr>
            <w:r>
              <w:t>(&gt;20 weeks gestation)</w:t>
            </w:r>
          </w:p>
        </w:tc>
        <w:tc>
          <w:tcPr>
            <w:tcW w:w="4248" w:type="dxa"/>
          </w:tcPr>
          <w:p w:rsidR="00AB066F" w:rsidRDefault="00356BD8" w:rsidP="00F21716">
            <w:pPr>
              <w:pStyle w:val="BodyText"/>
              <w:ind w:left="0"/>
            </w:pPr>
            <w:r>
              <w:t>Test indicated.</w:t>
            </w:r>
          </w:p>
          <w:p w:rsidR="00356BD8" w:rsidRDefault="00356BD8" w:rsidP="00356BD8">
            <w:pPr>
              <w:pStyle w:val="BodyText"/>
              <w:ind w:left="0"/>
            </w:pPr>
            <w:r>
              <w:t>Note: Refer to procedure step 16 before interpretation.</w:t>
            </w:r>
          </w:p>
        </w:tc>
      </w:tr>
      <w:tr w:rsidR="000B17F4" w:rsidTr="00356BD8">
        <w:tc>
          <w:tcPr>
            <w:tcW w:w="2300" w:type="dxa"/>
          </w:tcPr>
          <w:p w:rsidR="000B17F4" w:rsidRDefault="000B17F4" w:rsidP="00F21716">
            <w:pPr>
              <w:pStyle w:val="BodyText"/>
              <w:ind w:left="0"/>
            </w:pPr>
            <w:r>
              <w:t>Rh(D) negative</w:t>
            </w:r>
          </w:p>
        </w:tc>
        <w:tc>
          <w:tcPr>
            <w:tcW w:w="2668" w:type="dxa"/>
          </w:tcPr>
          <w:p w:rsidR="000B17F4" w:rsidRDefault="000B17F4" w:rsidP="00F21716">
            <w:pPr>
              <w:pStyle w:val="BodyText"/>
              <w:ind w:left="0"/>
            </w:pPr>
            <w:r>
              <w:t>Weak D positive or partial D positive</w:t>
            </w:r>
          </w:p>
        </w:tc>
        <w:tc>
          <w:tcPr>
            <w:tcW w:w="4248" w:type="dxa"/>
          </w:tcPr>
          <w:p w:rsidR="000B17F4" w:rsidRDefault="000B17F4" w:rsidP="00F21716">
            <w:pPr>
              <w:pStyle w:val="BodyText"/>
              <w:ind w:left="0"/>
            </w:pPr>
            <w:r>
              <w:t xml:space="preserve">Test not valid. </w:t>
            </w:r>
            <w:r w:rsidR="00C17D67">
              <w:t xml:space="preserve"> </w:t>
            </w:r>
            <w:r>
              <w:t>Perform Fetal Hgb (Kleihauer Betke)</w:t>
            </w:r>
          </w:p>
        </w:tc>
      </w:tr>
      <w:tr w:rsidR="00BD6791" w:rsidTr="00356BD8">
        <w:tc>
          <w:tcPr>
            <w:tcW w:w="2300" w:type="dxa"/>
          </w:tcPr>
          <w:p w:rsidR="00BD6791" w:rsidRDefault="00BD6791" w:rsidP="00F21716">
            <w:pPr>
              <w:pStyle w:val="BodyText"/>
              <w:ind w:left="0"/>
            </w:pPr>
            <w:r>
              <w:t>Weak D positive or partial D positive</w:t>
            </w:r>
          </w:p>
        </w:tc>
        <w:tc>
          <w:tcPr>
            <w:tcW w:w="2668" w:type="dxa"/>
          </w:tcPr>
          <w:p w:rsidR="00BD6791" w:rsidRDefault="00BD6791" w:rsidP="00F21716">
            <w:pPr>
              <w:pStyle w:val="BodyText"/>
              <w:ind w:left="0"/>
            </w:pPr>
            <w:r>
              <w:t>Rh(D) negative</w:t>
            </w:r>
          </w:p>
        </w:tc>
        <w:tc>
          <w:tcPr>
            <w:tcW w:w="4248" w:type="dxa"/>
          </w:tcPr>
          <w:p w:rsidR="00BD6791" w:rsidRDefault="00BD6791" w:rsidP="00F21716">
            <w:pPr>
              <w:pStyle w:val="BodyText"/>
              <w:ind w:left="0"/>
            </w:pPr>
            <w:r>
              <w:t>Test not indicated</w:t>
            </w:r>
          </w:p>
        </w:tc>
      </w:tr>
      <w:tr w:rsidR="00BD6791" w:rsidTr="00356BD8">
        <w:tc>
          <w:tcPr>
            <w:tcW w:w="2300" w:type="dxa"/>
          </w:tcPr>
          <w:p w:rsidR="00BD6791" w:rsidRDefault="00BD6791" w:rsidP="00F21716">
            <w:pPr>
              <w:pStyle w:val="BodyText"/>
              <w:ind w:left="0"/>
            </w:pPr>
            <w:r>
              <w:t>Weak D positive or partial D positive</w:t>
            </w:r>
          </w:p>
        </w:tc>
        <w:tc>
          <w:tcPr>
            <w:tcW w:w="2668" w:type="dxa"/>
          </w:tcPr>
          <w:p w:rsidR="00BD6791" w:rsidRDefault="00BD6791" w:rsidP="00F21716">
            <w:pPr>
              <w:pStyle w:val="BodyText"/>
              <w:ind w:left="0"/>
            </w:pPr>
            <w:r>
              <w:t>Rh(D) positive</w:t>
            </w:r>
          </w:p>
        </w:tc>
        <w:tc>
          <w:tcPr>
            <w:tcW w:w="4248" w:type="dxa"/>
          </w:tcPr>
          <w:p w:rsidR="00BD6791" w:rsidRDefault="00BD6791" w:rsidP="00F21716">
            <w:pPr>
              <w:pStyle w:val="BodyText"/>
              <w:ind w:left="0"/>
            </w:pPr>
            <w:r>
              <w:t xml:space="preserve">Test not valid. </w:t>
            </w:r>
            <w:r w:rsidR="00C17D67">
              <w:t xml:space="preserve"> </w:t>
            </w:r>
            <w:r>
              <w:t>Perform Fetal Hgb (Kleihauer Betke)</w:t>
            </w:r>
          </w:p>
        </w:tc>
      </w:tr>
    </w:tbl>
    <w:p w:rsidR="00AE43F6" w:rsidRDefault="00AE43F6" w:rsidP="009921FE">
      <w:pPr>
        <w:pStyle w:val="BodyText"/>
        <w:spacing w:before="0"/>
        <w:ind w:left="0"/>
      </w:pPr>
    </w:p>
    <w:p w:rsidR="0093465B" w:rsidRPr="00196F03" w:rsidRDefault="0017789F" w:rsidP="005D24CF">
      <w:pPr>
        <w:pStyle w:val="Heading1"/>
        <w:keepNext/>
        <w:keepLines/>
        <w:pageBreakBefore/>
      </w:pPr>
      <w:r>
        <w:lastRenderedPageBreak/>
        <w:t>CLIA Complexity</w:t>
      </w:r>
      <w:r w:rsidR="00075AFD">
        <w:t>:</w:t>
      </w:r>
      <w:r w:rsidR="00EE04DD">
        <w:t xml:space="preserve">  </w:t>
      </w:r>
      <w:r w:rsidR="00831463" w:rsidRPr="0092495E">
        <w:rPr>
          <w:b w:val="0"/>
          <w:caps w:val="0"/>
        </w:rPr>
        <w:t>High Complexity</w:t>
      </w:r>
    </w:p>
    <w:p w:rsidR="006D39DE" w:rsidRPr="006D39DE" w:rsidRDefault="0017789F" w:rsidP="00C17D67">
      <w:pPr>
        <w:pStyle w:val="Heading1"/>
      </w:pPr>
      <w:r>
        <w:t>Clinical Utility:</w:t>
      </w:r>
      <w:r w:rsidR="008619F8">
        <w:t xml:space="preserve"> </w:t>
      </w:r>
      <w:r w:rsidR="00014028">
        <w:rPr>
          <w:b w:val="0"/>
          <w:caps w:val="0"/>
        </w:rPr>
        <w:t xml:space="preserve">Determination of the qualitative volume of fetal blood to have entered the maternal circulation during trauma, invasive procedures, or delivery. </w:t>
      </w:r>
      <w:r w:rsidR="00D94158">
        <w:rPr>
          <w:b w:val="0"/>
          <w:caps w:val="0"/>
        </w:rPr>
        <w:t xml:space="preserve">In order to ensure Anti-D </w:t>
      </w:r>
      <w:r w:rsidR="00384654">
        <w:rPr>
          <w:b w:val="0"/>
          <w:caps w:val="0"/>
        </w:rPr>
        <w:t>alloimmunization does not occur in the mother further testing will be performed to determine the dosing of RhIG required</w:t>
      </w:r>
      <w:r w:rsidR="00D94158">
        <w:rPr>
          <w:b w:val="0"/>
          <w:caps w:val="0"/>
        </w:rPr>
        <w:t xml:space="preserve"> for protection against alloimmunization.</w:t>
      </w:r>
    </w:p>
    <w:p w:rsidR="0017789F" w:rsidRDefault="0017789F" w:rsidP="00BC345C">
      <w:pPr>
        <w:pStyle w:val="Heading1"/>
      </w:pPr>
      <w:r>
        <w:t>Principle:</w:t>
      </w:r>
      <w:r w:rsidR="00F21716">
        <w:t xml:space="preserve"> </w:t>
      </w:r>
    </w:p>
    <w:p w:rsidR="00F21716" w:rsidRPr="00293E9D" w:rsidRDefault="00F21716" w:rsidP="00F21716">
      <w:r>
        <w:t xml:space="preserve">The </w:t>
      </w:r>
      <w:r w:rsidR="00C17D67">
        <w:t>Fetom</w:t>
      </w:r>
      <w:r>
        <w:t xml:space="preserve">aternal Hemorrhage screening test is a qualitative test for detection of fetal Rh(D) positive fetal cells in the circulation of Rh(D) negative mothers. </w:t>
      </w:r>
      <w:r w:rsidR="009A5DAC">
        <w:t xml:space="preserve"> A red blood cell suspension from the mother </w:t>
      </w:r>
      <w:r w:rsidR="002B0316">
        <w:t>post-delivery</w:t>
      </w:r>
      <w:r w:rsidR="009A5DAC">
        <w:t xml:space="preserve"> of all products of co</w:t>
      </w:r>
      <w:r w:rsidR="00997523">
        <w:t>nception will be incubated with monoclonal IgM Anti-D antibodies</w:t>
      </w:r>
      <w:r w:rsidR="003B3276">
        <w:t xml:space="preserve">, washed to remove unbound Anti-D, and indicator cells that are </w:t>
      </w:r>
      <w:r w:rsidR="00293E9D">
        <w:t>of the R</w:t>
      </w:r>
      <w:r w:rsidR="00293E9D">
        <w:rPr>
          <w:vertAlign w:val="subscript"/>
        </w:rPr>
        <w:t>2</w:t>
      </w:r>
      <w:r w:rsidR="00293E9D">
        <w:t>r phenotype</w:t>
      </w:r>
      <w:r w:rsidR="00472775">
        <w:t xml:space="preserve"> will be added and examined microscopically for the formation of rosettes around Rh(D) positive fetal cells.</w:t>
      </w:r>
    </w:p>
    <w:p w:rsidR="006D39DE" w:rsidRPr="006D39DE" w:rsidRDefault="0017789F" w:rsidP="00394092">
      <w:pPr>
        <w:pStyle w:val="Heading1"/>
      </w:pPr>
      <w:r>
        <w:t>Specimen Collection</w:t>
      </w:r>
      <w:r w:rsidR="00075AFD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620"/>
        <w:gridCol w:w="1620"/>
        <w:gridCol w:w="3060"/>
      </w:tblGrid>
      <w:tr w:rsidR="005D3686" w:rsidRPr="0015776B" w:rsidTr="00D96FBA">
        <w:tc>
          <w:tcPr>
            <w:tcW w:w="3060" w:type="dxa"/>
            <w:shd w:val="clear" w:color="auto" w:fill="auto"/>
          </w:tcPr>
          <w:p w:rsidR="005D3686" w:rsidRPr="0015776B" w:rsidRDefault="005D3686" w:rsidP="005D3686">
            <w:pPr>
              <w:ind w:left="0"/>
              <w:jc w:val="center"/>
              <w:rPr>
                <w:b/>
              </w:rPr>
            </w:pPr>
            <w:r w:rsidRPr="0015776B">
              <w:rPr>
                <w:b/>
              </w:rPr>
              <w:t>Sample Type</w:t>
            </w:r>
          </w:p>
        </w:tc>
        <w:tc>
          <w:tcPr>
            <w:tcW w:w="1620" w:type="dxa"/>
            <w:shd w:val="clear" w:color="auto" w:fill="auto"/>
          </w:tcPr>
          <w:p w:rsidR="005D3686" w:rsidRPr="0015776B" w:rsidRDefault="005D3686" w:rsidP="005D3686">
            <w:pPr>
              <w:ind w:left="0"/>
              <w:jc w:val="center"/>
              <w:rPr>
                <w:b/>
              </w:rPr>
            </w:pPr>
            <w:r w:rsidRPr="0015776B">
              <w:rPr>
                <w:b/>
              </w:rPr>
              <w:t>Container</w:t>
            </w:r>
          </w:p>
        </w:tc>
        <w:tc>
          <w:tcPr>
            <w:tcW w:w="1620" w:type="dxa"/>
            <w:shd w:val="clear" w:color="auto" w:fill="auto"/>
          </w:tcPr>
          <w:p w:rsidR="005D3686" w:rsidRPr="0015776B" w:rsidRDefault="005D3686" w:rsidP="005D3686">
            <w:pPr>
              <w:ind w:left="0"/>
              <w:jc w:val="center"/>
              <w:rPr>
                <w:b/>
              </w:rPr>
            </w:pPr>
            <w:r w:rsidRPr="0015776B">
              <w:rPr>
                <w:b/>
              </w:rPr>
              <w:t>Minimum Volume</w:t>
            </w:r>
          </w:p>
        </w:tc>
        <w:tc>
          <w:tcPr>
            <w:tcW w:w="3060" w:type="dxa"/>
            <w:shd w:val="clear" w:color="auto" w:fill="auto"/>
          </w:tcPr>
          <w:p w:rsidR="005D3686" w:rsidRPr="0015776B" w:rsidRDefault="005D3686" w:rsidP="00B0677E">
            <w:pPr>
              <w:ind w:left="0"/>
              <w:jc w:val="center"/>
              <w:rPr>
                <w:b/>
              </w:rPr>
            </w:pPr>
            <w:r w:rsidRPr="0015776B">
              <w:rPr>
                <w:b/>
              </w:rPr>
              <w:t>Stability</w:t>
            </w:r>
          </w:p>
          <w:p w:rsidR="005D3686" w:rsidRPr="0015776B" w:rsidRDefault="00394092" w:rsidP="00B0677E">
            <w:pPr>
              <w:ind w:left="0"/>
              <w:jc w:val="center"/>
              <w:rPr>
                <w:b/>
              </w:rPr>
            </w:pPr>
            <w:r w:rsidRPr="0015776B">
              <w:rPr>
                <w:b/>
              </w:rPr>
              <w:t>Max Storage</w:t>
            </w:r>
            <w:r w:rsidR="005D3686" w:rsidRPr="0015776B">
              <w:rPr>
                <w:b/>
              </w:rPr>
              <w:t xml:space="preserve"> Temp</w:t>
            </w:r>
          </w:p>
        </w:tc>
      </w:tr>
      <w:tr w:rsidR="005D3686" w:rsidRPr="005D3686" w:rsidTr="00D96FBA">
        <w:trPr>
          <w:trHeight w:val="607"/>
        </w:trPr>
        <w:tc>
          <w:tcPr>
            <w:tcW w:w="3060" w:type="dxa"/>
            <w:shd w:val="clear" w:color="auto" w:fill="auto"/>
          </w:tcPr>
          <w:p w:rsidR="005D3686" w:rsidRPr="005D3686" w:rsidRDefault="00B0677E" w:rsidP="00B15C45">
            <w:pPr>
              <w:ind w:left="0"/>
              <w:jc w:val="center"/>
            </w:pPr>
            <w:r>
              <w:t xml:space="preserve">Whole Blood collected from the mother </w:t>
            </w:r>
            <w:r w:rsidR="00B15C45">
              <w:t xml:space="preserve">preferably &gt;1 hour </w:t>
            </w:r>
            <w:r>
              <w:t>post delivery</w:t>
            </w:r>
          </w:p>
        </w:tc>
        <w:tc>
          <w:tcPr>
            <w:tcW w:w="1620" w:type="dxa"/>
            <w:shd w:val="clear" w:color="auto" w:fill="auto"/>
          </w:tcPr>
          <w:p w:rsidR="005D3686" w:rsidRPr="005D3686" w:rsidRDefault="00B0677E" w:rsidP="005D3686">
            <w:pPr>
              <w:ind w:left="0"/>
              <w:jc w:val="center"/>
            </w:pPr>
            <w:r>
              <w:t>EDTA</w:t>
            </w:r>
          </w:p>
        </w:tc>
        <w:tc>
          <w:tcPr>
            <w:tcW w:w="1620" w:type="dxa"/>
            <w:shd w:val="clear" w:color="auto" w:fill="auto"/>
          </w:tcPr>
          <w:p w:rsidR="005D3686" w:rsidRPr="005D3686" w:rsidRDefault="00B0677E" w:rsidP="005D3686">
            <w:pPr>
              <w:ind w:left="0"/>
              <w:jc w:val="center"/>
            </w:pPr>
            <w:r>
              <w:t xml:space="preserve">0.5 mL </w:t>
            </w:r>
          </w:p>
        </w:tc>
        <w:tc>
          <w:tcPr>
            <w:tcW w:w="3060" w:type="dxa"/>
            <w:shd w:val="clear" w:color="auto" w:fill="auto"/>
          </w:tcPr>
          <w:p w:rsidR="005D3686" w:rsidRDefault="00B0677E" w:rsidP="00B0677E">
            <w:pPr>
              <w:ind w:left="0"/>
              <w:jc w:val="center"/>
            </w:pPr>
            <w:r>
              <w:t>48 hours</w:t>
            </w:r>
          </w:p>
          <w:p w:rsidR="00B0677E" w:rsidRPr="005D3686" w:rsidRDefault="00B0677E" w:rsidP="00B0677E">
            <w:pPr>
              <w:ind w:left="0"/>
              <w:jc w:val="center"/>
            </w:pPr>
            <w:r>
              <w:t>(1-10</w:t>
            </w:r>
            <w:r>
              <w:sym w:font="Symbol" w:char="F0B0"/>
            </w:r>
            <w:r>
              <w:t>C)</w:t>
            </w:r>
          </w:p>
        </w:tc>
      </w:tr>
      <w:tr w:rsidR="009C7837" w:rsidRPr="005D3686" w:rsidTr="00D96FBA">
        <w:trPr>
          <w:trHeight w:val="607"/>
        </w:trPr>
        <w:tc>
          <w:tcPr>
            <w:tcW w:w="3060" w:type="dxa"/>
            <w:shd w:val="clear" w:color="auto" w:fill="auto"/>
          </w:tcPr>
          <w:p w:rsidR="009C7837" w:rsidRDefault="009C7837" w:rsidP="00B15C45">
            <w:pPr>
              <w:ind w:left="0"/>
              <w:jc w:val="center"/>
            </w:pPr>
            <w:r>
              <w:t>Whole Blood collected from the mother that is &gt;20 weeks gestation and has experienced abdominal trauma or miscarriage</w:t>
            </w:r>
          </w:p>
        </w:tc>
        <w:tc>
          <w:tcPr>
            <w:tcW w:w="1620" w:type="dxa"/>
            <w:shd w:val="clear" w:color="auto" w:fill="auto"/>
          </w:tcPr>
          <w:p w:rsidR="009C7837" w:rsidRDefault="009C7837" w:rsidP="005D3686">
            <w:pPr>
              <w:ind w:left="0"/>
              <w:jc w:val="center"/>
            </w:pPr>
            <w:proofErr w:type="spellStart"/>
            <w:r w:rsidRPr="009C7837">
              <w:t>EDTA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C7837" w:rsidRDefault="009C7837" w:rsidP="005D3686">
            <w:pPr>
              <w:ind w:left="0"/>
              <w:jc w:val="center"/>
            </w:pPr>
            <w:r>
              <w:t>0.5 mL</w:t>
            </w:r>
          </w:p>
        </w:tc>
        <w:tc>
          <w:tcPr>
            <w:tcW w:w="3060" w:type="dxa"/>
            <w:shd w:val="clear" w:color="auto" w:fill="auto"/>
          </w:tcPr>
          <w:p w:rsidR="009C7837" w:rsidRDefault="009C7837" w:rsidP="009C7837">
            <w:pPr>
              <w:ind w:left="0"/>
              <w:jc w:val="center"/>
            </w:pPr>
            <w:r>
              <w:t>48 hours</w:t>
            </w:r>
          </w:p>
          <w:p w:rsidR="009C7837" w:rsidRDefault="009C7837" w:rsidP="009C7837">
            <w:pPr>
              <w:ind w:left="0"/>
              <w:jc w:val="center"/>
            </w:pPr>
            <w:r>
              <w:t>(1-10</w:t>
            </w:r>
            <w:r>
              <w:sym w:font="Symbol" w:char="F0B0"/>
            </w:r>
            <w:r>
              <w:t>C)</w:t>
            </w:r>
          </w:p>
        </w:tc>
      </w:tr>
    </w:tbl>
    <w:p w:rsidR="005D3686" w:rsidRPr="005D3686" w:rsidRDefault="005D3686" w:rsidP="009921FE">
      <w:pPr>
        <w:pStyle w:val="BodyText"/>
        <w:spacing w:before="0"/>
        <w:ind w:left="0"/>
      </w:pPr>
    </w:p>
    <w:p w:rsidR="006D39DE" w:rsidRPr="006D39DE" w:rsidRDefault="0017789F" w:rsidP="00394092">
      <w:pPr>
        <w:pStyle w:val="Heading1"/>
      </w:pPr>
      <w:r>
        <w:t>Materials: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030"/>
        <w:gridCol w:w="3114"/>
        <w:gridCol w:w="3216"/>
      </w:tblGrid>
      <w:tr w:rsidR="005D3686" w:rsidRPr="00445C4B" w:rsidTr="00D96FBA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6" w:rsidRPr="00445C4B" w:rsidRDefault="00445C4B" w:rsidP="005D3686">
            <w:pPr>
              <w:widowControl w:val="0"/>
              <w:tabs>
                <w:tab w:val="clear" w:pos="7320"/>
              </w:tabs>
              <w:ind w:left="0"/>
              <w:rPr>
                <w:rFonts w:cs="Arial"/>
                <w:b/>
                <w:u w:val="single"/>
              </w:rPr>
            </w:pPr>
            <w:r w:rsidRPr="00445C4B">
              <w:rPr>
                <w:rFonts w:cs="Arial"/>
                <w:b/>
                <w:u w:val="single"/>
              </w:rPr>
              <w:t>Reagents</w:t>
            </w:r>
          </w:p>
          <w:p w:rsidR="005D3686" w:rsidRPr="00445C4B" w:rsidRDefault="00B0677E" w:rsidP="005D3686">
            <w:pPr>
              <w:widowControl w:val="0"/>
              <w:numPr>
                <w:ilvl w:val="0"/>
                <w:numId w:val="43"/>
              </w:numPr>
              <w:tabs>
                <w:tab w:val="clear" w:pos="7320"/>
              </w:tabs>
              <w:ind w:left="180" w:hanging="180"/>
              <w:rPr>
                <w:rFonts w:cs="Arial"/>
              </w:rPr>
            </w:pPr>
            <w:r w:rsidRPr="00445C4B">
              <w:rPr>
                <w:rFonts w:cs="Arial"/>
              </w:rPr>
              <w:t>Immucor, Inc. FMH RapidScreen Kit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86" w:rsidRPr="00445C4B" w:rsidRDefault="005D3686" w:rsidP="005D3686">
            <w:pPr>
              <w:widowControl w:val="0"/>
              <w:tabs>
                <w:tab w:val="clear" w:pos="7320"/>
              </w:tabs>
              <w:ind w:left="0"/>
              <w:rPr>
                <w:rFonts w:cs="Arial"/>
                <w:b/>
                <w:u w:val="single"/>
              </w:rPr>
            </w:pPr>
            <w:r w:rsidRPr="00445C4B">
              <w:rPr>
                <w:rFonts w:cs="Arial"/>
                <w:b/>
                <w:u w:val="single"/>
              </w:rPr>
              <w:t>Supplies / Materials</w:t>
            </w:r>
          </w:p>
          <w:p w:rsidR="005D3686" w:rsidRPr="00445C4B" w:rsidRDefault="006B791F" w:rsidP="005D3686">
            <w:pPr>
              <w:numPr>
                <w:ilvl w:val="0"/>
                <w:numId w:val="42"/>
              </w:numPr>
              <w:tabs>
                <w:tab w:val="clear" w:pos="7320"/>
              </w:tabs>
              <w:ind w:left="224" w:hanging="224"/>
              <w:outlineLvl w:val="0"/>
              <w:rPr>
                <w:rFonts w:cs="Arial"/>
              </w:rPr>
            </w:pPr>
            <w:r w:rsidRPr="00445C4B">
              <w:rPr>
                <w:rFonts w:cs="Arial"/>
              </w:rPr>
              <w:t>12 x 75</w:t>
            </w:r>
            <w:r>
              <w:rPr>
                <w:rFonts w:cs="Arial"/>
              </w:rPr>
              <w:t xml:space="preserve"> mm test tubes </w:t>
            </w:r>
          </w:p>
          <w:p w:rsidR="00B0677E" w:rsidRPr="00445C4B" w:rsidRDefault="00B0677E" w:rsidP="005D3686">
            <w:pPr>
              <w:numPr>
                <w:ilvl w:val="0"/>
                <w:numId w:val="42"/>
              </w:numPr>
              <w:tabs>
                <w:tab w:val="clear" w:pos="7320"/>
              </w:tabs>
              <w:ind w:left="224" w:hanging="224"/>
              <w:outlineLvl w:val="0"/>
              <w:rPr>
                <w:rFonts w:cs="Arial"/>
              </w:rPr>
            </w:pPr>
            <w:r w:rsidRPr="00445C4B">
              <w:rPr>
                <w:rFonts w:cs="Arial"/>
              </w:rPr>
              <w:t>Isotonic saline (0.9%)</w:t>
            </w:r>
          </w:p>
          <w:p w:rsidR="00B0677E" w:rsidRPr="00445C4B" w:rsidRDefault="00B0677E" w:rsidP="00B0677E">
            <w:pPr>
              <w:numPr>
                <w:ilvl w:val="0"/>
                <w:numId w:val="42"/>
              </w:numPr>
              <w:tabs>
                <w:tab w:val="clear" w:pos="7320"/>
              </w:tabs>
              <w:ind w:left="224" w:hanging="224"/>
              <w:outlineLvl w:val="0"/>
              <w:rPr>
                <w:rFonts w:cs="Arial"/>
              </w:rPr>
            </w:pPr>
            <w:r w:rsidRPr="00445C4B">
              <w:rPr>
                <w:rFonts w:cs="Arial"/>
              </w:rPr>
              <w:t>Glass slides</w:t>
            </w:r>
          </w:p>
          <w:p w:rsidR="00B0677E" w:rsidRPr="00445C4B" w:rsidRDefault="00B0677E" w:rsidP="00B0677E">
            <w:pPr>
              <w:numPr>
                <w:ilvl w:val="0"/>
                <w:numId w:val="42"/>
              </w:numPr>
              <w:tabs>
                <w:tab w:val="clear" w:pos="7320"/>
              </w:tabs>
              <w:ind w:left="224" w:hanging="224"/>
              <w:outlineLvl w:val="0"/>
              <w:rPr>
                <w:rFonts w:cs="Arial"/>
              </w:rPr>
            </w:pPr>
            <w:r w:rsidRPr="00445C4B">
              <w:rPr>
                <w:rFonts w:cs="Arial"/>
              </w:rPr>
              <w:t>Gauze</w:t>
            </w:r>
          </w:p>
          <w:p w:rsidR="00B0677E" w:rsidRPr="006B791F" w:rsidRDefault="00B0677E" w:rsidP="00482FA1">
            <w:pPr>
              <w:numPr>
                <w:ilvl w:val="0"/>
                <w:numId w:val="42"/>
              </w:numPr>
              <w:tabs>
                <w:tab w:val="clear" w:pos="7320"/>
              </w:tabs>
              <w:spacing w:after="120"/>
              <w:ind w:left="230" w:hanging="230"/>
              <w:outlineLvl w:val="0"/>
              <w:rPr>
                <w:rFonts w:cs="Arial"/>
              </w:rPr>
            </w:pPr>
            <w:r w:rsidRPr="00445C4B">
              <w:rPr>
                <w:rFonts w:cs="Arial"/>
              </w:rPr>
              <w:t>Pipettes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86" w:rsidRPr="00445C4B" w:rsidRDefault="005D3686" w:rsidP="005D3686">
            <w:pPr>
              <w:widowControl w:val="0"/>
              <w:tabs>
                <w:tab w:val="clear" w:pos="7320"/>
              </w:tabs>
              <w:ind w:left="0"/>
              <w:rPr>
                <w:rFonts w:cs="Arial"/>
                <w:b/>
                <w:u w:val="single"/>
              </w:rPr>
            </w:pPr>
            <w:r w:rsidRPr="00445C4B">
              <w:rPr>
                <w:rFonts w:cs="Arial"/>
                <w:b/>
                <w:u w:val="single"/>
              </w:rPr>
              <w:t>Equipment</w:t>
            </w:r>
          </w:p>
          <w:p w:rsidR="005D3686" w:rsidRPr="00445C4B" w:rsidRDefault="00B0677E" w:rsidP="005D3686">
            <w:pPr>
              <w:widowControl w:val="0"/>
              <w:numPr>
                <w:ilvl w:val="0"/>
                <w:numId w:val="42"/>
              </w:numPr>
              <w:tabs>
                <w:tab w:val="clear" w:pos="7320"/>
              </w:tabs>
              <w:ind w:left="288" w:hanging="144"/>
              <w:rPr>
                <w:rFonts w:cs="Arial"/>
              </w:rPr>
            </w:pPr>
            <w:r w:rsidRPr="00445C4B">
              <w:rPr>
                <w:rFonts w:cs="Arial"/>
              </w:rPr>
              <w:t>Cell Washer</w:t>
            </w:r>
          </w:p>
          <w:p w:rsidR="00B0677E" w:rsidRPr="00445C4B" w:rsidRDefault="00B0677E" w:rsidP="005D3686">
            <w:pPr>
              <w:widowControl w:val="0"/>
              <w:numPr>
                <w:ilvl w:val="0"/>
                <w:numId w:val="42"/>
              </w:numPr>
              <w:tabs>
                <w:tab w:val="clear" w:pos="7320"/>
              </w:tabs>
              <w:ind w:left="288" w:hanging="144"/>
              <w:rPr>
                <w:rFonts w:cs="Arial"/>
              </w:rPr>
            </w:pPr>
            <w:r w:rsidRPr="00445C4B">
              <w:rPr>
                <w:rFonts w:cs="Arial"/>
              </w:rPr>
              <w:t>Calibrated centrifuge</w:t>
            </w:r>
          </w:p>
          <w:p w:rsidR="00B0677E" w:rsidRPr="006B791F" w:rsidRDefault="00B0677E" w:rsidP="005D3686">
            <w:pPr>
              <w:widowControl w:val="0"/>
              <w:numPr>
                <w:ilvl w:val="0"/>
                <w:numId w:val="42"/>
              </w:numPr>
              <w:tabs>
                <w:tab w:val="clear" w:pos="7320"/>
              </w:tabs>
              <w:ind w:left="288" w:hanging="144"/>
              <w:rPr>
                <w:rFonts w:cs="Arial"/>
                <w:b/>
              </w:rPr>
            </w:pPr>
            <w:r w:rsidRPr="00445C4B">
              <w:rPr>
                <w:rFonts w:cs="Arial"/>
              </w:rPr>
              <w:t>Microscope</w:t>
            </w:r>
          </w:p>
          <w:p w:rsidR="006B791F" w:rsidRPr="00445C4B" w:rsidRDefault="006B791F" w:rsidP="005D3686">
            <w:pPr>
              <w:widowControl w:val="0"/>
              <w:numPr>
                <w:ilvl w:val="0"/>
                <w:numId w:val="42"/>
              </w:numPr>
              <w:tabs>
                <w:tab w:val="clear" w:pos="7320"/>
              </w:tabs>
              <w:ind w:left="288" w:hanging="144"/>
              <w:rPr>
                <w:rFonts w:cs="Arial"/>
                <w:b/>
              </w:rPr>
            </w:pPr>
            <w:r w:rsidRPr="00445C4B">
              <w:rPr>
                <w:rFonts w:cs="Arial"/>
              </w:rPr>
              <w:t>Timer</w:t>
            </w:r>
          </w:p>
        </w:tc>
      </w:tr>
    </w:tbl>
    <w:p w:rsidR="005D3686" w:rsidRPr="005D3686" w:rsidRDefault="005D3686" w:rsidP="009921FE">
      <w:pPr>
        <w:pStyle w:val="BodyText"/>
        <w:spacing w:before="0"/>
        <w:ind w:left="0"/>
      </w:pPr>
    </w:p>
    <w:p w:rsidR="005D3686" w:rsidRDefault="005D3686" w:rsidP="005D3686">
      <w:pPr>
        <w:pStyle w:val="Heading1"/>
      </w:pPr>
      <w:r>
        <w:t>Quality Control</w:t>
      </w:r>
    </w:p>
    <w:p w:rsidR="00B0677E" w:rsidRDefault="006D39DE" w:rsidP="001871C0">
      <w:pPr>
        <w:pStyle w:val="Heading2"/>
      </w:pPr>
      <w:r>
        <w:t>Quality Control Material</w:t>
      </w:r>
      <w:r w:rsidR="00B0677E">
        <w:t xml:space="preserve">: </w:t>
      </w:r>
      <w:r w:rsidR="001871C0" w:rsidRPr="001871C0">
        <w:t>Positive and negative controls are included in the FMH RapidScreen kit.</w:t>
      </w:r>
    </w:p>
    <w:p w:rsidR="003929D0" w:rsidRPr="006D39DE" w:rsidRDefault="006D39DE" w:rsidP="009921FE">
      <w:pPr>
        <w:pStyle w:val="Heading2"/>
        <w:spacing w:after="160"/>
      </w:pPr>
      <w:r>
        <w:t>Frequency</w:t>
      </w:r>
      <w:r w:rsidR="00B0677E">
        <w:t xml:space="preserve">: </w:t>
      </w:r>
      <w:r w:rsidR="001871C0" w:rsidRPr="001871C0">
        <w:t>Positive and negative controls must be performed with each batch of tests.</w:t>
      </w:r>
    </w:p>
    <w:p w:rsidR="005D3686" w:rsidRDefault="005D3686" w:rsidP="005D3686">
      <w:pPr>
        <w:pStyle w:val="Heading1"/>
      </w:pPr>
      <w:r>
        <w:t>Procedure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"/>
        <w:gridCol w:w="2717"/>
        <w:gridCol w:w="3003"/>
        <w:gridCol w:w="2694"/>
      </w:tblGrid>
      <w:tr w:rsidR="006478C1" w:rsidRPr="0015776B" w:rsidTr="00D96FBA">
        <w:tc>
          <w:tcPr>
            <w:tcW w:w="946" w:type="dxa"/>
            <w:vAlign w:val="center"/>
          </w:tcPr>
          <w:p w:rsidR="002A6D2D" w:rsidRPr="0015776B" w:rsidRDefault="002A6D2D" w:rsidP="00D96FBA">
            <w:pPr>
              <w:pStyle w:val="BodyText"/>
              <w:ind w:left="0"/>
              <w:jc w:val="center"/>
              <w:rPr>
                <w:rFonts w:cs="Arial"/>
                <w:b/>
                <w:szCs w:val="22"/>
              </w:rPr>
            </w:pPr>
            <w:r w:rsidRPr="0015776B">
              <w:rPr>
                <w:rFonts w:cs="Arial"/>
                <w:b/>
                <w:szCs w:val="22"/>
              </w:rPr>
              <w:t>Step</w:t>
            </w:r>
          </w:p>
        </w:tc>
        <w:tc>
          <w:tcPr>
            <w:tcW w:w="5720" w:type="dxa"/>
            <w:gridSpan w:val="2"/>
            <w:vAlign w:val="center"/>
          </w:tcPr>
          <w:p w:rsidR="002A6D2D" w:rsidRPr="0015776B" w:rsidRDefault="002A6D2D" w:rsidP="00D96FBA">
            <w:pPr>
              <w:pStyle w:val="BodyText"/>
              <w:ind w:left="0"/>
              <w:jc w:val="center"/>
              <w:rPr>
                <w:rFonts w:cs="Arial"/>
                <w:b/>
                <w:szCs w:val="22"/>
              </w:rPr>
            </w:pPr>
            <w:r w:rsidRPr="0015776B">
              <w:rPr>
                <w:rFonts w:cs="Arial"/>
                <w:b/>
                <w:szCs w:val="22"/>
              </w:rPr>
              <w:t>Action</w:t>
            </w:r>
          </w:p>
        </w:tc>
        <w:tc>
          <w:tcPr>
            <w:tcW w:w="2694" w:type="dxa"/>
            <w:vAlign w:val="center"/>
          </w:tcPr>
          <w:p w:rsidR="002A6D2D" w:rsidRPr="0015776B" w:rsidRDefault="002A6D2D" w:rsidP="00D96FBA">
            <w:pPr>
              <w:pStyle w:val="BodyText"/>
              <w:ind w:left="0"/>
              <w:jc w:val="center"/>
              <w:rPr>
                <w:rFonts w:cs="Arial"/>
                <w:b/>
                <w:szCs w:val="22"/>
              </w:rPr>
            </w:pPr>
            <w:r w:rsidRPr="0015776B">
              <w:rPr>
                <w:rFonts w:cs="Arial"/>
                <w:b/>
                <w:szCs w:val="22"/>
              </w:rPr>
              <w:t>Related Documents</w:t>
            </w:r>
          </w:p>
        </w:tc>
      </w:tr>
      <w:tr w:rsidR="006478C1" w:rsidRPr="006478C1" w:rsidTr="00D96FBA">
        <w:tc>
          <w:tcPr>
            <w:tcW w:w="946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1</w:t>
            </w:r>
          </w:p>
        </w:tc>
        <w:tc>
          <w:tcPr>
            <w:tcW w:w="5720" w:type="dxa"/>
            <w:gridSpan w:val="2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Bring all reagents to room temperature</w:t>
            </w:r>
          </w:p>
        </w:tc>
        <w:tc>
          <w:tcPr>
            <w:tcW w:w="2694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2</w:t>
            </w:r>
          </w:p>
        </w:tc>
        <w:tc>
          <w:tcPr>
            <w:tcW w:w="5720" w:type="dxa"/>
            <w:gridSpan w:val="2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Check the identification on the sample and resolve any discrepancies before proceeding.</w:t>
            </w:r>
          </w:p>
        </w:tc>
        <w:tc>
          <w:tcPr>
            <w:tcW w:w="2694" w:type="dxa"/>
          </w:tcPr>
          <w:p w:rsidR="002A6D2D" w:rsidRPr="006478C1" w:rsidRDefault="00292A01" w:rsidP="005E00C7">
            <w:pPr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7540.BB.CC.121 Evaluating Patient Samples and Request Forms</w:t>
            </w:r>
          </w:p>
        </w:tc>
      </w:tr>
      <w:tr w:rsidR="006478C1" w:rsidRPr="006478C1" w:rsidTr="00D96FBA">
        <w:tc>
          <w:tcPr>
            <w:tcW w:w="946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lastRenderedPageBreak/>
              <w:t>3</w:t>
            </w:r>
          </w:p>
        </w:tc>
        <w:tc>
          <w:tcPr>
            <w:tcW w:w="5720" w:type="dxa"/>
            <w:gridSpan w:val="2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Prepare a once washed 2-4% suspension of well mixed maternal red blood cells</w:t>
            </w:r>
          </w:p>
        </w:tc>
        <w:tc>
          <w:tcPr>
            <w:tcW w:w="2694" w:type="dxa"/>
          </w:tcPr>
          <w:p w:rsidR="002A6D2D" w:rsidRPr="006478C1" w:rsidRDefault="00012B6D" w:rsidP="005E00C7">
            <w:pPr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7540.BB.CC.101 3%-5% Red Cell Suspension Preparation</w:t>
            </w:r>
          </w:p>
        </w:tc>
      </w:tr>
      <w:tr w:rsidR="006478C1" w:rsidRPr="006478C1" w:rsidTr="00D96FBA">
        <w:tc>
          <w:tcPr>
            <w:tcW w:w="946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4</w:t>
            </w:r>
          </w:p>
        </w:tc>
        <w:tc>
          <w:tcPr>
            <w:tcW w:w="5720" w:type="dxa"/>
            <w:gridSpan w:val="2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Properly label 12 x 75 mm test tubes for quality control (positive and negative) and patient(s).</w:t>
            </w:r>
          </w:p>
        </w:tc>
        <w:tc>
          <w:tcPr>
            <w:tcW w:w="2694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 xml:space="preserve">5 </w:t>
            </w:r>
          </w:p>
        </w:tc>
        <w:tc>
          <w:tcPr>
            <w:tcW w:w="5720" w:type="dxa"/>
            <w:gridSpan w:val="2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Add one drop of the Anti-D reagent included in the kit</w:t>
            </w:r>
          </w:p>
        </w:tc>
        <w:tc>
          <w:tcPr>
            <w:tcW w:w="2694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 xml:space="preserve">6 </w:t>
            </w:r>
          </w:p>
        </w:tc>
        <w:tc>
          <w:tcPr>
            <w:tcW w:w="5720" w:type="dxa"/>
            <w:gridSpan w:val="2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Add one drop of the appropriate well mixed red blood cell suspension to the properly labeled tube.</w:t>
            </w:r>
          </w:p>
        </w:tc>
        <w:tc>
          <w:tcPr>
            <w:tcW w:w="2694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7</w:t>
            </w:r>
          </w:p>
        </w:tc>
        <w:tc>
          <w:tcPr>
            <w:tcW w:w="5720" w:type="dxa"/>
            <w:gridSpan w:val="2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Mix well and incubate for 5 minutes (± 1 minute) at room temperature (18</w:t>
            </w:r>
            <w:r w:rsidRPr="006478C1">
              <w:rPr>
                <w:rFonts w:cs="Arial"/>
                <w:szCs w:val="22"/>
              </w:rPr>
              <w:sym w:font="Symbol" w:char="F0B0"/>
            </w:r>
            <w:r w:rsidRPr="006478C1">
              <w:rPr>
                <w:rFonts w:cs="Arial"/>
                <w:szCs w:val="22"/>
              </w:rPr>
              <w:t>C - 30</w:t>
            </w:r>
            <w:r w:rsidRPr="006478C1">
              <w:rPr>
                <w:rFonts w:cs="Arial"/>
                <w:szCs w:val="22"/>
              </w:rPr>
              <w:sym w:font="Symbol" w:char="F0B0"/>
            </w:r>
            <w:r w:rsidRPr="006478C1">
              <w:rPr>
                <w:rFonts w:cs="Arial"/>
                <w:szCs w:val="22"/>
              </w:rPr>
              <w:t>C)</w:t>
            </w:r>
          </w:p>
        </w:tc>
        <w:tc>
          <w:tcPr>
            <w:tcW w:w="2694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8</w:t>
            </w:r>
          </w:p>
        </w:tc>
        <w:tc>
          <w:tcPr>
            <w:tcW w:w="5720" w:type="dxa"/>
            <w:gridSpan w:val="2"/>
          </w:tcPr>
          <w:p w:rsidR="002A6D2D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Wash cells four times with saline</w:t>
            </w:r>
          </w:p>
        </w:tc>
        <w:tc>
          <w:tcPr>
            <w:tcW w:w="2694" w:type="dxa"/>
          </w:tcPr>
          <w:p w:rsidR="002A6D2D" w:rsidRPr="006478C1" w:rsidRDefault="002A6D2D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9</w:t>
            </w:r>
          </w:p>
        </w:tc>
        <w:tc>
          <w:tcPr>
            <w:tcW w:w="5720" w:type="dxa"/>
            <w:gridSpan w:val="2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Decant saline completely after the last wash</w:t>
            </w:r>
          </w:p>
        </w:tc>
        <w:tc>
          <w:tcPr>
            <w:tcW w:w="2694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10</w:t>
            </w:r>
          </w:p>
        </w:tc>
        <w:tc>
          <w:tcPr>
            <w:tcW w:w="5720" w:type="dxa"/>
            <w:gridSpan w:val="2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Add one drop of Indicator cells to each tube and mix well</w:t>
            </w:r>
          </w:p>
        </w:tc>
        <w:tc>
          <w:tcPr>
            <w:tcW w:w="2694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11</w:t>
            </w:r>
          </w:p>
        </w:tc>
        <w:tc>
          <w:tcPr>
            <w:tcW w:w="5720" w:type="dxa"/>
            <w:gridSpan w:val="2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Centrifuge at saline setting</w:t>
            </w:r>
          </w:p>
        </w:tc>
        <w:tc>
          <w:tcPr>
            <w:tcW w:w="2694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12</w:t>
            </w:r>
          </w:p>
        </w:tc>
        <w:tc>
          <w:tcPr>
            <w:tcW w:w="5720" w:type="dxa"/>
            <w:gridSpan w:val="2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Gently resuspend cell button</w:t>
            </w:r>
          </w:p>
        </w:tc>
        <w:tc>
          <w:tcPr>
            <w:tcW w:w="2694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13</w:t>
            </w:r>
          </w:p>
        </w:tc>
        <w:tc>
          <w:tcPr>
            <w:tcW w:w="5720" w:type="dxa"/>
            <w:gridSpan w:val="2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 xml:space="preserve">Examine under a microscope using low power magnification. </w:t>
            </w:r>
          </w:p>
          <w:p w:rsidR="00A70742" w:rsidRPr="006478C1" w:rsidRDefault="002B0316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 xml:space="preserve">Note: Examination under the microscope may be performed in the tube or on a microscope slide. </w:t>
            </w:r>
            <w:r>
              <w:rPr>
                <w:rFonts w:cs="Arial"/>
                <w:szCs w:val="22"/>
              </w:rPr>
              <w:t xml:space="preserve"> </w:t>
            </w:r>
            <w:r w:rsidR="00A70742" w:rsidRPr="006478C1">
              <w:rPr>
                <w:rFonts w:cs="Arial"/>
                <w:szCs w:val="22"/>
              </w:rPr>
              <w:t>If clumps are seen on the tube, the contents must be transferred to a slide so that number of clumps can be counted.</w:t>
            </w:r>
          </w:p>
        </w:tc>
        <w:tc>
          <w:tcPr>
            <w:tcW w:w="2694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c>
          <w:tcPr>
            <w:tcW w:w="946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14</w:t>
            </w:r>
          </w:p>
        </w:tc>
        <w:tc>
          <w:tcPr>
            <w:tcW w:w="5720" w:type="dxa"/>
            <w:gridSpan w:val="2"/>
          </w:tcPr>
          <w:p w:rsidR="00A70742" w:rsidRPr="006478C1" w:rsidRDefault="00A70742" w:rsidP="00A70742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Count at least 5 separate fields and record the total number of rosettes observed.</w:t>
            </w:r>
          </w:p>
        </w:tc>
        <w:tc>
          <w:tcPr>
            <w:tcW w:w="2694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rPr>
          <w:trHeight w:val="165"/>
        </w:trPr>
        <w:tc>
          <w:tcPr>
            <w:tcW w:w="946" w:type="dxa"/>
            <w:vMerge w:val="restart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15</w:t>
            </w:r>
          </w:p>
        </w:tc>
        <w:tc>
          <w:tcPr>
            <w:tcW w:w="2717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If</w:t>
            </w:r>
          </w:p>
        </w:tc>
        <w:tc>
          <w:tcPr>
            <w:tcW w:w="3003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Then</w:t>
            </w:r>
          </w:p>
        </w:tc>
        <w:tc>
          <w:tcPr>
            <w:tcW w:w="2694" w:type="dxa"/>
            <w:vMerge w:val="restart"/>
          </w:tcPr>
          <w:p w:rsidR="00A70742" w:rsidRPr="006478C1" w:rsidRDefault="008E508F" w:rsidP="002A6D2D">
            <w:pPr>
              <w:pStyle w:val="BodyText"/>
              <w:ind w:left="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7540.BB.CC.116</w:t>
            </w:r>
            <w:proofErr w:type="spellEnd"/>
            <w:r>
              <w:rPr>
                <w:rFonts w:cs="Arial"/>
                <w:szCs w:val="22"/>
              </w:rPr>
              <w:t xml:space="preserve"> Direct </w:t>
            </w:r>
            <w:proofErr w:type="spellStart"/>
            <w:r>
              <w:rPr>
                <w:rFonts w:cs="Arial"/>
                <w:szCs w:val="22"/>
              </w:rPr>
              <w:t>Antiglobulin</w:t>
            </w:r>
            <w:proofErr w:type="spellEnd"/>
            <w:r>
              <w:rPr>
                <w:rFonts w:cs="Arial"/>
                <w:szCs w:val="22"/>
              </w:rPr>
              <w:t xml:space="preserve"> Test (DAT) by Tube Testing</w:t>
            </w:r>
          </w:p>
        </w:tc>
      </w:tr>
      <w:tr w:rsidR="006478C1" w:rsidRPr="006478C1" w:rsidTr="00D96FBA">
        <w:trPr>
          <w:trHeight w:val="165"/>
        </w:trPr>
        <w:tc>
          <w:tcPr>
            <w:tcW w:w="946" w:type="dxa"/>
            <w:vMerge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  <w:tc>
          <w:tcPr>
            <w:tcW w:w="2717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≤ 4 rosettes observed</w:t>
            </w:r>
          </w:p>
        </w:tc>
        <w:tc>
          <w:tcPr>
            <w:tcW w:w="3003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Test is negative</w:t>
            </w:r>
          </w:p>
        </w:tc>
        <w:tc>
          <w:tcPr>
            <w:tcW w:w="2694" w:type="dxa"/>
            <w:vMerge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6478C1" w:rsidRPr="006478C1" w:rsidTr="00D96FBA">
        <w:trPr>
          <w:trHeight w:val="165"/>
        </w:trPr>
        <w:tc>
          <w:tcPr>
            <w:tcW w:w="946" w:type="dxa"/>
            <w:vMerge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  <w:tc>
          <w:tcPr>
            <w:tcW w:w="2717" w:type="dxa"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>≥ 5 rosettes observed</w:t>
            </w:r>
          </w:p>
        </w:tc>
        <w:tc>
          <w:tcPr>
            <w:tcW w:w="3003" w:type="dxa"/>
          </w:tcPr>
          <w:p w:rsidR="00A70742" w:rsidRDefault="002B0316" w:rsidP="00281F5A">
            <w:pPr>
              <w:pStyle w:val="BodyText"/>
              <w:ind w:left="0"/>
              <w:rPr>
                <w:rFonts w:cs="Arial"/>
                <w:szCs w:val="22"/>
              </w:rPr>
            </w:pPr>
            <w:r w:rsidRPr="006478C1">
              <w:rPr>
                <w:rFonts w:cs="Arial"/>
                <w:szCs w:val="22"/>
              </w:rPr>
              <w:t xml:space="preserve">Test is positive. </w:t>
            </w:r>
            <w:r>
              <w:rPr>
                <w:rFonts w:cs="Arial"/>
                <w:szCs w:val="22"/>
              </w:rPr>
              <w:t xml:space="preserve"> </w:t>
            </w:r>
            <w:r w:rsidR="00873A05" w:rsidRPr="006478C1">
              <w:rPr>
                <w:rFonts w:cs="Arial"/>
                <w:szCs w:val="22"/>
              </w:rPr>
              <w:t xml:space="preserve">A </w:t>
            </w:r>
            <w:r w:rsidR="00281F5A" w:rsidRPr="006478C1">
              <w:rPr>
                <w:rFonts w:cs="Arial"/>
                <w:szCs w:val="22"/>
              </w:rPr>
              <w:t xml:space="preserve">Fetal Hgb </w:t>
            </w:r>
            <w:r w:rsidR="00873A05" w:rsidRPr="006478C1">
              <w:rPr>
                <w:rFonts w:cs="Arial"/>
                <w:szCs w:val="22"/>
              </w:rPr>
              <w:t xml:space="preserve">stain </w:t>
            </w:r>
            <w:r w:rsidR="00BD6791" w:rsidRPr="006478C1">
              <w:rPr>
                <w:rFonts w:cs="Arial"/>
                <w:szCs w:val="22"/>
              </w:rPr>
              <w:t>(</w:t>
            </w:r>
            <w:r w:rsidR="00281F5A" w:rsidRPr="006478C1">
              <w:rPr>
                <w:rFonts w:cs="Arial"/>
                <w:szCs w:val="22"/>
              </w:rPr>
              <w:t>Kleihauer-Betke</w:t>
            </w:r>
            <w:r w:rsidR="00BD6791" w:rsidRPr="006478C1">
              <w:rPr>
                <w:rFonts w:cs="Arial"/>
                <w:szCs w:val="22"/>
              </w:rPr>
              <w:t xml:space="preserve">) </w:t>
            </w:r>
            <w:r w:rsidR="00873A05" w:rsidRPr="006478C1">
              <w:rPr>
                <w:rFonts w:cs="Arial"/>
                <w:szCs w:val="22"/>
              </w:rPr>
              <w:t>must be ordered and performed for quantification.</w:t>
            </w:r>
          </w:p>
          <w:p w:rsidR="00EE4564" w:rsidRPr="006478C1" w:rsidRDefault="00EE4564" w:rsidP="00281F5A">
            <w:pPr>
              <w:pStyle w:val="BodyText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Note: Perform a </w:t>
            </w:r>
            <w:proofErr w:type="spellStart"/>
            <w:r w:rsidR="008472A5">
              <w:rPr>
                <w:rFonts w:cs="Arial"/>
                <w:szCs w:val="22"/>
              </w:rPr>
              <w:t>Polyspecific</w:t>
            </w:r>
            <w:proofErr w:type="spellEnd"/>
            <w:r w:rsidR="008472A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Direct </w:t>
            </w:r>
            <w:proofErr w:type="spellStart"/>
            <w:r>
              <w:rPr>
                <w:rFonts w:cs="Arial"/>
                <w:szCs w:val="22"/>
              </w:rPr>
              <w:t>Antiglobulin</w:t>
            </w:r>
            <w:proofErr w:type="spellEnd"/>
            <w:r>
              <w:rPr>
                <w:rFonts w:cs="Arial"/>
                <w:szCs w:val="22"/>
              </w:rPr>
              <w:t xml:space="preserve"> Test (DAT) to ensure the result is not a false positive.  </w:t>
            </w:r>
            <w:r w:rsidR="00962068">
              <w:rPr>
                <w:rFonts w:cs="Arial"/>
                <w:szCs w:val="22"/>
              </w:rPr>
              <w:t>Refer</w:t>
            </w:r>
            <w:r w:rsidR="008E508F">
              <w:rPr>
                <w:rFonts w:cs="Arial"/>
                <w:szCs w:val="22"/>
              </w:rPr>
              <w:t xml:space="preserve"> to </w:t>
            </w:r>
            <w:r w:rsidR="00894903">
              <w:rPr>
                <w:rFonts w:cs="Arial"/>
                <w:szCs w:val="22"/>
              </w:rPr>
              <w:t xml:space="preserve">the </w:t>
            </w:r>
            <w:r w:rsidR="008E508F">
              <w:rPr>
                <w:rFonts w:cs="Arial"/>
                <w:szCs w:val="22"/>
              </w:rPr>
              <w:t>Limitation</w:t>
            </w:r>
            <w:r w:rsidR="00894903">
              <w:rPr>
                <w:rFonts w:cs="Arial"/>
                <w:szCs w:val="22"/>
              </w:rPr>
              <w:t xml:space="preserve">s of </w:t>
            </w:r>
            <w:r w:rsidR="008E508F">
              <w:rPr>
                <w:rFonts w:cs="Arial"/>
                <w:szCs w:val="22"/>
              </w:rPr>
              <w:t xml:space="preserve">Procedure section of this procedure.  </w:t>
            </w:r>
            <w:r>
              <w:rPr>
                <w:rFonts w:cs="Arial"/>
                <w:szCs w:val="22"/>
              </w:rPr>
              <w:t>If the DAT is negative, then the result</w:t>
            </w:r>
            <w:r w:rsidR="008472A5">
              <w:rPr>
                <w:rFonts w:cs="Arial"/>
                <w:szCs w:val="22"/>
              </w:rPr>
              <w:t xml:space="preserve"> is </w:t>
            </w:r>
            <w:r w:rsidR="008472A5">
              <w:rPr>
                <w:rFonts w:cs="Arial"/>
                <w:szCs w:val="22"/>
              </w:rPr>
              <w:lastRenderedPageBreak/>
              <w:t xml:space="preserve">valid.  If the DAT is positive, then result the test as </w:t>
            </w:r>
            <w:r w:rsidR="00AB2AA2">
              <w:rPr>
                <w:rFonts w:cs="Arial"/>
                <w:szCs w:val="22"/>
              </w:rPr>
              <w:t xml:space="preserve">Err and enter a comment stating, “Fetal Screen is invalid due to positive DAT. See Fetal </w:t>
            </w:r>
            <w:proofErr w:type="spellStart"/>
            <w:r w:rsidR="00AB2AA2">
              <w:rPr>
                <w:rFonts w:cs="Arial"/>
                <w:szCs w:val="22"/>
              </w:rPr>
              <w:t>Hgb</w:t>
            </w:r>
            <w:proofErr w:type="spellEnd"/>
            <w:r w:rsidR="00AB2AA2">
              <w:rPr>
                <w:rFonts w:cs="Arial"/>
                <w:szCs w:val="22"/>
              </w:rPr>
              <w:t xml:space="preserve"> for result.”</w:t>
            </w:r>
          </w:p>
        </w:tc>
        <w:tc>
          <w:tcPr>
            <w:tcW w:w="2694" w:type="dxa"/>
            <w:vMerge/>
          </w:tcPr>
          <w:p w:rsidR="00A70742" w:rsidRPr="006478C1" w:rsidRDefault="00A70742" w:rsidP="002A6D2D">
            <w:pPr>
              <w:pStyle w:val="BodyText"/>
              <w:ind w:left="0"/>
              <w:rPr>
                <w:rFonts w:cs="Arial"/>
                <w:szCs w:val="22"/>
              </w:rPr>
            </w:pPr>
          </w:p>
        </w:tc>
      </w:tr>
      <w:tr w:rsidR="00954467" w:rsidRPr="006478C1" w:rsidTr="00E70283">
        <w:trPr>
          <w:trHeight w:val="165"/>
        </w:trPr>
        <w:tc>
          <w:tcPr>
            <w:tcW w:w="946" w:type="dxa"/>
          </w:tcPr>
          <w:p w:rsidR="00954467" w:rsidRPr="006478C1" w:rsidRDefault="00954467" w:rsidP="002A6D2D">
            <w:pPr>
              <w:pStyle w:val="BodyText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16</w:t>
            </w:r>
          </w:p>
        </w:tc>
        <w:tc>
          <w:tcPr>
            <w:tcW w:w="5720" w:type="dxa"/>
            <w:gridSpan w:val="2"/>
          </w:tcPr>
          <w:p w:rsidR="00954467" w:rsidRDefault="00954467" w:rsidP="00281F5A">
            <w:pPr>
              <w:pStyle w:val="BodyText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the fetomaternal hemorrhage scre</w:t>
            </w:r>
            <w:r w:rsidR="005D24CF">
              <w:rPr>
                <w:rFonts w:cs="Arial"/>
                <w:szCs w:val="22"/>
              </w:rPr>
              <w:t>ening test has more rosettes tha</w:t>
            </w:r>
            <w:r w:rsidR="00F415B5">
              <w:rPr>
                <w:rFonts w:cs="Arial"/>
                <w:szCs w:val="22"/>
              </w:rPr>
              <w:t>n the positive control</w:t>
            </w:r>
            <w:r>
              <w:rPr>
                <w:rFonts w:cs="Arial"/>
                <w:szCs w:val="22"/>
              </w:rPr>
              <w:t>, then repeat the fetomaternal hemorrhage screening test and perform a Weak D test to verify that the mother is Rh(D) negative and that the test is valid.</w:t>
            </w:r>
          </w:p>
          <w:p w:rsidR="00FE4769" w:rsidRPr="006478C1" w:rsidRDefault="00FE4769" w:rsidP="00281F5A">
            <w:pPr>
              <w:pStyle w:val="BodyText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Note: If </w:t>
            </w:r>
            <w:r w:rsidR="00F55421">
              <w:rPr>
                <w:rFonts w:cs="Arial"/>
                <w:szCs w:val="22"/>
              </w:rPr>
              <w:t>the mother is Rh(D) negative,</w:t>
            </w:r>
            <w:r>
              <w:rPr>
                <w:rFonts w:cs="Arial"/>
                <w:szCs w:val="22"/>
              </w:rPr>
              <w:t xml:space="preserve"> the infant’s Rh(D) type is unknown,</w:t>
            </w:r>
            <w:r w:rsidR="00F55421">
              <w:rPr>
                <w:rFonts w:cs="Arial"/>
                <w:szCs w:val="22"/>
              </w:rPr>
              <w:t xml:space="preserve"> and the </w:t>
            </w:r>
            <w:r w:rsidR="00A956FF">
              <w:rPr>
                <w:rFonts w:cs="Arial"/>
                <w:szCs w:val="22"/>
              </w:rPr>
              <w:t>fetomaternal hemorrhage screening test</w:t>
            </w:r>
            <w:r w:rsidR="005D24CF">
              <w:rPr>
                <w:rFonts w:cs="Arial"/>
                <w:szCs w:val="22"/>
              </w:rPr>
              <w:t xml:space="preserve"> has more rosettes tha</w:t>
            </w:r>
            <w:r w:rsidR="00A956FF">
              <w:rPr>
                <w:rFonts w:cs="Arial"/>
                <w:szCs w:val="22"/>
              </w:rPr>
              <w:t>n the positive control,</w:t>
            </w:r>
            <w:r>
              <w:rPr>
                <w:rFonts w:cs="Arial"/>
                <w:szCs w:val="22"/>
              </w:rPr>
              <w:t xml:space="preserve"> then order a Fetal Hgb Stain (Kleihauer-Betke) </w:t>
            </w:r>
            <w:r w:rsidR="00891DA2">
              <w:rPr>
                <w:rFonts w:cs="Arial"/>
                <w:szCs w:val="22"/>
              </w:rPr>
              <w:t xml:space="preserve">and do not interpret the </w:t>
            </w:r>
            <w:r w:rsidR="00A956FF">
              <w:rPr>
                <w:rFonts w:cs="Arial"/>
                <w:szCs w:val="22"/>
              </w:rPr>
              <w:t xml:space="preserve">fetomaternal hemorrhage screening test </w:t>
            </w:r>
            <w:r w:rsidR="00891DA2">
              <w:rPr>
                <w:rFonts w:cs="Arial"/>
                <w:szCs w:val="22"/>
              </w:rPr>
              <w:t xml:space="preserve">until the Fetal Hgb Stain is complete.  If the Fetal Hgb Stain correlates with the </w:t>
            </w:r>
            <w:r w:rsidR="00A956FF">
              <w:rPr>
                <w:rFonts w:cs="Arial"/>
                <w:szCs w:val="22"/>
              </w:rPr>
              <w:t>fetomaternal hemorrhage screening test</w:t>
            </w:r>
            <w:r w:rsidR="00891DA2">
              <w:rPr>
                <w:rFonts w:cs="Arial"/>
                <w:szCs w:val="22"/>
              </w:rPr>
              <w:t xml:space="preserve">, then report as positive. </w:t>
            </w:r>
            <w:r w:rsidR="00F55421">
              <w:rPr>
                <w:rFonts w:cs="Arial"/>
                <w:szCs w:val="22"/>
              </w:rPr>
              <w:t xml:space="preserve"> </w:t>
            </w:r>
            <w:r w:rsidR="00891DA2">
              <w:rPr>
                <w:rFonts w:cs="Arial"/>
                <w:szCs w:val="22"/>
              </w:rPr>
              <w:t xml:space="preserve">If the Fetal Hgb Stain does not correlate with the fetal bleed screen, then report as Err and </w:t>
            </w:r>
            <w:r w:rsidR="00F55421">
              <w:rPr>
                <w:rFonts w:cs="Arial"/>
                <w:szCs w:val="22"/>
              </w:rPr>
              <w:t>reference the Fetal Hgb Stain results in the comment field.</w:t>
            </w:r>
          </w:p>
        </w:tc>
        <w:tc>
          <w:tcPr>
            <w:tcW w:w="2694" w:type="dxa"/>
          </w:tcPr>
          <w:p w:rsidR="00954467" w:rsidRPr="00DD0C90" w:rsidRDefault="00DD0C90" w:rsidP="00DD0C90">
            <w:pPr>
              <w:ind w:left="0"/>
            </w:pPr>
            <w:r>
              <w:t>7540.BB.CC.113 Weak D Test by Tube Testing</w:t>
            </w:r>
          </w:p>
        </w:tc>
      </w:tr>
    </w:tbl>
    <w:p w:rsidR="006D39DE" w:rsidRPr="006D39DE" w:rsidRDefault="006D39DE" w:rsidP="007914BA">
      <w:pPr>
        <w:pStyle w:val="BodyText"/>
        <w:ind w:left="0"/>
      </w:pPr>
    </w:p>
    <w:p w:rsidR="005D3686" w:rsidRDefault="005D3686" w:rsidP="005D3686">
      <w:pPr>
        <w:pStyle w:val="Heading1"/>
      </w:pPr>
      <w:r>
        <w:t>Interpretation of Results</w:t>
      </w:r>
    </w:p>
    <w:p w:rsidR="00873A05" w:rsidRDefault="00873A05" w:rsidP="00873A05">
      <w:pPr>
        <w:pStyle w:val="Heading2"/>
      </w:pPr>
      <w:r>
        <w:t xml:space="preserve">For test results to be valid the negative control must be negative and the positive control must be positive. </w:t>
      </w:r>
      <w:r w:rsidR="007D613C">
        <w:t xml:space="preserve"> </w:t>
      </w:r>
      <w:r>
        <w:t xml:space="preserve">The test must be repeated when the expected control results are not obtained. </w:t>
      </w:r>
      <w:r w:rsidR="007D613C">
        <w:t xml:space="preserve"> </w:t>
      </w:r>
      <w:r>
        <w:t xml:space="preserve">Patient results must not be reported if control results are not acceptable. </w:t>
      </w:r>
    </w:p>
    <w:p w:rsidR="00873A05" w:rsidRDefault="00873A05" w:rsidP="00873A05">
      <w:pPr>
        <w:pStyle w:val="Heading2"/>
      </w:pPr>
      <w:r>
        <w:t>If after examining five low power fields, if less than four rosettes are observed (less than one clump per low power field), the test is considered negative, ind</w:t>
      </w:r>
      <w:r w:rsidR="007D613C">
        <w:t>icating that a significant feto</w:t>
      </w:r>
      <w:r>
        <w:t>maternal hemorrhage did not occur.</w:t>
      </w:r>
    </w:p>
    <w:p w:rsidR="00873A05" w:rsidRDefault="00873A05" w:rsidP="00873A05">
      <w:pPr>
        <w:pStyle w:val="Heading2"/>
      </w:pPr>
      <w:r>
        <w:t xml:space="preserve">The presence of one or more rosettes in five low power filed constitutes a positive test and indicates the presence of Rh(D) positive red blood cells in possibly significant numbers in maternal blood. </w:t>
      </w:r>
    </w:p>
    <w:p w:rsidR="006D39DE" w:rsidRPr="006D39DE" w:rsidRDefault="00873A05" w:rsidP="00776372">
      <w:pPr>
        <w:pStyle w:val="Heading3"/>
      </w:pPr>
      <w:r>
        <w:t>A quantitative test (Kleihauer Betke) must be performed to determine if more than one syringe of RhIG</w:t>
      </w:r>
      <w:r w:rsidR="003E0390">
        <w:t xml:space="preserve"> (300 </w:t>
      </w:r>
      <w:r w:rsidR="003E0390">
        <w:rPr>
          <w:rFonts w:cs="Arial"/>
        </w:rPr>
        <w:t>µ</w:t>
      </w:r>
      <w:r w:rsidR="003E0390">
        <w:t>g)</w:t>
      </w:r>
      <w:r>
        <w:t xml:space="preserve"> should be administered to the mother.</w:t>
      </w:r>
    </w:p>
    <w:p w:rsidR="005D3686" w:rsidRDefault="005D3686" w:rsidP="004659C4">
      <w:pPr>
        <w:pStyle w:val="Heading1"/>
      </w:pPr>
      <w:r>
        <w:t>Result Reporting</w:t>
      </w:r>
    </w:p>
    <w:p w:rsidR="006D39DE" w:rsidRDefault="006D39DE" w:rsidP="006D39DE">
      <w:pPr>
        <w:pStyle w:val="Heading2"/>
      </w:pPr>
      <w:r>
        <w:t>Reference Range</w:t>
      </w:r>
    </w:p>
    <w:p w:rsidR="006D39DE" w:rsidRDefault="00B15C45" w:rsidP="00B15C45">
      <w:pPr>
        <w:pStyle w:val="Heading3"/>
      </w:pPr>
      <w:r>
        <w:t xml:space="preserve">Results are negative if </w:t>
      </w:r>
      <w:r w:rsidR="008D4C35">
        <w:t xml:space="preserve">after examining five low power fields </w:t>
      </w:r>
      <w:r>
        <w:rPr>
          <w:rFonts w:cs="Arial"/>
        </w:rPr>
        <w:t>≤</w:t>
      </w:r>
      <w:r>
        <w:t xml:space="preserve"> 4 rosettes observed</w:t>
      </w:r>
      <w:r w:rsidR="008D4C35">
        <w:t xml:space="preserve"> </w:t>
      </w:r>
    </w:p>
    <w:p w:rsidR="008D4C35" w:rsidRPr="006D39DE" w:rsidRDefault="008D4C35" w:rsidP="00D96FBA">
      <w:pPr>
        <w:pStyle w:val="Heading3"/>
        <w:spacing w:after="240"/>
      </w:pPr>
      <w:r>
        <w:t xml:space="preserve">Results are positive if after examining five low power fields </w:t>
      </w:r>
      <w:r w:rsidRPr="00A70742">
        <w:t>≥ 5 rosettes observed</w:t>
      </w:r>
    </w:p>
    <w:p w:rsidR="005D3686" w:rsidRDefault="005D3686" w:rsidP="00F643DE">
      <w:pPr>
        <w:pStyle w:val="Heading1"/>
        <w:keepNext/>
      </w:pPr>
      <w:r>
        <w:t>Limitations of Procedure</w:t>
      </w:r>
    </w:p>
    <w:p w:rsidR="003E0390" w:rsidRDefault="002D1FB8" w:rsidP="003E0390">
      <w:pPr>
        <w:pStyle w:val="Heading2"/>
      </w:pPr>
      <w:r>
        <w:t>Factors such as contaminated materials, improper incubation time and temperature, centrifugation, examination for agglutination, and deviation from the recommended test procedure, may cause false test results.</w:t>
      </w:r>
    </w:p>
    <w:p w:rsidR="00E8098E" w:rsidRDefault="00E8098E" w:rsidP="003E0390">
      <w:pPr>
        <w:pStyle w:val="Heading2"/>
      </w:pPr>
      <w:r>
        <w:lastRenderedPageBreak/>
        <w:t xml:space="preserve">In order to correctly interpret test results, testing must be performed on the blood of a known Rh(D) negative mother of a recently delivered Rh(D) positive infant. </w:t>
      </w:r>
    </w:p>
    <w:p w:rsidR="00BD6791" w:rsidRDefault="00E8098E" w:rsidP="00E8098E">
      <w:pPr>
        <w:pStyle w:val="Heading3"/>
      </w:pPr>
      <w:r>
        <w:t>If the infant’s red blood cells possess a Weak D or partial D antigen, then</w:t>
      </w:r>
      <w:r w:rsidR="00776372">
        <w:t xml:space="preserve"> the test may not detect a feto</w:t>
      </w:r>
      <w:r>
        <w:t>maternal hemorrhage greater than 30 mL of whole blood.</w:t>
      </w:r>
      <w:r w:rsidR="00776372">
        <w:t xml:space="preserve">  In order to detect a feto</w:t>
      </w:r>
      <w:r w:rsidR="00BD6791">
        <w:t xml:space="preserve">maternal hemorrhage a </w:t>
      </w:r>
      <w:r w:rsidR="00776372">
        <w:t xml:space="preserve">Fetal Hgb (Kleihauer </w:t>
      </w:r>
      <w:r w:rsidR="00BD6791">
        <w:t>Betke</w:t>
      </w:r>
      <w:r w:rsidR="00776372">
        <w:t>)</w:t>
      </w:r>
      <w:r w:rsidR="00BD6791">
        <w:t xml:space="preserve"> test must be performed.</w:t>
      </w:r>
    </w:p>
    <w:p w:rsidR="00BD6791" w:rsidRDefault="00BD6791" w:rsidP="00E8098E">
      <w:pPr>
        <w:pStyle w:val="Heading3"/>
      </w:pPr>
      <w:r>
        <w:t>If the mother is Weak D positive, then the test is invalid and a</w:t>
      </w:r>
      <w:r w:rsidR="00354698">
        <w:t xml:space="preserve"> Fetal Hgb</w:t>
      </w:r>
      <w:r>
        <w:t xml:space="preserve"> </w:t>
      </w:r>
      <w:r w:rsidR="00354698">
        <w:t>(</w:t>
      </w:r>
      <w:r>
        <w:t>Kleihauer Betke</w:t>
      </w:r>
      <w:r w:rsidR="00354698">
        <w:t>)</w:t>
      </w:r>
      <w:r>
        <w:t xml:space="preserve"> test must be performed.</w:t>
      </w:r>
    </w:p>
    <w:p w:rsidR="000E1519" w:rsidRDefault="00BD6791" w:rsidP="000E1519">
      <w:pPr>
        <w:pStyle w:val="Heading3"/>
      </w:pPr>
      <w:r>
        <w:t>If the infant is Rh(D) negative, then the test is not indicated and should not be performed.</w:t>
      </w:r>
      <w:r w:rsidR="00E8098E">
        <w:t xml:space="preserve"> </w:t>
      </w:r>
    </w:p>
    <w:p w:rsidR="000E1519" w:rsidRDefault="000E1519" w:rsidP="000E1519">
      <w:pPr>
        <w:pStyle w:val="Heading2"/>
      </w:pPr>
      <w:r>
        <w:t>A fetomaternal hemorrhage screening test may be performed on Rh(D) negative mothers that are &gt;20 weeks gestation and have experienced abdominal trauma and/or miscarriage</w:t>
      </w:r>
      <w:r w:rsidR="0048474C">
        <w:t>.  Since the Rh(D) type of the fetus is unknown a positive test must be interpreted with caution.  A Fetal Hgb Stain (Kleihauer-Betke) must be ordered on all fetomaternal hemorrhage screening tests that appear positive.</w:t>
      </w:r>
    </w:p>
    <w:p w:rsidR="002D1FB8" w:rsidRDefault="002D1FB8" w:rsidP="003E0390">
      <w:pPr>
        <w:pStyle w:val="Heading2"/>
      </w:pPr>
      <w:r>
        <w:t>Failure to carry out the washing stages of the test procedure properly may cause false positive test results due to the agglutination of the indicator cells by the free Anti-D remaining in the test system.</w:t>
      </w:r>
    </w:p>
    <w:p w:rsidR="002D1FB8" w:rsidRDefault="00E8098E" w:rsidP="003E0390">
      <w:pPr>
        <w:pStyle w:val="Heading2"/>
      </w:pPr>
      <w:r>
        <w:t xml:space="preserve">If there is an ABO incompatibility between the mother and child, the mother’s naturally occurring ABO antibodies may destroy any fetal cells in the mother’s blood sample before testing is performed. </w:t>
      </w:r>
      <w:r w:rsidR="00354698">
        <w:t xml:space="preserve"> </w:t>
      </w:r>
      <w:r>
        <w:t>This is true for any method of detecting fetal cells in the maternal blood.</w:t>
      </w:r>
    </w:p>
    <w:p w:rsidR="00E8098E" w:rsidRDefault="00E8098E" w:rsidP="00B15C45">
      <w:pPr>
        <w:pStyle w:val="Heading2"/>
      </w:pPr>
      <w:r>
        <w:t xml:space="preserve">Incomplete and/or inadequate washing </w:t>
      </w:r>
      <w:r w:rsidR="000C5B73">
        <w:t xml:space="preserve">process </w:t>
      </w:r>
      <w:r>
        <w:t>of the test procedure may result in false positive test results, due to agglutination of the indicator cells and the free Anti-D remaining in the test system.</w:t>
      </w:r>
    </w:p>
    <w:p w:rsidR="00B15C45" w:rsidRDefault="002B0316" w:rsidP="00B15C45">
      <w:pPr>
        <w:pStyle w:val="Heading2"/>
      </w:pPr>
      <w:r>
        <w:t xml:space="preserve">A false positive test result may occur if the maternal red blood cells have a positive direct antiglobulin test due to an autoantibody reacting with the indicator cells.  </w:t>
      </w:r>
      <w:r w:rsidR="00B15C45">
        <w:t xml:space="preserve">The </w:t>
      </w:r>
      <w:proofErr w:type="spellStart"/>
      <w:r w:rsidR="00B15C45">
        <w:t>FMH</w:t>
      </w:r>
      <w:proofErr w:type="spellEnd"/>
      <w:r w:rsidR="00B15C45">
        <w:t xml:space="preserve"> </w:t>
      </w:r>
      <w:proofErr w:type="spellStart"/>
      <w:r w:rsidR="00B15C45">
        <w:t>RapidScreen</w:t>
      </w:r>
      <w:proofErr w:type="spellEnd"/>
      <w:r w:rsidR="00B15C45">
        <w:t xml:space="preserve"> would be considered invalid and a quantitative</w:t>
      </w:r>
      <w:r w:rsidR="00D94F07">
        <w:t xml:space="preserve"> Fetal </w:t>
      </w:r>
      <w:proofErr w:type="spellStart"/>
      <w:r w:rsidR="00D94F07">
        <w:t>Hgb</w:t>
      </w:r>
      <w:proofErr w:type="spellEnd"/>
      <w:r w:rsidR="00B15C45">
        <w:t xml:space="preserve"> test (</w:t>
      </w:r>
      <w:proofErr w:type="spellStart"/>
      <w:r w:rsidR="00B15C45">
        <w:t>Kleihauer</w:t>
      </w:r>
      <w:proofErr w:type="spellEnd"/>
      <w:r w:rsidR="00B15C45">
        <w:t xml:space="preserve"> </w:t>
      </w:r>
      <w:proofErr w:type="spellStart"/>
      <w:r w:rsidR="00B15C45">
        <w:t>Betke</w:t>
      </w:r>
      <w:proofErr w:type="spellEnd"/>
      <w:r w:rsidR="00B15C45">
        <w:t>) must be performed.</w:t>
      </w:r>
      <w:r w:rsidR="00FF1677">
        <w:t xml:space="preserve">  </w:t>
      </w:r>
      <w:r w:rsidR="00FF1677">
        <w:rPr>
          <w:rFonts w:cs="Arial"/>
          <w:szCs w:val="22"/>
        </w:rPr>
        <w:t>If the DAT is positive, then result the test as Err and enter a comment stating, “Fetal Screen is invalid due to positive DAT</w:t>
      </w:r>
      <w:proofErr w:type="gramStart"/>
      <w:r w:rsidR="00FF1677">
        <w:rPr>
          <w:rFonts w:cs="Arial"/>
          <w:szCs w:val="22"/>
        </w:rPr>
        <w:t xml:space="preserve">. </w:t>
      </w:r>
      <w:proofErr w:type="gramEnd"/>
      <w:r w:rsidR="00FF1677">
        <w:rPr>
          <w:rFonts w:cs="Arial"/>
          <w:szCs w:val="22"/>
        </w:rPr>
        <w:t xml:space="preserve">See Fetal </w:t>
      </w:r>
      <w:proofErr w:type="spellStart"/>
      <w:r w:rsidR="00FF1677">
        <w:rPr>
          <w:rFonts w:cs="Arial"/>
          <w:szCs w:val="22"/>
        </w:rPr>
        <w:t>Hgb</w:t>
      </w:r>
      <w:proofErr w:type="spellEnd"/>
      <w:r w:rsidR="00FF1677">
        <w:rPr>
          <w:rFonts w:cs="Arial"/>
          <w:szCs w:val="22"/>
        </w:rPr>
        <w:t xml:space="preserve"> for result.”</w:t>
      </w:r>
    </w:p>
    <w:p w:rsidR="00B15C45" w:rsidRDefault="002B0316" w:rsidP="00B15C45">
      <w:pPr>
        <w:pStyle w:val="Heading2"/>
      </w:pPr>
      <w:r>
        <w:t xml:space="preserve">A positive test result does not provide evidence that an increased dose of RhIG is required to protect the mother from Anti-D alloimmunization, but only indicates that a significant fetomaternal hemorrhage may have occurred.  </w:t>
      </w:r>
      <w:r w:rsidR="00B15C45">
        <w:t xml:space="preserve">A quantitative procedure </w:t>
      </w:r>
      <w:r w:rsidR="00D94F07">
        <w:t xml:space="preserve">such as the Fetal Hgb </w:t>
      </w:r>
      <w:r w:rsidR="00B15C45">
        <w:t xml:space="preserve">(Kleihauer Betke) is required </w:t>
      </w:r>
      <w:r w:rsidR="00D94F07">
        <w:t>to determine the volume of feto</w:t>
      </w:r>
      <w:r w:rsidR="00B15C45">
        <w:t>maternal hemorrhage.</w:t>
      </w:r>
    </w:p>
    <w:p w:rsidR="006D39DE" w:rsidRPr="006D39DE" w:rsidRDefault="00B15C45" w:rsidP="001C31AD">
      <w:pPr>
        <w:pStyle w:val="Heading2"/>
      </w:pPr>
      <w:r>
        <w:t xml:space="preserve">Grossly hemolyzed specimens are not acceptable and should be recollected before testing. </w:t>
      </w:r>
    </w:p>
    <w:p w:rsidR="005D3686" w:rsidRDefault="005D3686" w:rsidP="005D3686">
      <w:pPr>
        <w:pStyle w:val="Heading1"/>
      </w:pPr>
      <w:r>
        <w:t>Definitions</w:t>
      </w:r>
    </w:p>
    <w:p w:rsidR="000C5B73" w:rsidRPr="004A13B5" w:rsidRDefault="00D94F07" w:rsidP="000C5B73">
      <w:pPr>
        <w:pStyle w:val="Heading2"/>
      </w:pPr>
      <w:r w:rsidRPr="0058482C">
        <w:t xml:space="preserve">Fetomaternal hemorrhage: </w:t>
      </w:r>
      <w:r w:rsidR="0058482C" w:rsidRPr="0058482C">
        <w:t xml:space="preserve">Variable volumes of </w:t>
      </w:r>
      <w:r w:rsidR="00950C95" w:rsidRPr="0058482C">
        <w:rPr>
          <w:rFonts w:cs="Arial"/>
          <w:shd w:val="clear" w:color="auto" w:fill="FFFFFF"/>
        </w:rPr>
        <w:t>fetal blood</w:t>
      </w:r>
      <w:r w:rsidR="0058482C" w:rsidRPr="0058482C">
        <w:rPr>
          <w:rFonts w:cs="Arial"/>
          <w:shd w:val="clear" w:color="auto" w:fill="FFFFFF"/>
        </w:rPr>
        <w:t xml:space="preserve"> entering</w:t>
      </w:r>
      <w:r w:rsidR="00950C95" w:rsidRPr="0058482C">
        <w:rPr>
          <w:rFonts w:cs="Arial"/>
          <w:shd w:val="clear" w:color="auto" w:fill="FFFFFF"/>
        </w:rPr>
        <w:t xml:space="preserve"> into the maternal circulation before or during delivery</w:t>
      </w:r>
      <w:r w:rsidR="0058482C" w:rsidRPr="0058482C">
        <w:rPr>
          <w:rFonts w:cs="Arial"/>
          <w:shd w:val="clear" w:color="auto" w:fill="FFFFFF"/>
        </w:rPr>
        <w:t>, which may cause alloimmunization</w:t>
      </w:r>
    </w:p>
    <w:p w:rsidR="006D39DE" w:rsidRPr="0027696F" w:rsidRDefault="004A13B5" w:rsidP="007B0F96">
      <w:pPr>
        <w:pStyle w:val="Heading2"/>
      </w:pPr>
      <w:r>
        <w:rPr>
          <w:rFonts w:cs="Arial"/>
          <w:shd w:val="clear" w:color="auto" w:fill="FFFFFF"/>
        </w:rPr>
        <w:t xml:space="preserve">Alloimmunization: </w:t>
      </w:r>
      <w:r w:rsidR="00956788">
        <w:rPr>
          <w:rFonts w:cs="Arial"/>
          <w:shd w:val="clear" w:color="auto" w:fill="FFFFFF"/>
        </w:rPr>
        <w:t xml:space="preserve"> Immune response due to exposure to foreign antigens, which results in the production of antibodies</w:t>
      </w:r>
    </w:p>
    <w:p w:rsidR="0027696F" w:rsidRPr="006D39DE" w:rsidRDefault="0027696F" w:rsidP="007B0F96">
      <w:pPr>
        <w:pStyle w:val="Heading2"/>
      </w:pPr>
      <w:r>
        <w:rPr>
          <w:rFonts w:cs="Arial"/>
          <w:shd w:val="clear" w:color="auto" w:fill="FFFFFF"/>
        </w:rPr>
        <w:t xml:space="preserve">Kleihauer-Betke: Acid elution test that </w:t>
      </w:r>
      <w:r w:rsidR="001D0598">
        <w:rPr>
          <w:rFonts w:cs="Arial"/>
          <w:shd w:val="clear" w:color="auto" w:fill="FFFFFF"/>
        </w:rPr>
        <w:t>utilizes the resistance of hemoglobin F in order to visualize fetal cells in maternal circulation</w:t>
      </w:r>
      <w:r w:rsidR="00BA64C9">
        <w:rPr>
          <w:rFonts w:cs="Arial"/>
          <w:shd w:val="clear" w:color="auto" w:fill="FFFFFF"/>
        </w:rPr>
        <w:t>.</w:t>
      </w:r>
      <w:r w:rsidR="001D0598">
        <w:rPr>
          <w:rFonts w:cs="Arial"/>
          <w:shd w:val="clear" w:color="auto" w:fill="FFFFFF"/>
        </w:rPr>
        <w:t xml:space="preserve"> </w:t>
      </w:r>
      <w:r w:rsidR="008B3797">
        <w:rPr>
          <w:rFonts w:cs="Arial"/>
          <w:shd w:val="clear" w:color="auto" w:fill="FFFFFF"/>
        </w:rPr>
        <w:t xml:space="preserve"> The ratio of fetal cells to total cells counted is multiplied by the maternal blood volume </w:t>
      </w:r>
      <w:r w:rsidR="002541ED">
        <w:rPr>
          <w:rFonts w:cs="Arial"/>
          <w:shd w:val="clear" w:color="auto" w:fill="FFFFFF"/>
        </w:rPr>
        <w:t xml:space="preserve">and the </w:t>
      </w:r>
      <w:r w:rsidR="00913EA0">
        <w:rPr>
          <w:rFonts w:cs="Arial"/>
          <w:shd w:val="clear" w:color="auto" w:fill="FFFFFF"/>
        </w:rPr>
        <w:t xml:space="preserve">fetomaternal hemorrhage volume is </w:t>
      </w:r>
      <w:r w:rsidR="00913EA0">
        <w:rPr>
          <w:rFonts w:cs="Arial"/>
          <w:shd w:val="clear" w:color="auto" w:fill="FFFFFF"/>
        </w:rPr>
        <w:lastRenderedPageBreak/>
        <w:t xml:space="preserve">quantitated.  The </w:t>
      </w:r>
      <w:r w:rsidR="00D91B7D">
        <w:rPr>
          <w:rFonts w:cs="Arial"/>
          <w:shd w:val="clear" w:color="auto" w:fill="FFFFFF"/>
        </w:rPr>
        <w:t>required dosage of RhIG, in order to prevent Rh(D) alloimmunization is calculated from the fetomaternal hemorrhage volume</w:t>
      </w:r>
      <w:r w:rsidR="00153126">
        <w:rPr>
          <w:rFonts w:cs="Arial"/>
          <w:shd w:val="clear" w:color="auto" w:fill="FFFFFF"/>
        </w:rPr>
        <w:t>.</w:t>
      </w:r>
    </w:p>
    <w:p w:rsidR="005D3686" w:rsidRDefault="005D3686" w:rsidP="006D39DE">
      <w:pPr>
        <w:pStyle w:val="Heading1"/>
      </w:pPr>
      <w:r>
        <w:t>References:</w:t>
      </w:r>
    </w:p>
    <w:p w:rsidR="00E830A2" w:rsidRPr="008001E1" w:rsidRDefault="00E830A2" w:rsidP="006D39A2">
      <w:pPr>
        <w:pStyle w:val="Heading2"/>
      </w:pPr>
      <w:r w:rsidRPr="008001E1">
        <w:t xml:space="preserve">Fung, M.K. (Current Edition). </w:t>
      </w:r>
      <w:r w:rsidRPr="00FD09DF">
        <w:rPr>
          <w:i/>
        </w:rPr>
        <w:t>Technical Manual.</w:t>
      </w:r>
      <w:r w:rsidRPr="008001E1">
        <w:t xml:space="preserve"> Bethesda, MD: AABB.</w:t>
      </w:r>
    </w:p>
    <w:p w:rsidR="001572F9" w:rsidRDefault="001572F9" w:rsidP="006D39A2">
      <w:pPr>
        <w:pStyle w:val="Heading2"/>
      </w:pPr>
      <w:r w:rsidRPr="00D113FE">
        <w:rPr>
          <w:i/>
        </w:rPr>
        <w:t>Standards</w:t>
      </w:r>
      <w:r w:rsidRPr="00FD09DF">
        <w:rPr>
          <w:i/>
        </w:rPr>
        <w:t xml:space="preserve"> for Blood Banks and Transfusion Services</w:t>
      </w:r>
      <w:r>
        <w:t xml:space="preserve"> (Current Edition). Bethesda, MD: AABB.</w:t>
      </w:r>
    </w:p>
    <w:p w:rsidR="006D39DE" w:rsidRPr="006D39DE" w:rsidRDefault="001572F9" w:rsidP="006D39A2">
      <w:pPr>
        <w:pStyle w:val="Heading2"/>
      </w:pPr>
      <w:r>
        <w:t xml:space="preserve">Immucor, Inc. (Current Revision). </w:t>
      </w:r>
      <w:r w:rsidRPr="001572F9">
        <w:rPr>
          <w:i/>
        </w:rPr>
        <w:t>FMH RapidScreen</w:t>
      </w:r>
      <w:r>
        <w:t xml:space="preserve"> [Manufacturer’s Insert.] Norcross, GA.</w:t>
      </w:r>
    </w:p>
    <w:p w:rsidR="005D3686" w:rsidRDefault="005D3686" w:rsidP="005D3686">
      <w:pPr>
        <w:pStyle w:val="Heading1"/>
      </w:pPr>
      <w:r>
        <w:t>Related Documents</w:t>
      </w:r>
    </w:p>
    <w:p w:rsidR="006D39DE" w:rsidRPr="00F415B5" w:rsidRDefault="006D39A2" w:rsidP="006D39A2">
      <w:pPr>
        <w:pStyle w:val="Heading2"/>
      </w:pPr>
      <w:r w:rsidRPr="006D39A2">
        <w:t>7540</w:t>
      </w:r>
      <w:r w:rsidRPr="006478C1">
        <w:rPr>
          <w:rFonts w:cs="Arial"/>
          <w:szCs w:val="22"/>
        </w:rPr>
        <w:t>.BB.CC.101 3%-5% Red Cell Suspension Preparation</w:t>
      </w:r>
    </w:p>
    <w:p w:rsidR="00F415B5" w:rsidRDefault="00F415B5" w:rsidP="006D39A2">
      <w:pPr>
        <w:pStyle w:val="Heading2"/>
      </w:pPr>
      <w:r>
        <w:t>7540</w:t>
      </w:r>
      <w:proofErr w:type="gramStart"/>
      <w:r>
        <w:t>.BB.CC.113</w:t>
      </w:r>
      <w:proofErr w:type="gramEnd"/>
      <w:r>
        <w:t xml:space="preserve"> Weak D Test by Tube Testing</w:t>
      </w:r>
    </w:p>
    <w:p w:rsidR="008E508F" w:rsidRPr="006D39A2" w:rsidRDefault="008E508F" w:rsidP="006D39A2">
      <w:pPr>
        <w:pStyle w:val="Heading2"/>
      </w:pPr>
      <w:proofErr w:type="spellStart"/>
      <w:r>
        <w:t>7540</w:t>
      </w:r>
      <w:proofErr w:type="gramStart"/>
      <w:r>
        <w:t>.BB.CC.116</w:t>
      </w:r>
      <w:proofErr w:type="spellEnd"/>
      <w:proofErr w:type="gramEnd"/>
      <w:r>
        <w:t xml:space="preserve"> Direct </w:t>
      </w:r>
      <w:proofErr w:type="spellStart"/>
      <w:r>
        <w:t>Antiglobulin</w:t>
      </w:r>
      <w:proofErr w:type="spellEnd"/>
      <w:r>
        <w:t xml:space="preserve"> Test (DAT) by Tube Testing</w:t>
      </w:r>
    </w:p>
    <w:p w:rsidR="005D3686" w:rsidRPr="005D3686" w:rsidRDefault="006D39A2" w:rsidP="0028594D">
      <w:pPr>
        <w:pStyle w:val="Heading2"/>
      </w:pPr>
      <w:r w:rsidRPr="006478C1">
        <w:rPr>
          <w:rFonts w:cs="Arial"/>
          <w:szCs w:val="22"/>
        </w:rPr>
        <w:t>7540</w:t>
      </w:r>
      <w:proofErr w:type="gramStart"/>
      <w:r w:rsidRPr="006478C1">
        <w:rPr>
          <w:rFonts w:cs="Arial"/>
          <w:szCs w:val="22"/>
        </w:rPr>
        <w:t>.BB.CC.121</w:t>
      </w:r>
      <w:proofErr w:type="gramEnd"/>
      <w:r w:rsidRPr="006478C1">
        <w:rPr>
          <w:rFonts w:cs="Arial"/>
          <w:szCs w:val="22"/>
        </w:rPr>
        <w:t xml:space="preserve"> Evaluating Patient Samples and Request Forms</w:t>
      </w:r>
    </w:p>
    <w:sectPr w:rsidR="005D3686" w:rsidRPr="005D3686" w:rsidSect="00BB326A">
      <w:footerReference w:type="default" r:id="rId9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16" w:rsidRDefault="00F21716" w:rsidP="00BC345C">
      <w:r>
        <w:separator/>
      </w:r>
    </w:p>
  </w:endnote>
  <w:endnote w:type="continuationSeparator" w:id="0">
    <w:p w:rsidR="00F21716" w:rsidRDefault="00F21716" w:rsidP="00BC345C">
      <w:r>
        <w:continuationSeparator/>
      </w:r>
    </w:p>
  </w:endnote>
  <w:endnote w:type="continuationNotice" w:id="1">
    <w:p w:rsidR="00F21716" w:rsidRDefault="00F21716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E2" w:rsidRDefault="00873864" w:rsidP="00BC345C">
    <w:sdt>
      <w:sdtPr>
        <w:alias w:val="Type Title in Field on Right"/>
        <w:tag w:val="Type Title in Field on Right"/>
        <w:id w:val="-437055373"/>
        <w:lock w:val="sdtContentLocked"/>
        <w:text/>
      </w:sdtPr>
      <w:sdtEndPr/>
      <w:sdtContent>
        <w:r w:rsidR="0097274F" w:rsidRPr="00F524F0">
          <w:t>Subject:</w:t>
        </w:r>
      </w:sdtContent>
    </w:sdt>
    <w:r w:rsidR="0097274F">
      <w:t xml:space="preserve"> </w:t>
    </w:r>
    <w:sdt>
      <w:sdtPr>
        <w:alias w:val="Title goes here"/>
        <w:tag w:val="Title goes here"/>
        <w:id w:val="1607532503"/>
        <w:lock w:val="sdtLocked"/>
        <w:showingPlcHdr/>
        <w:text/>
      </w:sdtPr>
      <w:sdtEndPr/>
      <w:sdtContent>
        <w:r w:rsidR="0097274F">
          <w:rPr>
            <w:rStyle w:val="PlaceholderText"/>
          </w:rPr>
          <w:t xml:space="preserve"> </w:t>
        </w:r>
      </w:sdtContent>
    </w:sdt>
    <w:r w:rsidR="0028594D">
      <w:t>7540.BB.CC.174 FMH RapidScreen Test-Immucor</w:t>
    </w:r>
    <w:r w:rsidR="002B0316">
      <w:t>, Inc.</w:t>
    </w:r>
    <w:r w:rsidR="00781F33">
      <w:ptab w:relativeTo="margin" w:alignment="right" w:leader="none"/>
    </w:r>
    <w:r w:rsidR="00781F33" w:rsidRPr="00D66174">
      <w:t xml:space="preserve">Page </w:t>
    </w:r>
    <w:r w:rsidR="00781F33" w:rsidRPr="00D66174">
      <w:fldChar w:fldCharType="begin"/>
    </w:r>
    <w:r w:rsidR="00781F33" w:rsidRPr="00D66174">
      <w:instrText xml:space="preserve"> PAGE  \* Arabic  \* MERGEFORMAT </w:instrText>
    </w:r>
    <w:r w:rsidR="00781F33" w:rsidRPr="00D66174">
      <w:fldChar w:fldCharType="separate"/>
    </w:r>
    <w:r>
      <w:rPr>
        <w:noProof/>
      </w:rPr>
      <w:t>6</w:t>
    </w:r>
    <w:r w:rsidR="00781F33" w:rsidRPr="00D66174">
      <w:fldChar w:fldCharType="end"/>
    </w:r>
    <w:r w:rsidR="00781F33" w:rsidRPr="00D66174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781F33" w:rsidRDefault="00873864" w:rsidP="00BC345C">
    <w:sdt>
      <w:sdtPr>
        <w:alias w:val="Use dropdown on right"/>
        <w:tag w:val="Use dropdown on right"/>
        <w:id w:val="-1771005620"/>
        <w:lock w:val="sdtContentLocked"/>
        <w:showingPlcHdr/>
        <w:text/>
      </w:sdtPr>
      <w:sdtEndPr/>
      <w:sdtContent>
        <w:r w:rsidR="00683CE2">
          <w:t>Date Reviewed/Revised/E</w:t>
        </w:r>
        <w:r w:rsidR="00683CE2" w:rsidRPr="00683CE2">
          <w:t>ffective:</w:t>
        </w:r>
      </w:sdtContent>
    </w:sdt>
    <w:r w:rsidR="00683CE2" w:rsidRPr="002D5692">
      <w:rPr>
        <w:b/>
      </w:rPr>
      <w:t xml:space="preserve"> </w:t>
    </w:r>
    <w:sdt>
      <w:sdtPr>
        <w:alias w:val="Date reviewed now; Site Admin choose approval date later"/>
        <w:tag w:val="Date reviewed now; Site Admin choose approval date later"/>
        <w:id w:val="1594821432"/>
        <w:lock w:val="sdtLocked"/>
        <w:date w:fullDate="2018-08-27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482FA1">
          <w:t>8/27/2018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16" w:rsidRDefault="00F21716" w:rsidP="00BC345C">
      <w:r>
        <w:separator/>
      </w:r>
    </w:p>
  </w:footnote>
  <w:footnote w:type="continuationSeparator" w:id="0">
    <w:p w:rsidR="00F21716" w:rsidRDefault="00F21716" w:rsidP="00BC345C">
      <w:r>
        <w:continuationSeparator/>
      </w:r>
    </w:p>
  </w:footnote>
  <w:footnote w:type="continuationNotice" w:id="1">
    <w:p w:rsidR="00F21716" w:rsidRDefault="00F21716" w:rsidP="00BC34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085F3"/>
    <w:multiLevelType w:val="hybridMultilevel"/>
    <w:tmpl w:val="A2502A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93C460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A5C8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A789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A02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AF489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50EB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5839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4F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30C1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4766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EF7999"/>
    <w:multiLevelType w:val="hybridMultilevel"/>
    <w:tmpl w:val="FC56F362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E4347A"/>
    <w:multiLevelType w:val="hybridMultilevel"/>
    <w:tmpl w:val="DAA696E8"/>
    <w:lvl w:ilvl="0" w:tplc="9EF8152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410DB"/>
    <w:multiLevelType w:val="hybridMultilevel"/>
    <w:tmpl w:val="68DAE58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9E7AF5"/>
    <w:multiLevelType w:val="hybridMultilevel"/>
    <w:tmpl w:val="CA8AC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E7026E"/>
    <w:multiLevelType w:val="hybridMultilevel"/>
    <w:tmpl w:val="ADC4A6CE"/>
    <w:lvl w:ilvl="0" w:tplc="25DA5E8E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BC66A9"/>
    <w:multiLevelType w:val="hybridMultilevel"/>
    <w:tmpl w:val="0FC4254E"/>
    <w:lvl w:ilvl="0" w:tplc="46A44E3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E171DCE"/>
    <w:multiLevelType w:val="hybridMultilevel"/>
    <w:tmpl w:val="56C8D3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55C58"/>
    <w:multiLevelType w:val="hybridMultilevel"/>
    <w:tmpl w:val="EE641A78"/>
    <w:lvl w:ilvl="0" w:tplc="314A614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8D749B"/>
    <w:multiLevelType w:val="hybridMultilevel"/>
    <w:tmpl w:val="38F0BF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B63B0"/>
    <w:multiLevelType w:val="hybridMultilevel"/>
    <w:tmpl w:val="8BDAA348"/>
    <w:lvl w:ilvl="0" w:tplc="A5808B3A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71E73"/>
    <w:multiLevelType w:val="hybridMultilevel"/>
    <w:tmpl w:val="26FE5492"/>
    <w:lvl w:ilvl="0" w:tplc="7C2E648C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2A76FE"/>
    <w:multiLevelType w:val="hybridMultilevel"/>
    <w:tmpl w:val="A0F2FC24"/>
    <w:lvl w:ilvl="0" w:tplc="3E68765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B6BE9"/>
    <w:multiLevelType w:val="hybridMultilevel"/>
    <w:tmpl w:val="FF3AD920"/>
    <w:lvl w:ilvl="0" w:tplc="3272C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A345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27">
    <w:nsid w:val="42DB7D97"/>
    <w:multiLevelType w:val="hybridMultilevel"/>
    <w:tmpl w:val="DEE45794"/>
    <w:lvl w:ilvl="0" w:tplc="952085BE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922249"/>
    <w:multiLevelType w:val="hybridMultilevel"/>
    <w:tmpl w:val="56AA095A"/>
    <w:lvl w:ilvl="0" w:tplc="0E7AA6AA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5BC7"/>
    <w:multiLevelType w:val="hybridMultilevel"/>
    <w:tmpl w:val="9F9A3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E87553"/>
    <w:multiLevelType w:val="hybridMultilevel"/>
    <w:tmpl w:val="6746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F73A2"/>
    <w:multiLevelType w:val="hybridMultilevel"/>
    <w:tmpl w:val="FF3AD920"/>
    <w:lvl w:ilvl="0" w:tplc="3272C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F3843"/>
    <w:multiLevelType w:val="hybridMultilevel"/>
    <w:tmpl w:val="4470FD70"/>
    <w:lvl w:ilvl="0" w:tplc="98E64BD8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A514D"/>
    <w:multiLevelType w:val="hybridMultilevel"/>
    <w:tmpl w:val="8A9C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42C3C"/>
    <w:multiLevelType w:val="hybridMultilevel"/>
    <w:tmpl w:val="3E4EB916"/>
    <w:lvl w:ilvl="0" w:tplc="E2547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C57D4"/>
    <w:multiLevelType w:val="hybridMultilevel"/>
    <w:tmpl w:val="71E4CF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5A30A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>
    <w:nsid w:val="694E1DDE"/>
    <w:multiLevelType w:val="hybridMultilevel"/>
    <w:tmpl w:val="EBE8B9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693428"/>
    <w:multiLevelType w:val="hybridMultilevel"/>
    <w:tmpl w:val="DA1057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0712DC"/>
    <w:multiLevelType w:val="hybridMultilevel"/>
    <w:tmpl w:val="39CA42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74235"/>
    <w:multiLevelType w:val="hybridMultilevel"/>
    <w:tmpl w:val="11F2D3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F12E9"/>
    <w:multiLevelType w:val="hybridMultilevel"/>
    <w:tmpl w:val="6746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3"/>
  </w:num>
  <w:num w:numId="12">
    <w:abstractNumId w:val="42"/>
  </w:num>
  <w:num w:numId="13">
    <w:abstractNumId w:val="30"/>
  </w:num>
  <w:num w:numId="14">
    <w:abstractNumId w:val="29"/>
  </w:num>
  <w:num w:numId="15">
    <w:abstractNumId w:val="0"/>
  </w:num>
  <w:num w:numId="16">
    <w:abstractNumId w:val="31"/>
  </w:num>
  <w:num w:numId="17">
    <w:abstractNumId w:val="24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23"/>
  </w:num>
  <w:num w:numId="29">
    <w:abstractNumId w:val="12"/>
  </w:num>
  <w:num w:numId="30">
    <w:abstractNumId w:val="15"/>
  </w:num>
  <w:num w:numId="31">
    <w:abstractNumId w:val="27"/>
  </w:num>
  <w:num w:numId="32">
    <w:abstractNumId w:val="32"/>
  </w:num>
  <w:num w:numId="33">
    <w:abstractNumId w:val="28"/>
  </w:num>
  <w:num w:numId="34">
    <w:abstractNumId w:val="34"/>
  </w:num>
  <w:num w:numId="35">
    <w:abstractNumId w:val="20"/>
  </w:num>
  <w:num w:numId="36">
    <w:abstractNumId w:val="18"/>
  </w:num>
  <w:num w:numId="37">
    <w:abstractNumId w:val="22"/>
  </w:num>
  <w:num w:numId="38">
    <w:abstractNumId w:val="16"/>
  </w:num>
  <w:num w:numId="39">
    <w:abstractNumId w:val="37"/>
  </w:num>
  <w:num w:numId="40">
    <w:abstractNumId w:val="26"/>
  </w:num>
  <w:num w:numId="41">
    <w:abstractNumId w:val="26"/>
  </w:num>
  <w:num w:numId="42">
    <w:abstractNumId w:val="21"/>
  </w:num>
  <w:num w:numId="43">
    <w:abstractNumId w:val="40"/>
  </w:num>
  <w:num w:numId="44">
    <w:abstractNumId w:val="36"/>
  </w:num>
  <w:num w:numId="45">
    <w:abstractNumId w:val="25"/>
  </w:num>
  <w:num w:numId="46">
    <w:abstractNumId w:val="26"/>
  </w:num>
  <w:num w:numId="47">
    <w:abstractNumId w:val="26"/>
  </w:num>
  <w:num w:numId="48">
    <w:abstractNumId w:val="26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144"/>
  <w:doNotShadeFormData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16"/>
    <w:rsid w:val="00001E32"/>
    <w:rsid w:val="00004BD1"/>
    <w:rsid w:val="00012B6D"/>
    <w:rsid w:val="00014028"/>
    <w:rsid w:val="000217D9"/>
    <w:rsid w:val="0002329F"/>
    <w:rsid w:val="000234E1"/>
    <w:rsid w:val="00024F5F"/>
    <w:rsid w:val="0002767C"/>
    <w:rsid w:val="00027AF5"/>
    <w:rsid w:val="00033322"/>
    <w:rsid w:val="00043DCD"/>
    <w:rsid w:val="00044F22"/>
    <w:rsid w:val="000470F9"/>
    <w:rsid w:val="0005026E"/>
    <w:rsid w:val="00051C5D"/>
    <w:rsid w:val="00052673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1ED6"/>
    <w:rsid w:val="00086066"/>
    <w:rsid w:val="000900A7"/>
    <w:rsid w:val="00092806"/>
    <w:rsid w:val="00093461"/>
    <w:rsid w:val="000A1C4E"/>
    <w:rsid w:val="000A2C3A"/>
    <w:rsid w:val="000A4FCF"/>
    <w:rsid w:val="000A65EE"/>
    <w:rsid w:val="000B10C5"/>
    <w:rsid w:val="000B17F4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B73"/>
    <w:rsid w:val="000C5D57"/>
    <w:rsid w:val="000C7585"/>
    <w:rsid w:val="000C76AC"/>
    <w:rsid w:val="000C78C8"/>
    <w:rsid w:val="000C7EFD"/>
    <w:rsid w:val="000D0094"/>
    <w:rsid w:val="000D2B0F"/>
    <w:rsid w:val="000D4471"/>
    <w:rsid w:val="000E0904"/>
    <w:rsid w:val="000E1519"/>
    <w:rsid w:val="000E31C9"/>
    <w:rsid w:val="000E65AE"/>
    <w:rsid w:val="000E74C1"/>
    <w:rsid w:val="000F0169"/>
    <w:rsid w:val="000F2EDF"/>
    <w:rsid w:val="00101BC0"/>
    <w:rsid w:val="00104D92"/>
    <w:rsid w:val="00115085"/>
    <w:rsid w:val="0011719F"/>
    <w:rsid w:val="001175E1"/>
    <w:rsid w:val="00120A32"/>
    <w:rsid w:val="00121FF4"/>
    <w:rsid w:val="0012247B"/>
    <w:rsid w:val="00126604"/>
    <w:rsid w:val="00126C09"/>
    <w:rsid w:val="0012756F"/>
    <w:rsid w:val="001332BF"/>
    <w:rsid w:val="00135698"/>
    <w:rsid w:val="0013595E"/>
    <w:rsid w:val="00145501"/>
    <w:rsid w:val="0015118F"/>
    <w:rsid w:val="001521E8"/>
    <w:rsid w:val="00152A68"/>
    <w:rsid w:val="00152DD9"/>
    <w:rsid w:val="00153126"/>
    <w:rsid w:val="0015530D"/>
    <w:rsid w:val="001557FD"/>
    <w:rsid w:val="001572F9"/>
    <w:rsid w:val="0015776B"/>
    <w:rsid w:val="001637A7"/>
    <w:rsid w:val="001639FA"/>
    <w:rsid w:val="0016787E"/>
    <w:rsid w:val="00171135"/>
    <w:rsid w:val="001732D9"/>
    <w:rsid w:val="0017789F"/>
    <w:rsid w:val="00180C4C"/>
    <w:rsid w:val="00183120"/>
    <w:rsid w:val="001838C1"/>
    <w:rsid w:val="001856C2"/>
    <w:rsid w:val="001859EC"/>
    <w:rsid w:val="001871C0"/>
    <w:rsid w:val="00187B64"/>
    <w:rsid w:val="00191965"/>
    <w:rsid w:val="00193532"/>
    <w:rsid w:val="001941B8"/>
    <w:rsid w:val="00196B2F"/>
    <w:rsid w:val="00196F03"/>
    <w:rsid w:val="00197B24"/>
    <w:rsid w:val="001A0286"/>
    <w:rsid w:val="001A2352"/>
    <w:rsid w:val="001A7CEC"/>
    <w:rsid w:val="001B3971"/>
    <w:rsid w:val="001C0868"/>
    <w:rsid w:val="001C0C98"/>
    <w:rsid w:val="001C2FB8"/>
    <w:rsid w:val="001C31AD"/>
    <w:rsid w:val="001C3A49"/>
    <w:rsid w:val="001C4DBC"/>
    <w:rsid w:val="001C5689"/>
    <w:rsid w:val="001C6B0D"/>
    <w:rsid w:val="001D0598"/>
    <w:rsid w:val="001D201B"/>
    <w:rsid w:val="001D20D7"/>
    <w:rsid w:val="001D2F66"/>
    <w:rsid w:val="001E161C"/>
    <w:rsid w:val="001E2220"/>
    <w:rsid w:val="001F23A1"/>
    <w:rsid w:val="001F313E"/>
    <w:rsid w:val="001F3C76"/>
    <w:rsid w:val="00200312"/>
    <w:rsid w:val="002015A3"/>
    <w:rsid w:val="002036A5"/>
    <w:rsid w:val="002042DB"/>
    <w:rsid w:val="00205AD6"/>
    <w:rsid w:val="002074DD"/>
    <w:rsid w:val="002108A7"/>
    <w:rsid w:val="00210C83"/>
    <w:rsid w:val="00210E01"/>
    <w:rsid w:val="00212322"/>
    <w:rsid w:val="0021361E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67EE"/>
    <w:rsid w:val="00251550"/>
    <w:rsid w:val="002541ED"/>
    <w:rsid w:val="00265569"/>
    <w:rsid w:val="00270C51"/>
    <w:rsid w:val="00272050"/>
    <w:rsid w:val="002721A3"/>
    <w:rsid w:val="0027696F"/>
    <w:rsid w:val="00280848"/>
    <w:rsid w:val="00280E6E"/>
    <w:rsid w:val="00281F5A"/>
    <w:rsid w:val="0028594D"/>
    <w:rsid w:val="00290456"/>
    <w:rsid w:val="00290B39"/>
    <w:rsid w:val="0029108B"/>
    <w:rsid w:val="00292A01"/>
    <w:rsid w:val="00293E9D"/>
    <w:rsid w:val="002A1160"/>
    <w:rsid w:val="002A38F7"/>
    <w:rsid w:val="002A6D2D"/>
    <w:rsid w:val="002A6FCC"/>
    <w:rsid w:val="002B0316"/>
    <w:rsid w:val="002B24EC"/>
    <w:rsid w:val="002B4931"/>
    <w:rsid w:val="002B50EE"/>
    <w:rsid w:val="002B7A6D"/>
    <w:rsid w:val="002C17AC"/>
    <w:rsid w:val="002C3075"/>
    <w:rsid w:val="002D1605"/>
    <w:rsid w:val="002D1FB8"/>
    <w:rsid w:val="002D2341"/>
    <w:rsid w:val="002D5692"/>
    <w:rsid w:val="002E0775"/>
    <w:rsid w:val="002E3B3E"/>
    <w:rsid w:val="002E507A"/>
    <w:rsid w:val="002E7A4E"/>
    <w:rsid w:val="002F0CB1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45CDE"/>
    <w:rsid w:val="00350E08"/>
    <w:rsid w:val="0035282C"/>
    <w:rsid w:val="00354698"/>
    <w:rsid w:val="00356BD8"/>
    <w:rsid w:val="003619CA"/>
    <w:rsid w:val="003741D4"/>
    <w:rsid w:val="0037538B"/>
    <w:rsid w:val="003754B2"/>
    <w:rsid w:val="003836F7"/>
    <w:rsid w:val="00384654"/>
    <w:rsid w:val="0038505E"/>
    <w:rsid w:val="00390380"/>
    <w:rsid w:val="003928FF"/>
    <w:rsid w:val="003929D0"/>
    <w:rsid w:val="003932D4"/>
    <w:rsid w:val="00393C4A"/>
    <w:rsid w:val="00394092"/>
    <w:rsid w:val="003A1105"/>
    <w:rsid w:val="003A7FD1"/>
    <w:rsid w:val="003B20FB"/>
    <w:rsid w:val="003B3276"/>
    <w:rsid w:val="003B37DF"/>
    <w:rsid w:val="003C0859"/>
    <w:rsid w:val="003C36A6"/>
    <w:rsid w:val="003C3EBC"/>
    <w:rsid w:val="003C4C2F"/>
    <w:rsid w:val="003C679D"/>
    <w:rsid w:val="003D0E0E"/>
    <w:rsid w:val="003D2689"/>
    <w:rsid w:val="003D3D26"/>
    <w:rsid w:val="003E0390"/>
    <w:rsid w:val="003E0D0D"/>
    <w:rsid w:val="003E10B4"/>
    <w:rsid w:val="003E1A0E"/>
    <w:rsid w:val="003F11F2"/>
    <w:rsid w:val="003F49E6"/>
    <w:rsid w:val="003F5C20"/>
    <w:rsid w:val="00401D56"/>
    <w:rsid w:val="00404EF9"/>
    <w:rsid w:val="00410935"/>
    <w:rsid w:val="00415776"/>
    <w:rsid w:val="00416AAB"/>
    <w:rsid w:val="00417676"/>
    <w:rsid w:val="0042016E"/>
    <w:rsid w:val="00421584"/>
    <w:rsid w:val="00425608"/>
    <w:rsid w:val="004342AA"/>
    <w:rsid w:val="0043714B"/>
    <w:rsid w:val="00440AAE"/>
    <w:rsid w:val="00443989"/>
    <w:rsid w:val="00445C4B"/>
    <w:rsid w:val="00454874"/>
    <w:rsid w:val="004637A1"/>
    <w:rsid w:val="004659C4"/>
    <w:rsid w:val="00467296"/>
    <w:rsid w:val="004678A5"/>
    <w:rsid w:val="00470D3E"/>
    <w:rsid w:val="00471D80"/>
    <w:rsid w:val="00472704"/>
    <w:rsid w:val="00472775"/>
    <w:rsid w:val="00474978"/>
    <w:rsid w:val="004778C7"/>
    <w:rsid w:val="00482189"/>
    <w:rsid w:val="00482FA1"/>
    <w:rsid w:val="0048474C"/>
    <w:rsid w:val="00485F3D"/>
    <w:rsid w:val="00487D63"/>
    <w:rsid w:val="00492DD8"/>
    <w:rsid w:val="00494298"/>
    <w:rsid w:val="004A13B5"/>
    <w:rsid w:val="004A7085"/>
    <w:rsid w:val="004A7533"/>
    <w:rsid w:val="004A7CE3"/>
    <w:rsid w:val="004B0B7D"/>
    <w:rsid w:val="004B157B"/>
    <w:rsid w:val="004B1C04"/>
    <w:rsid w:val="004B3A82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E1C"/>
    <w:rsid w:val="005103CE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71A6C"/>
    <w:rsid w:val="00572E04"/>
    <w:rsid w:val="005808C4"/>
    <w:rsid w:val="00581E59"/>
    <w:rsid w:val="005847C3"/>
    <w:rsid w:val="0058482C"/>
    <w:rsid w:val="0058751F"/>
    <w:rsid w:val="00587F92"/>
    <w:rsid w:val="00590CA6"/>
    <w:rsid w:val="00595249"/>
    <w:rsid w:val="00597202"/>
    <w:rsid w:val="005A0DB8"/>
    <w:rsid w:val="005A110B"/>
    <w:rsid w:val="005A4B9D"/>
    <w:rsid w:val="005A5F70"/>
    <w:rsid w:val="005B5D1D"/>
    <w:rsid w:val="005B7A7B"/>
    <w:rsid w:val="005B7FC8"/>
    <w:rsid w:val="005C336B"/>
    <w:rsid w:val="005C5811"/>
    <w:rsid w:val="005C7465"/>
    <w:rsid w:val="005C7944"/>
    <w:rsid w:val="005D104B"/>
    <w:rsid w:val="005D24CF"/>
    <w:rsid w:val="005D27A5"/>
    <w:rsid w:val="005D3686"/>
    <w:rsid w:val="005E00C7"/>
    <w:rsid w:val="005E09D3"/>
    <w:rsid w:val="005E37C5"/>
    <w:rsid w:val="005E6FB6"/>
    <w:rsid w:val="005F4426"/>
    <w:rsid w:val="005F45CB"/>
    <w:rsid w:val="005F7413"/>
    <w:rsid w:val="006026DA"/>
    <w:rsid w:val="00610243"/>
    <w:rsid w:val="006124C5"/>
    <w:rsid w:val="00612B25"/>
    <w:rsid w:val="006200A0"/>
    <w:rsid w:val="00626F11"/>
    <w:rsid w:val="00630757"/>
    <w:rsid w:val="00630AC0"/>
    <w:rsid w:val="006329D0"/>
    <w:rsid w:val="0063776A"/>
    <w:rsid w:val="00642C65"/>
    <w:rsid w:val="006474BE"/>
    <w:rsid w:val="006478C1"/>
    <w:rsid w:val="00654306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7B90"/>
    <w:rsid w:val="00683CE2"/>
    <w:rsid w:val="00693807"/>
    <w:rsid w:val="006A1283"/>
    <w:rsid w:val="006A19E1"/>
    <w:rsid w:val="006A3FC5"/>
    <w:rsid w:val="006A62B5"/>
    <w:rsid w:val="006A766E"/>
    <w:rsid w:val="006B0274"/>
    <w:rsid w:val="006B0B05"/>
    <w:rsid w:val="006B1EE3"/>
    <w:rsid w:val="006B397C"/>
    <w:rsid w:val="006B6924"/>
    <w:rsid w:val="006B77F2"/>
    <w:rsid w:val="006B791F"/>
    <w:rsid w:val="006B7986"/>
    <w:rsid w:val="006C0853"/>
    <w:rsid w:val="006C1397"/>
    <w:rsid w:val="006C5D4D"/>
    <w:rsid w:val="006C67F9"/>
    <w:rsid w:val="006D39A2"/>
    <w:rsid w:val="006D39DE"/>
    <w:rsid w:val="006E2CC7"/>
    <w:rsid w:val="006E5480"/>
    <w:rsid w:val="006F1B30"/>
    <w:rsid w:val="006F2713"/>
    <w:rsid w:val="0070505C"/>
    <w:rsid w:val="00705970"/>
    <w:rsid w:val="007142AB"/>
    <w:rsid w:val="00721898"/>
    <w:rsid w:val="00721D2D"/>
    <w:rsid w:val="0072230A"/>
    <w:rsid w:val="007345ED"/>
    <w:rsid w:val="00735AA3"/>
    <w:rsid w:val="0073646C"/>
    <w:rsid w:val="0073688D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1BF4"/>
    <w:rsid w:val="00773F20"/>
    <w:rsid w:val="00775235"/>
    <w:rsid w:val="00775440"/>
    <w:rsid w:val="00776372"/>
    <w:rsid w:val="0077744A"/>
    <w:rsid w:val="00781F33"/>
    <w:rsid w:val="00784CB1"/>
    <w:rsid w:val="00785D29"/>
    <w:rsid w:val="00785D86"/>
    <w:rsid w:val="007914BA"/>
    <w:rsid w:val="00792390"/>
    <w:rsid w:val="007975A1"/>
    <w:rsid w:val="007A2057"/>
    <w:rsid w:val="007A571A"/>
    <w:rsid w:val="007A5A17"/>
    <w:rsid w:val="007A7201"/>
    <w:rsid w:val="007B0F96"/>
    <w:rsid w:val="007B3317"/>
    <w:rsid w:val="007B35B4"/>
    <w:rsid w:val="007B4876"/>
    <w:rsid w:val="007B6E89"/>
    <w:rsid w:val="007C1686"/>
    <w:rsid w:val="007C4792"/>
    <w:rsid w:val="007C77B9"/>
    <w:rsid w:val="007D093E"/>
    <w:rsid w:val="007D1CAF"/>
    <w:rsid w:val="007D5B21"/>
    <w:rsid w:val="007D613C"/>
    <w:rsid w:val="007E1D27"/>
    <w:rsid w:val="007E46D4"/>
    <w:rsid w:val="007E7C00"/>
    <w:rsid w:val="007F0A78"/>
    <w:rsid w:val="007F2E9C"/>
    <w:rsid w:val="007F5055"/>
    <w:rsid w:val="007F6E4F"/>
    <w:rsid w:val="00801CAF"/>
    <w:rsid w:val="00803395"/>
    <w:rsid w:val="00807845"/>
    <w:rsid w:val="00811915"/>
    <w:rsid w:val="00813A7B"/>
    <w:rsid w:val="00816295"/>
    <w:rsid w:val="00824217"/>
    <w:rsid w:val="008266BC"/>
    <w:rsid w:val="00830EA1"/>
    <w:rsid w:val="00831463"/>
    <w:rsid w:val="008346F6"/>
    <w:rsid w:val="008418A1"/>
    <w:rsid w:val="008419CC"/>
    <w:rsid w:val="00847276"/>
    <w:rsid w:val="008472A5"/>
    <w:rsid w:val="00852239"/>
    <w:rsid w:val="00852C6C"/>
    <w:rsid w:val="008619F8"/>
    <w:rsid w:val="00861D4E"/>
    <w:rsid w:val="008661FF"/>
    <w:rsid w:val="00871139"/>
    <w:rsid w:val="0087347C"/>
    <w:rsid w:val="00873864"/>
    <w:rsid w:val="00873A05"/>
    <w:rsid w:val="00875CBB"/>
    <w:rsid w:val="00882820"/>
    <w:rsid w:val="0088637A"/>
    <w:rsid w:val="008865DA"/>
    <w:rsid w:val="00887210"/>
    <w:rsid w:val="00891DA2"/>
    <w:rsid w:val="00894903"/>
    <w:rsid w:val="00896BE3"/>
    <w:rsid w:val="00896E1A"/>
    <w:rsid w:val="00897080"/>
    <w:rsid w:val="008A2568"/>
    <w:rsid w:val="008A3CD4"/>
    <w:rsid w:val="008B3797"/>
    <w:rsid w:val="008B5DF2"/>
    <w:rsid w:val="008C2775"/>
    <w:rsid w:val="008C7454"/>
    <w:rsid w:val="008D2B1D"/>
    <w:rsid w:val="008D2CEE"/>
    <w:rsid w:val="008D30B9"/>
    <w:rsid w:val="008D4356"/>
    <w:rsid w:val="008D4C35"/>
    <w:rsid w:val="008D4DF5"/>
    <w:rsid w:val="008D5776"/>
    <w:rsid w:val="008D5CF8"/>
    <w:rsid w:val="008E508F"/>
    <w:rsid w:val="008F182F"/>
    <w:rsid w:val="008F2BCA"/>
    <w:rsid w:val="008F381E"/>
    <w:rsid w:val="008F5CEC"/>
    <w:rsid w:val="008F7DC2"/>
    <w:rsid w:val="00900B17"/>
    <w:rsid w:val="00910715"/>
    <w:rsid w:val="0091082C"/>
    <w:rsid w:val="00913EA0"/>
    <w:rsid w:val="009172F9"/>
    <w:rsid w:val="0091799A"/>
    <w:rsid w:val="00917DBF"/>
    <w:rsid w:val="009237B9"/>
    <w:rsid w:val="0092495E"/>
    <w:rsid w:val="00926945"/>
    <w:rsid w:val="00930E21"/>
    <w:rsid w:val="00934625"/>
    <w:rsid w:val="0093465B"/>
    <w:rsid w:val="009359FE"/>
    <w:rsid w:val="00937110"/>
    <w:rsid w:val="00940326"/>
    <w:rsid w:val="00942E7F"/>
    <w:rsid w:val="00944D52"/>
    <w:rsid w:val="00950C95"/>
    <w:rsid w:val="00953A92"/>
    <w:rsid w:val="00954467"/>
    <w:rsid w:val="009552A4"/>
    <w:rsid w:val="00955F8B"/>
    <w:rsid w:val="00956788"/>
    <w:rsid w:val="0095737C"/>
    <w:rsid w:val="0096077B"/>
    <w:rsid w:val="009611D3"/>
    <w:rsid w:val="00962068"/>
    <w:rsid w:val="00962939"/>
    <w:rsid w:val="00966938"/>
    <w:rsid w:val="00972331"/>
    <w:rsid w:val="0097274F"/>
    <w:rsid w:val="00973244"/>
    <w:rsid w:val="009820F3"/>
    <w:rsid w:val="00985A8B"/>
    <w:rsid w:val="0099143F"/>
    <w:rsid w:val="009921FE"/>
    <w:rsid w:val="00995A1F"/>
    <w:rsid w:val="00996235"/>
    <w:rsid w:val="00997523"/>
    <w:rsid w:val="009A176F"/>
    <w:rsid w:val="009A18BE"/>
    <w:rsid w:val="009A2623"/>
    <w:rsid w:val="009A28B6"/>
    <w:rsid w:val="009A2E64"/>
    <w:rsid w:val="009A31C1"/>
    <w:rsid w:val="009A5DAC"/>
    <w:rsid w:val="009B0930"/>
    <w:rsid w:val="009B1F2D"/>
    <w:rsid w:val="009B3919"/>
    <w:rsid w:val="009B59BB"/>
    <w:rsid w:val="009B7BF7"/>
    <w:rsid w:val="009C251E"/>
    <w:rsid w:val="009C2EDB"/>
    <w:rsid w:val="009C44D8"/>
    <w:rsid w:val="009C5A19"/>
    <w:rsid w:val="009C7837"/>
    <w:rsid w:val="009D1461"/>
    <w:rsid w:val="009D479E"/>
    <w:rsid w:val="009E1F0E"/>
    <w:rsid w:val="009E2BD6"/>
    <w:rsid w:val="009E352D"/>
    <w:rsid w:val="009F074D"/>
    <w:rsid w:val="009F1A62"/>
    <w:rsid w:val="009F27A1"/>
    <w:rsid w:val="009F7DBD"/>
    <w:rsid w:val="00A01DD0"/>
    <w:rsid w:val="00A04EC6"/>
    <w:rsid w:val="00A05727"/>
    <w:rsid w:val="00A1147C"/>
    <w:rsid w:val="00A118BE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E4D"/>
    <w:rsid w:val="00A33BC6"/>
    <w:rsid w:val="00A33D24"/>
    <w:rsid w:val="00A418A2"/>
    <w:rsid w:val="00A42C41"/>
    <w:rsid w:val="00A445CE"/>
    <w:rsid w:val="00A46EB1"/>
    <w:rsid w:val="00A47345"/>
    <w:rsid w:val="00A537D4"/>
    <w:rsid w:val="00A53FAE"/>
    <w:rsid w:val="00A63E5D"/>
    <w:rsid w:val="00A70742"/>
    <w:rsid w:val="00A82CBC"/>
    <w:rsid w:val="00A85C77"/>
    <w:rsid w:val="00A924E3"/>
    <w:rsid w:val="00A94BEB"/>
    <w:rsid w:val="00A956FF"/>
    <w:rsid w:val="00A9666F"/>
    <w:rsid w:val="00A97BEC"/>
    <w:rsid w:val="00AB066F"/>
    <w:rsid w:val="00AB0E4E"/>
    <w:rsid w:val="00AB2AA2"/>
    <w:rsid w:val="00AB3E86"/>
    <w:rsid w:val="00AB51AB"/>
    <w:rsid w:val="00AC1A7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0677E"/>
    <w:rsid w:val="00B143F7"/>
    <w:rsid w:val="00B15C45"/>
    <w:rsid w:val="00B17355"/>
    <w:rsid w:val="00B17D9F"/>
    <w:rsid w:val="00B21238"/>
    <w:rsid w:val="00B216C3"/>
    <w:rsid w:val="00B227A0"/>
    <w:rsid w:val="00B22A5C"/>
    <w:rsid w:val="00B24462"/>
    <w:rsid w:val="00B31711"/>
    <w:rsid w:val="00B318DE"/>
    <w:rsid w:val="00B31C2B"/>
    <w:rsid w:val="00B37940"/>
    <w:rsid w:val="00B37E50"/>
    <w:rsid w:val="00B40250"/>
    <w:rsid w:val="00B40650"/>
    <w:rsid w:val="00B52D07"/>
    <w:rsid w:val="00B553DA"/>
    <w:rsid w:val="00B56C79"/>
    <w:rsid w:val="00B57BDC"/>
    <w:rsid w:val="00B752F9"/>
    <w:rsid w:val="00B75812"/>
    <w:rsid w:val="00B769EF"/>
    <w:rsid w:val="00B77137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64C9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B4"/>
    <w:rsid w:val="00BC612B"/>
    <w:rsid w:val="00BD0DC1"/>
    <w:rsid w:val="00BD15CE"/>
    <w:rsid w:val="00BD26B7"/>
    <w:rsid w:val="00BD443E"/>
    <w:rsid w:val="00BD503C"/>
    <w:rsid w:val="00BD6791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636C"/>
    <w:rsid w:val="00C07757"/>
    <w:rsid w:val="00C11899"/>
    <w:rsid w:val="00C12975"/>
    <w:rsid w:val="00C13C73"/>
    <w:rsid w:val="00C17D67"/>
    <w:rsid w:val="00C204C3"/>
    <w:rsid w:val="00C229AD"/>
    <w:rsid w:val="00C24F3A"/>
    <w:rsid w:val="00C25EF4"/>
    <w:rsid w:val="00C30277"/>
    <w:rsid w:val="00C308DD"/>
    <w:rsid w:val="00C31193"/>
    <w:rsid w:val="00C315F1"/>
    <w:rsid w:val="00C341FD"/>
    <w:rsid w:val="00C34782"/>
    <w:rsid w:val="00C34F82"/>
    <w:rsid w:val="00C36935"/>
    <w:rsid w:val="00C51FB7"/>
    <w:rsid w:val="00C53BC3"/>
    <w:rsid w:val="00C54A78"/>
    <w:rsid w:val="00C55429"/>
    <w:rsid w:val="00C64FFE"/>
    <w:rsid w:val="00C70248"/>
    <w:rsid w:val="00C71D93"/>
    <w:rsid w:val="00C732B7"/>
    <w:rsid w:val="00C870C7"/>
    <w:rsid w:val="00C87308"/>
    <w:rsid w:val="00C90462"/>
    <w:rsid w:val="00C9239B"/>
    <w:rsid w:val="00C93C1F"/>
    <w:rsid w:val="00C9462C"/>
    <w:rsid w:val="00C95DA5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359D"/>
    <w:rsid w:val="00CF5236"/>
    <w:rsid w:val="00D027CE"/>
    <w:rsid w:val="00D04C9E"/>
    <w:rsid w:val="00D0637F"/>
    <w:rsid w:val="00D14030"/>
    <w:rsid w:val="00D149DF"/>
    <w:rsid w:val="00D157E9"/>
    <w:rsid w:val="00D17770"/>
    <w:rsid w:val="00D1786A"/>
    <w:rsid w:val="00D17F00"/>
    <w:rsid w:val="00D27B31"/>
    <w:rsid w:val="00D31279"/>
    <w:rsid w:val="00D363BE"/>
    <w:rsid w:val="00D40827"/>
    <w:rsid w:val="00D40BFF"/>
    <w:rsid w:val="00D41868"/>
    <w:rsid w:val="00D43729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75056"/>
    <w:rsid w:val="00D76947"/>
    <w:rsid w:val="00D833EF"/>
    <w:rsid w:val="00D85019"/>
    <w:rsid w:val="00D85816"/>
    <w:rsid w:val="00D86210"/>
    <w:rsid w:val="00D8667A"/>
    <w:rsid w:val="00D87796"/>
    <w:rsid w:val="00D91B7D"/>
    <w:rsid w:val="00D9312B"/>
    <w:rsid w:val="00D94158"/>
    <w:rsid w:val="00D94EF2"/>
    <w:rsid w:val="00D94F07"/>
    <w:rsid w:val="00D9679C"/>
    <w:rsid w:val="00D96FBA"/>
    <w:rsid w:val="00DA1F1B"/>
    <w:rsid w:val="00DA4FAD"/>
    <w:rsid w:val="00DA7582"/>
    <w:rsid w:val="00DA7C66"/>
    <w:rsid w:val="00DB0E51"/>
    <w:rsid w:val="00DB5C15"/>
    <w:rsid w:val="00DB7966"/>
    <w:rsid w:val="00DC0D3A"/>
    <w:rsid w:val="00DC2804"/>
    <w:rsid w:val="00DC558C"/>
    <w:rsid w:val="00DD0C90"/>
    <w:rsid w:val="00DD0EC5"/>
    <w:rsid w:val="00DD294C"/>
    <w:rsid w:val="00DE0F45"/>
    <w:rsid w:val="00DE2B2F"/>
    <w:rsid w:val="00DE5D8A"/>
    <w:rsid w:val="00DF0BA7"/>
    <w:rsid w:val="00DF5845"/>
    <w:rsid w:val="00E01359"/>
    <w:rsid w:val="00E01D7F"/>
    <w:rsid w:val="00E046B0"/>
    <w:rsid w:val="00E119F5"/>
    <w:rsid w:val="00E16CBC"/>
    <w:rsid w:val="00E2427F"/>
    <w:rsid w:val="00E26290"/>
    <w:rsid w:val="00E30AB8"/>
    <w:rsid w:val="00E33E29"/>
    <w:rsid w:val="00E4193A"/>
    <w:rsid w:val="00E43BB0"/>
    <w:rsid w:val="00E46580"/>
    <w:rsid w:val="00E5421B"/>
    <w:rsid w:val="00E55E43"/>
    <w:rsid w:val="00E5648C"/>
    <w:rsid w:val="00E565FC"/>
    <w:rsid w:val="00E571D8"/>
    <w:rsid w:val="00E60700"/>
    <w:rsid w:val="00E615CD"/>
    <w:rsid w:val="00E618FD"/>
    <w:rsid w:val="00E62CE7"/>
    <w:rsid w:val="00E64605"/>
    <w:rsid w:val="00E70B55"/>
    <w:rsid w:val="00E713DE"/>
    <w:rsid w:val="00E74A27"/>
    <w:rsid w:val="00E75A21"/>
    <w:rsid w:val="00E77C02"/>
    <w:rsid w:val="00E800D2"/>
    <w:rsid w:val="00E8098E"/>
    <w:rsid w:val="00E81850"/>
    <w:rsid w:val="00E830A2"/>
    <w:rsid w:val="00E85120"/>
    <w:rsid w:val="00E9085C"/>
    <w:rsid w:val="00E91B2A"/>
    <w:rsid w:val="00E963CB"/>
    <w:rsid w:val="00E964A7"/>
    <w:rsid w:val="00EA02B3"/>
    <w:rsid w:val="00EA19D4"/>
    <w:rsid w:val="00EA1FA8"/>
    <w:rsid w:val="00EA5343"/>
    <w:rsid w:val="00EA5CC7"/>
    <w:rsid w:val="00EA6C44"/>
    <w:rsid w:val="00EB0863"/>
    <w:rsid w:val="00EB227F"/>
    <w:rsid w:val="00EB2ADD"/>
    <w:rsid w:val="00EB34D2"/>
    <w:rsid w:val="00EB6A7A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4564"/>
    <w:rsid w:val="00EE4781"/>
    <w:rsid w:val="00EE4BE1"/>
    <w:rsid w:val="00EE52E7"/>
    <w:rsid w:val="00EE778E"/>
    <w:rsid w:val="00EF2ADD"/>
    <w:rsid w:val="00EF2BCA"/>
    <w:rsid w:val="00EF2C91"/>
    <w:rsid w:val="00EF492D"/>
    <w:rsid w:val="00F005CE"/>
    <w:rsid w:val="00F007EC"/>
    <w:rsid w:val="00F02560"/>
    <w:rsid w:val="00F06917"/>
    <w:rsid w:val="00F0799C"/>
    <w:rsid w:val="00F107A0"/>
    <w:rsid w:val="00F1429C"/>
    <w:rsid w:val="00F21716"/>
    <w:rsid w:val="00F2349D"/>
    <w:rsid w:val="00F255A6"/>
    <w:rsid w:val="00F268F0"/>
    <w:rsid w:val="00F31B54"/>
    <w:rsid w:val="00F31F6B"/>
    <w:rsid w:val="00F34251"/>
    <w:rsid w:val="00F364D0"/>
    <w:rsid w:val="00F40836"/>
    <w:rsid w:val="00F415B5"/>
    <w:rsid w:val="00F420FE"/>
    <w:rsid w:val="00F44131"/>
    <w:rsid w:val="00F454B3"/>
    <w:rsid w:val="00F45FA3"/>
    <w:rsid w:val="00F53341"/>
    <w:rsid w:val="00F54F98"/>
    <w:rsid w:val="00F55421"/>
    <w:rsid w:val="00F56031"/>
    <w:rsid w:val="00F57A8D"/>
    <w:rsid w:val="00F643DE"/>
    <w:rsid w:val="00F64A25"/>
    <w:rsid w:val="00F653CC"/>
    <w:rsid w:val="00F7468E"/>
    <w:rsid w:val="00F759C6"/>
    <w:rsid w:val="00F762D0"/>
    <w:rsid w:val="00F80925"/>
    <w:rsid w:val="00F8124D"/>
    <w:rsid w:val="00F87136"/>
    <w:rsid w:val="00F90C6E"/>
    <w:rsid w:val="00F90D90"/>
    <w:rsid w:val="00F93C15"/>
    <w:rsid w:val="00F951C7"/>
    <w:rsid w:val="00F95321"/>
    <w:rsid w:val="00F953D8"/>
    <w:rsid w:val="00FA01D6"/>
    <w:rsid w:val="00FA08F1"/>
    <w:rsid w:val="00FA368F"/>
    <w:rsid w:val="00FA39EE"/>
    <w:rsid w:val="00FB3BB1"/>
    <w:rsid w:val="00FB424C"/>
    <w:rsid w:val="00FB4854"/>
    <w:rsid w:val="00FC24FA"/>
    <w:rsid w:val="00FC3395"/>
    <w:rsid w:val="00FD3F08"/>
    <w:rsid w:val="00FD59EE"/>
    <w:rsid w:val="00FD7948"/>
    <w:rsid w:val="00FE04B6"/>
    <w:rsid w:val="00FE1575"/>
    <w:rsid w:val="00FE2CFA"/>
    <w:rsid w:val="00FE2EFB"/>
    <w:rsid w:val="00FE4769"/>
    <w:rsid w:val="00FE57B0"/>
    <w:rsid w:val="00FE63E7"/>
    <w:rsid w:val="00FE656B"/>
    <w:rsid w:val="00FF167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97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45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A82CBC"/>
    <w:pPr>
      <w:numPr>
        <w:numId w:val="40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40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4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40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40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40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40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40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40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CBC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semiHidden/>
    <w:qFormat/>
    <w:rsid w:val="00200312"/>
    <w:pPr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semiHidden/>
    <w:rsid w:val="00200312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404EF9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404EF9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F90D90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5D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97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45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A82CBC"/>
    <w:pPr>
      <w:numPr>
        <w:numId w:val="40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40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4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40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40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40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40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40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40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CBC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semiHidden/>
    <w:qFormat/>
    <w:rsid w:val="00200312"/>
    <w:pPr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semiHidden/>
    <w:rsid w:val="00200312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404EF9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404EF9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F90D90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5D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Policy%20Manager%20Formatted%20Procedures\Lab%20Analytic%20Styles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39B8BFCC03442A820A59456699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1792-E3F2-4535-980E-3E3C0AD95D19}"/>
      </w:docPartPr>
      <w:docPartBody>
        <w:p w:rsidR="0041400D" w:rsidRDefault="0041400D">
          <w:pPr>
            <w:pStyle w:val="ED39B8BFCC03442A820A5945669954C2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9C3543DD4C3B45D5B1EECB4B449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1BFC2-599A-4E49-9B0B-D0F9D8AFEFA5}"/>
      </w:docPartPr>
      <w:docPartBody>
        <w:p w:rsidR="0041400D" w:rsidRDefault="0041400D">
          <w:pPr>
            <w:pStyle w:val="9C3543DD4C3B45D5B1EECB4B449FB8E5"/>
          </w:pPr>
          <w:r w:rsidRPr="00871139">
            <w:rPr>
              <w:b/>
              <w:sz w:val="18"/>
            </w:rPr>
            <w:t>Central Coast Service Area North: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0D"/>
    <w:rsid w:val="004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39B8BFCC03442A820A5945669954C2">
    <w:name w:val="ED39B8BFCC03442A820A5945669954C2"/>
  </w:style>
  <w:style w:type="paragraph" w:customStyle="1" w:styleId="9C3543DD4C3B45D5B1EECB4B449FB8E5">
    <w:name w:val="9C3543DD4C3B45D5B1EECB4B449FB8E5"/>
  </w:style>
  <w:style w:type="paragraph" w:customStyle="1" w:styleId="E72A32E2141E431D9CAF88D3EA5527FE">
    <w:name w:val="E72A32E2141E431D9CAF88D3EA5527FE"/>
  </w:style>
  <w:style w:type="paragraph" w:customStyle="1" w:styleId="83FBDFB1BB3A4085B422AAD90F98968B">
    <w:name w:val="83FBDFB1BB3A4085B422AAD90F98968B"/>
  </w:style>
  <w:style w:type="paragraph" w:customStyle="1" w:styleId="4270E616BFE841B287DB3119E9659301">
    <w:name w:val="4270E616BFE841B287DB3119E9659301"/>
  </w:style>
  <w:style w:type="paragraph" w:customStyle="1" w:styleId="9E11E9C0496A467882E224A6DC7EC7B7">
    <w:name w:val="9E11E9C0496A467882E224A6DC7EC7B7"/>
  </w:style>
  <w:style w:type="paragraph" w:customStyle="1" w:styleId="83030FB13F86428FA1F87BA238B8E894">
    <w:name w:val="83030FB13F86428FA1F87BA238B8E894"/>
  </w:style>
  <w:style w:type="paragraph" w:customStyle="1" w:styleId="28DD82506CB34B20A706127406E0E412">
    <w:name w:val="28DD82506CB34B20A706127406E0E412"/>
  </w:style>
  <w:style w:type="paragraph" w:customStyle="1" w:styleId="CDB5B7E841C24671BE46A9178939A74F">
    <w:name w:val="CDB5B7E841C24671BE46A9178939A74F"/>
  </w:style>
  <w:style w:type="paragraph" w:customStyle="1" w:styleId="359CCDE26621450CB44392B74C7BAABD">
    <w:name w:val="359CCDE26621450CB44392B74C7BAABD"/>
  </w:style>
  <w:style w:type="paragraph" w:customStyle="1" w:styleId="EC00156744824388B7B7AD9267F88129">
    <w:name w:val="EC00156744824388B7B7AD9267F881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39B8BFCC03442A820A5945669954C2">
    <w:name w:val="ED39B8BFCC03442A820A5945669954C2"/>
  </w:style>
  <w:style w:type="paragraph" w:customStyle="1" w:styleId="9C3543DD4C3B45D5B1EECB4B449FB8E5">
    <w:name w:val="9C3543DD4C3B45D5B1EECB4B449FB8E5"/>
  </w:style>
  <w:style w:type="paragraph" w:customStyle="1" w:styleId="E72A32E2141E431D9CAF88D3EA5527FE">
    <w:name w:val="E72A32E2141E431D9CAF88D3EA5527FE"/>
  </w:style>
  <w:style w:type="paragraph" w:customStyle="1" w:styleId="83FBDFB1BB3A4085B422AAD90F98968B">
    <w:name w:val="83FBDFB1BB3A4085B422AAD90F98968B"/>
  </w:style>
  <w:style w:type="paragraph" w:customStyle="1" w:styleId="4270E616BFE841B287DB3119E9659301">
    <w:name w:val="4270E616BFE841B287DB3119E9659301"/>
  </w:style>
  <w:style w:type="paragraph" w:customStyle="1" w:styleId="9E11E9C0496A467882E224A6DC7EC7B7">
    <w:name w:val="9E11E9C0496A467882E224A6DC7EC7B7"/>
  </w:style>
  <w:style w:type="paragraph" w:customStyle="1" w:styleId="83030FB13F86428FA1F87BA238B8E894">
    <w:name w:val="83030FB13F86428FA1F87BA238B8E894"/>
  </w:style>
  <w:style w:type="paragraph" w:customStyle="1" w:styleId="28DD82506CB34B20A706127406E0E412">
    <w:name w:val="28DD82506CB34B20A706127406E0E412"/>
  </w:style>
  <w:style w:type="paragraph" w:customStyle="1" w:styleId="CDB5B7E841C24671BE46A9178939A74F">
    <w:name w:val="CDB5B7E841C24671BE46A9178939A74F"/>
  </w:style>
  <w:style w:type="paragraph" w:customStyle="1" w:styleId="359CCDE26621450CB44392B74C7BAABD">
    <w:name w:val="359CCDE26621450CB44392B74C7BAABD"/>
  </w:style>
  <w:style w:type="paragraph" w:customStyle="1" w:styleId="EC00156744824388B7B7AD9267F88129">
    <w:name w:val="EC00156744824388B7B7AD9267F88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B4C6-6D95-461C-AA3D-92F42AA0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 Analytic Styles Procedure Template.dotx</Template>
  <TotalTime>0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2018-06-05T17:52:00Z</dcterms:created>
  <dcterms:modified xsi:type="dcterms:W3CDTF">2018-08-27T16:34:00Z</dcterms:modified>
</cp:coreProperties>
</file>