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F8" w:rsidRDefault="002454BE" w:rsidP="009A2A82">
      <w:pPr>
        <w:pStyle w:val="Title"/>
      </w:pPr>
      <w:bookmarkStart w:id="0" w:name="_GoBack"/>
      <w:bookmarkEnd w:id="0"/>
      <w:r>
        <w:br/>
      </w:r>
      <w:r w:rsidRPr="00B8476A">
        <w:t>Dignity Health Central Coast Service Area</w:t>
      </w:r>
    </w:p>
    <w:p w:rsidR="00745557" w:rsidRDefault="00745557" w:rsidP="009A2A82">
      <w:pPr>
        <w:pStyle w:val="Title"/>
      </w:pPr>
    </w:p>
    <w:p w:rsidR="00DE0069" w:rsidRDefault="00DE0069" w:rsidP="009A2A82">
      <w:pPr>
        <w:pStyle w:val="Title"/>
      </w:pPr>
    </w:p>
    <w:p w:rsidR="002F2C60" w:rsidRDefault="00DE39DA" w:rsidP="002F2C60">
      <w:pPr>
        <w:tabs>
          <w:tab w:val="clear" w:pos="7320"/>
        </w:tabs>
        <w:spacing w:line="360" w:lineRule="auto"/>
        <w:ind w:left="0"/>
      </w:pPr>
      <w:sdt>
        <w:sdtPr>
          <w:rPr>
            <w:b/>
          </w:rPr>
          <w:alias w:val="Type Title in Field on Right"/>
          <w:tag w:val="Type Title in Field on Right"/>
          <w:id w:val="1281069417"/>
          <w:lock w:val="sdtContentLocked"/>
          <w:placeholder>
            <w:docPart w:val="57A57DE6E0E048C6A381B154ACD1A207"/>
          </w:placeholder>
        </w:sdtPr>
        <w:sdtEndPr>
          <w:rPr>
            <w:b w:val="0"/>
          </w:rPr>
        </w:sdtEndPr>
        <w:sdtContent>
          <w:r w:rsidR="002F2C60" w:rsidRPr="00A247B0">
            <w:rPr>
              <w:b/>
            </w:rPr>
            <w:t>SUBJECT</w:t>
          </w:r>
          <w:r w:rsidR="002F2C60" w:rsidRPr="00EC6D3B">
            <w:t>:</w:t>
          </w:r>
        </w:sdtContent>
      </w:sdt>
      <w:r w:rsidR="002F2C60">
        <w:t xml:space="preserve"> </w:t>
      </w:r>
      <w:sdt>
        <w:sdtPr>
          <w:rPr>
            <w:rStyle w:val="ZH1"/>
          </w:rPr>
          <w:alias w:val="Type Title Here"/>
          <w:tag w:val="Type Title Here"/>
          <w:id w:val="1360863306"/>
          <w:lock w:val="sdtLocked"/>
          <w:placeholder>
            <w:docPart w:val="D6204738EE944309AB3F6DC41CC02F68"/>
          </w:placeholder>
          <w:text w:multiLine="1"/>
        </w:sdtPr>
        <w:sdtEndPr>
          <w:rPr>
            <w:rStyle w:val="DefaultParagraphFont"/>
          </w:rPr>
        </w:sdtEndPr>
        <w:sdtContent>
          <w:r w:rsidR="000851E5">
            <w:rPr>
              <w:rStyle w:val="ZH1"/>
            </w:rPr>
            <w:t>Beckman DxH Background and Carryover Procedure 7500.H.CC.36</w:t>
          </w:r>
        </w:sdtContent>
      </w:sdt>
    </w:p>
    <w:p w:rsidR="002F2C60" w:rsidRPr="00FA7F4A" w:rsidRDefault="00DE39DA" w:rsidP="00FA7F4A">
      <w:pPr>
        <w:ind w:left="0"/>
      </w:pPr>
      <w:sdt>
        <w:sdtPr>
          <w:rPr>
            <w:b/>
          </w:rPr>
          <w:alias w:val="Type in field on right"/>
          <w:tag w:val="Type in field on right"/>
          <w:id w:val="1938952114"/>
          <w:lock w:val="sdtContentLocked"/>
          <w:placeholder>
            <w:docPart w:val="399CD5150905426F9E4593BEAC44E4C7"/>
          </w:placeholder>
        </w:sdtPr>
        <w:sdtEndPr>
          <w:rPr>
            <w:b w:val="0"/>
          </w:rPr>
        </w:sdtEndPr>
        <w:sdtContent>
          <w:r w:rsidR="002F2C60" w:rsidRPr="00FA7F4A">
            <w:rPr>
              <w:rStyle w:val="TitleChar"/>
            </w:rPr>
            <w:t>ORIGIN:</w:t>
          </w:r>
        </w:sdtContent>
      </w:sdt>
      <w:r w:rsidR="002F2C60">
        <w:t xml:space="preserve"> </w:t>
      </w:r>
      <w:sdt>
        <w:sdtPr>
          <w:rPr>
            <w:rStyle w:val="ZH1"/>
          </w:rPr>
          <w:alias w:val="Where does it live/ which dept is responsible for it?"/>
          <w:tag w:val="Where does it live/ which dept is responsible for it?"/>
          <w:id w:val="1650331819"/>
          <w:lock w:val="sdtLocked"/>
          <w:placeholder>
            <w:docPart w:val="07DFEE5AC2BA4928A0972AF91F20C03D"/>
          </w:placeholder>
          <w:text w:multiLine="1"/>
        </w:sdtPr>
        <w:sdtEndPr>
          <w:rPr>
            <w:rStyle w:val="DefaultParagraphFont"/>
          </w:rPr>
        </w:sdtEndPr>
        <w:sdtContent>
          <w:r w:rsidR="004C45E5">
            <w:rPr>
              <w:rStyle w:val="ZH1"/>
            </w:rPr>
            <w:t>Clinical Laboratory/</w:t>
          </w:r>
          <w:r w:rsidR="000851E5">
            <w:t>Hematology</w:t>
          </w:r>
        </w:sdtContent>
      </w:sdt>
      <w:r w:rsidR="00FA7F4A">
        <w:tab/>
      </w:r>
    </w:p>
    <w:p w:rsidR="002F2C60" w:rsidRDefault="002F2C60" w:rsidP="009A2A82">
      <w:pPr>
        <w:pStyle w:val="Title"/>
      </w:pPr>
    </w:p>
    <w:tbl>
      <w:tblPr>
        <w:tblStyle w:val="TableGrid"/>
        <w:tblW w:w="9787" w:type="dxa"/>
        <w:tblInd w:w="18" w:type="dxa"/>
        <w:tblLook w:val="04A0" w:firstRow="1" w:lastRow="0" w:firstColumn="1" w:lastColumn="0" w:noHBand="0" w:noVBand="1"/>
      </w:tblPr>
      <w:tblGrid>
        <w:gridCol w:w="1144"/>
        <w:gridCol w:w="1349"/>
        <w:gridCol w:w="2604"/>
        <w:gridCol w:w="4690"/>
      </w:tblGrid>
      <w:tr w:rsidR="00E915B3" w:rsidRPr="00871139" w:rsidTr="00A412CA">
        <w:trPr>
          <w:trHeight w:val="324"/>
        </w:trPr>
        <w:sdt>
          <w:sdtPr>
            <w:rPr>
              <w:b/>
              <w:sz w:val="18"/>
            </w:rPr>
            <w:id w:val="1255022333"/>
            <w:lock w:val="sdtContentLocked"/>
            <w:placeholder>
              <w:docPart w:val="6BACC73CA1C44BD2A6268E48EFDC215B"/>
            </w:placeholder>
            <w:showingPlcHdr/>
            <w:text/>
          </w:sdtPr>
          <w:sdtEndPr/>
          <w:sdtContent>
            <w:tc>
              <w:tcPr>
                <w:tcW w:w="9787" w:type="dxa"/>
                <w:gridSpan w:val="4"/>
                <w:tcBorders>
                  <w:bottom w:val="single" w:sz="4" w:space="0" w:color="auto"/>
                </w:tcBorders>
              </w:tcPr>
              <w:p w:rsidR="00E915B3" w:rsidRPr="00871139" w:rsidRDefault="00E915B3" w:rsidP="00A412CA">
                <w:pPr>
                  <w:ind w:left="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Document Category:</w:t>
                </w:r>
              </w:p>
            </w:tc>
          </w:sdtContent>
        </w:sdt>
      </w:tr>
      <w:tr w:rsidR="004036AA" w:rsidRPr="00CB0685" w:rsidTr="006D7FA6">
        <w:trPr>
          <w:trHeight w:val="206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6AA" w:rsidRPr="00CB0685" w:rsidRDefault="00DE39DA" w:rsidP="00E81B07">
            <w:pPr>
              <w:ind w:left="0"/>
              <w:rPr>
                <w:b/>
                <w:sz w:val="18"/>
              </w:rPr>
            </w:pPr>
            <w:sdt>
              <w:sdtPr>
                <w:rPr>
                  <w:rStyle w:val="ZH1"/>
                </w:rPr>
                <w:id w:val="-128965575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 w:rsidR="0006300D">
                  <w:rPr>
                    <w:rStyle w:val="ZH1"/>
                    <w:rFonts w:ascii="MS Gothic" w:eastAsia="MS Gothic" w:hAnsi="MS Gothic" w:hint="eastAsia"/>
                  </w:rPr>
                  <w:t>☒</w:t>
                </w:r>
              </w:sdtContent>
            </w:sdt>
            <w:r w:rsidR="004036AA" w:rsidRPr="00CB0685">
              <w:rPr>
                <w:sz w:val="18"/>
              </w:rPr>
              <w:t xml:space="preserve">  </w:t>
            </w:r>
            <w:sdt>
              <w:sdtPr>
                <w:rPr>
                  <w:rStyle w:val="ZF2"/>
                </w:rPr>
                <w:alias w:val="Document outlining a plan,rule,strategy,principle,or guideline"/>
                <w:tag w:val="Document outlining a plan,rule,strategy,principle,or guideline"/>
                <w:id w:val="1020124233"/>
                <w:lock w:val="sdtContentLocked"/>
                <w:placeholder>
                  <w:docPart w:val="25638A6B713D4EE9911D531549E69197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Cs/>
                  <w:sz w:val="22"/>
                </w:rPr>
              </w:sdtEndPr>
              <w:sdtContent>
                <w:r w:rsidR="004036AA" w:rsidRPr="00DE0069">
                  <w:rPr>
                    <w:rStyle w:val="ZF2"/>
                  </w:rPr>
                  <w:t>Policy</w:t>
                </w:r>
              </w:sdtContent>
            </w:sdt>
            <w:r w:rsidR="004036AA" w:rsidRPr="00CB0685">
              <w:rPr>
                <w:b/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6AA" w:rsidRPr="00E81B07" w:rsidRDefault="00DE39DA" w:rsidP="00E81B07">
            <w:pPr>
              <w:ind w:left="0"/>
              <w:rPr>
                <w:sz w:val="18"/>
              </w:rPr>
            </w:pPr>
            <w:sdt>
              <w:sdtPr>
                <w:rPr>
                  <w:rStyle w:val="ZH1"/>
                </w:rPr>
                <w:id w:val="-1988225249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 w:rsidR="0006300D">
                  <w:rPr>
                    <w:rStyle w:val="ZH1"/>
                    <w:rFonts w:ascii="MS Gothic" w:eastAsia="MS Gothic" w:hAnsi="MS Gothic" w:hint="eastAsia"/>
                  </w:rPr>
                  <w:t>☒</w:t>
                </w:r>
              </w:sdtContent>
            </w:sdt>
            <w:r w:rsidR="004036AA">
              <w:rPr>
                <w:b/>
              </w:rPr>
              <w:t xml:space="preserve"> </w:t>
            </w:r>
            <w:sdt>
              <w:sdtPr>
                <w:rPr>
                  <w:rStyle w:val="ZF2"/>
                </w:rPr>
                <w:alias w:val="Document outlining, in steps, how a process is completed."/>
                <w:tag w:val="Document outlining, in steps, how a process is completed."/>
                <w:id w:val="1810276017"/>
                <w:lock w:val="sdtContentLocked"/>
                <w:placeholder>
                  <w:docPart w:val="944B2B5820EE404186EAECC493C37CC2"/>
                </w:placeholder>
              </w:sdtPr>
              <w:sdtEndPr>
                <w:rPr>
                  <w:rStyle w:val="ZF2"/>
                </w:rPr>
              </w:sdtEndPr>
              <w:sdtContent>
                <w:r w:rsidR="004036AA" w:rsidRPr="00841980">
                  <w:rPr>
                    <w:rStyle w:val="ZF2"/>
                  </w:rPr>
                  <w:t>Procedure</w:t>
                </w:r>
              </w:sdtContent>
            </w:sdt>
            <w:r w:rsidR="004036AA" w:rsidRPr="00CB0685">
              <w:rPr>
                <w:b/>
                <w:sz w:val="18"/>
              </w:rPr>
              <w:t xml:space="preserve">   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6AA" w:rsidRPr="00CB0685" w:rsidRDefault="00DE39DA" w:rsidP="002F2C60">
            <w:pPr>
              <w:ind w:left="0"/>
              <w:rPr>
                <w:sz w:val="18"/>
              </w:rPr>
            </w:pPr>
            <w:sdt>
              <w:sdtPr>
                <w:rPr>
                  <w:rStyle w:val="ZH1"/>
                </w:rPr>
                <w:id w:val="-9864708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 w:rsidR="004036AA">
                  <w:rPr>
                    <w:rStyle w:val="ZH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036A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rStyle w:val="ZF2"/>
                </w:rPr>
                <w:alias w:val="Nursing tasks that are normally outside scope of practice"/>
                <w:tag w:val="Nursing tasks that are normally outside scope of practice"/>
                <w:id w:val="-1691214186"/>
                <w:lock w:val="sdtContentLocked"/>
                <w:placeholder>
                  <w:docPart w:val="613FFE94FD0444E39FE56C177F74E1F2"/>
                </w:placeholder>
              </w:sdtPr>
              <w:sdtEndPr>
                <w:rPr>
                  <w:rStyle w:val="ZF2"/>
                </w:rPr>
              </w:sdtEndPr>
              <w:sdtContent>
                <w:r w:rsidR="004036AA" w:rsidRPr="00841980">
                  <w:rPr>
                    <w:rStyle w:val="ZF2"/>
                  </w:rPr>
                  <w:t>Standardized Procedure</w:t>
                </w:r>
              </w:sdtContent>
            </w:sdt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36AA" w:rsidRPr="00745557" w:rsidRDefault="00DE39DA" w:rsidP="00E81B07">
            <w:pPr>
              <w:ind w:left="0"/>
              <w:rPr>
                <w:b/>
                <w:sz w:val="18"/>
              </w:rPr>
            </w:pPr>
            <w:sdt>
              <w:sdtPr>
                <w:rPr>
                  <w:rStyle w:val="ZH1"/>
                </w:rPr>
                <w:id w:val="12136912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 w:rsidR="004036AA">
                  <w:rPr>
                    <w:rStyle w:val="ZH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036AA" w:rsidRPr="00CB0685">
              <w:rPr>
                <w:b/>
                <w:sz w:val="18"/>
              </w:rPr>
              <w:t xml:space="preserve"> </w:t>
            </w:r>
            <w:sdt>
              <w:sdtPr>
                <w:rPr>
                  <w:rStyle w:val="ZF2"/>
                </w:rPr>
                <w:alias w:val="Type in Open Field on Right"/>
                <w:tag w:val="Type in Open Field on Right"/>
                <w:id w:val="-716274883"/>
                <w:lock w:val="sdtContentLocked"/>
                <w:placeholder>
                  <w:docPart w:val="89BECAEB57E44A77A27A25AAF502FEDE"/>
                </w:placeholder>
              </w:sdtPr>
              <w:sdtEndPr>
                <w:rPr>
                  <w:rStyle w:val="ZF2"/>
                </w:rPr>
              </w:sdtEndPr>
              <w:sdtContent>
                <w:r w:rsidR="004036AA" w:rsidRPr="00E81B07">
                  <w:rPr>
                    <w:rStyle w:val="ZF2"/>
                  </w:rPr>
                  <w:t>Other</w:t>
                </w:r>
                <w:r w:rsidR="004036AA">
                  <w:rPr>
                    <w:rStyle w:val="ZF2"/>
                  </w:rPr>
                  <w:t>:</w:t>
                </w:r>
              </w:sdtContent>
            </w:sdt>
            <w:r w:rsidR="004036AA" w:rsidRPr="00CB0685">
              <w:rPr>
                <w:b/>
                <w:sz w:val="18"/>
              </w:rPr>
              <w:t xml:space="preserve"> </w:t>
            </w:r>
            <w:sdt>
              <w:sdtPr>
                <w:rPr>
                  <w:rStyle w:val="ZF2"/>
                </w:rPr>
                <w:alias w:val="Describle Other Type of Document Here"/>
                <w:tag w:val="Describle Other Type of Document Here"/>
                <w:id w:val="-1220279648"/>
                <w:lock w:val="sdtLocked"/>
                <w:placeholder>
                  <w:docPart w:val="C6D192F2C6A448549032636ECD855652"/>
                </w:placeholder>
                <w:showingPlcHdr/>
                <w15:color w:val="000000"/>
              </w:sdtPr>
              <w:sdtEndPr>
                <w:rPr>
                  <w:rStyle w:val="ZF2"/>
                </w:rPr>
              </w:sdtEndPr>
              <w:sdtContent>
                <w:r w:rsidR="004036AA">
                  <w:t xml:space="preserve"> </w:t>
                </w:r>
              </w:sdtContent>
            </w:sdt>
            <w:r w:rsidR="004036AA" w:rsidRPr="00CB0685">
              <w:rPr>
                <w:b/>
                <w:sz w:val="18"/>
              </w:rPr>
              <w:t xml:space="preserve">  </w:t>
            </w:r>
          </w:p>
        </w:tc>
      </w:tr>
    </w:tbl>
    <w:p w:rsidR="00A247B0" w:rsidRDefault="00A247B0" w:rsidP="00BC345C"/>
    <w:tbl>
      <w:tblPr>
        <w:tblStyle w:val="TableGrid"/>
        <w:tblW w:w="9787" w:type="dxa"/>
        <w:tblInd w:w="18" w:type="dxa"/>
        <w:tblLook w:val="04A0" w:firstRow="1" w:lastRow="0" w:firstColumn="1" w:lastColumn="0" w:noHBand="0" w:noVBand="1"/>
      </w:tblPr>
      <w:tblGrid>
        <w:gridCol w:w="3397"/>
        <w:gridCol w:w="3330"/>
        <w:gridCol w:w="3060"/>
      </w:tblGrid>
      <w:tr w:rsidR="008B47D6" w:rsidRPr="00871139" w:rsidTr="004B6AC9">
        <w:trPr>
          <w:trHeight w:val="324"/>
        </w:trPr>
        <w:sdt>
          <w:sdtPr>
            <w:rPr>
              <w:b/>
              <w:sz w:val="18"/>
            </w:rPr>
            <w:id w:val="498015175"/>
            <w:lock w:val="sdtContentLocked"/>
            <w:placeholder>
              <w:docPart w:val="E3D74A9A689B435F89E6B16B47B3B0B5"/>
            </w:placeholder>
            <w:showingPlcHdr/>
            <w:text/>
          </w:sdtPr>
          <w:sdtEndPr/>
          <w:sdtContent>
            <w:tc>
              <w:tcPr>
                <w:tcW w:w="9787" w:type="dxa"/>
                <w:gridSpan w:val="3"/>
                <w:tcBorders>
                  <w:bottom w:val="single" w:sz="4" w:space="0" w:color="auto"/>
                </w:tcBorders>
              </w:tcPr>
              <w:p w:rsidR="008B47D6" w:rsidRPr="00871139" w:rsidRDefault="008B47D6" w:rsidP="00745557">
                <w:pPr>
                  <w:ind w:left="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Applies to:</w:t>
                </w:r>
              </w:p>
            </w:tc>
          </w:sdtContent>
        </w:sdt>
      </w:tr>
      <w:tr w:rsidR="008B47D6" w:rsidRPr="00CB0685" w:rsidTr="004B6AC9">
        <w:trPr>
          <w:trHeight w:val="57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47D6" w:rsidRDefault="00DE39DA" w:rsidP="00B51A76">
            <w:pPr>
              <w:ind w:left="0"/>
              <w:rPr>
                <w:b/>
                <w:sz w:val="18"/>
              </w:rPr>
            </w:pPr>
            <w:sdt>
              <w:sdtPr>
                <w:rPr>
                  <w:rStyle w:val="ZH1"/>
                </w:rPr>
                <w:id w:val="158881142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 w:rsidR="000851E5">
                  <w:rPr>
                    <w:rStyle w:val="ZH1"/>
                    <w:rFonts w:ascii="MS Gothic" w:eastAsia="MS Gothic" w:hAnsi="MS Gothic" w:hint="eastAsia"/>
                  </w:rPr>
                  <w:t>☒</w:t>
                </w:r>
              </w:sdtContent>
            </w:sdt>
            <w:r w:rsidR="008B47D6" w:rsidRPr="00CB0685">
              <w:rPr>
                <w:sz w:val="18"/>
              </w:rPr>
              <w:t xml:space="preserve">  </w:t>
            </w:r>
            <w:sdt>
              <w:sdtPr>
                <w:rPr>
                  <w:rStyle w:val="ZF2"/>
                </w:rPr>
                <w:id w:val="1743903590"/>
                <w:lock w:val="sdtContentLocked"/>
                <w:placeholder>
                  <w:docPart w:val="F767B4E343B94EAA87CF98FD245E5F8D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bCs/>
                  <w:sz w:val="22"/>
                </w:rPr>
              </w:sdtEndPr>
              <w:sdtContent>
                <w:r w:rsidR="008B47D6" w:rsidRPr="005755CE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8B47D6" w:rsidRPr="00CB0685">
              <w:rPr>
                <w:b/>
                <w:sz w:val="18"/>
              </w:rPr>
              <w:t xml:space="preserve"> </w:t>
            </w:r>
          </w:p>
          <w:p w:rsidR="008B47D6" w:rsidRPr="00CB0685" w:rsidRDefault="00DE39DA" w:rsidP="00B51A76">
            <w:pPr>
              <w:ind w:left="324"/>
              <w:rPr>
                <w:b/>
                <w:sz w:val="18"/>
              </w:rPr>
            </w:pPr>
            <w:sdt>
              <w:sdtPr>
                <w:rPr>
                  <w:rStyle w:val="ZF2"/>
                </w:rPr>
                <w:id w:val="-259916478"/>
                <w:lock w:val="sdtContentLocked"/>
                <w:placeholder>
                  <w:docPart w:val="49CCD7DF7EDC4922BD1B670FD3BF5718"/>
                </w:placeholder>
              </w:sdtPr>
              <w:sdtEndPr>
                <w:rPr>
                  <w:rStyle w:val="ZF2"/>
                </w:rPr>
              </w:sdtEndPr>
              <w:sdtContent>
                <w:r w:rsidR="004B6AC9" w:rsidRPr="006E1D76">
                  <w:rPr>
                    <w:rStyle w:val="ZF2"/>
                  </w:rPr>
                  <w:t>Marian Regional Medical Center</w:t>
                </w:r>
              </w:sdtContent>
            </w:sdt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7D6" w:rsidRPr="00CB0685" w:rsidRDefault="00DE39DA" w:rsidP="00B51A76">
            <w:pPr>
              <w:ind w:left="0"/>
              <w:rPr>
                <w:sz w:val="18"/>
              </w:rPr>
            </w:pPr>
            <w:sdt>
              <w:sdtPr>
                <w:rPr>
                  <w:rStyle w:val="ZH1"/>
                </w:rPr>
                <w:id w:val="-940062464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 w:rsidR="000851E5">
                  <w:rPr>
                    <w:rStyle w:val="ZH1"/>
                    <w:rFonts w:ascii="MS Gothic" w:eastAsia="MS Gothic" w:hAnsi="MS Gothic" w:hint="eastAsia"/>
                  </w:rPr>
                  <w:t>☒</w:t>
                </w:r>
              </w:sdtContent>
            </w:sdt>
            <w:r w:rsidR="008B47D6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rStyle w:val="ZF2"/>
                </w:rPr>
                <w:id w:val="-357047061"/>
                <w:lock w:val="sdtContentLocked"/>
                <w:placeholder>
                  <w:docPart w:val="71162CCC10D94F018ED069BB59FFFF0D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8B47D6" w:rsidRPr="00CB0685">
                  <w:rPr>
                    <w:sz w:val="18"/>
                  </w:rPr>
                  <w:t>Arroyo Grande Campus,</w:t>
                </w:r>
              </w:sdtContent>
            </w:sdt>
            <w:r w:rsidR="008B47D6" w:rsidRPr="00CB0685">
              <w:rPr>
                <w:b/>
                <w:sz w:val="18"/>
              </w:rPr>
              <w:t xml:space="preserve">  </w:t>
            </w:r>
          </w:p>
          <w:p w:rsidR="008B47D6" w:rsidRPr="00CB0685" w:rsidRDefault="00DE39DA" w:rsidP="00B51A76">
            <w:pPr>
              <w:ind w:left="324"/>
              <w:rPr>
                <w:b/>
                <w:sz w:val="18"/>
              </w:rPr>
            </w:pPr>
            <w:sdt>
              <w:sdtPr>
                <w:rPr>
                  <w:rStyle w:val="ZF2"/>
                </w:rPr>
                <w:id w:val="-76758865"/>
                <w:lock w:val="sdtContentLocked"/>
                <w:placeholder>
                  <w:docPart w:val="BBBAD5E0F03D4C578656958C1E97A820"/>
                </w:placeholder>
              </w:sdtPr>
              <w:sdtEndPr>
                <w:rPr>
                  <w:rStyle w:val="ZF2"/>
                </w:rPr>
              </w:sdtEndPr>
              <w:sdtContent>
                <w:r w:rsidR="008B47D6" w:rsidRPr="006E1D76">
                  <w:rPr>
                    <w:rStyle w:val="ZF2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47D6" w:rsidRPr="00CB0685" w:rsidRDefault="00DE39DA" w:rsidP="00B51A76">
            <w:pPr>
              <w:ind w:left="0"/>
              <w:rPr>
                <w:sz w:val="18"/>
              </w:rPr>
            </w:pPr>
            <w:sdt>
              <w:sdtPr>
                <w:rPr>
                  <w:rStyle w:val="ZH1"/>
                </w:rPr>
                <w:id w:val="207647188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 w:rsidR="0006300D">
                  <w:rPr>
                    <w:rStyle w:val="ZH1"/>
                    <w:rFonts w:ascii="MS Gothic" w:eastAsia="MS Gothic" w:hAnsi="MS Gothic" w:hint="eastAsia"/>
                  </w:rPr>
                  <w:t>☒</w:t>
                </w:r>
              </w:sdtContent>
            </w:sdt>
            <w:r w:rsidR="008B47D6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rStyle w:val="ZF2"/>
                </w:rPr>
                <w:id w:val="1881048085"/>
                <w:lock w:val="sdtContentLocked"/>
                <w:placeholder>
                  <w:docPart w:val="1C1AB63E7C594503AA29DA501487B003"/>
                </w:placeholder>
              </w:sdtPr>
              <w:sdtEndPr>
                <w:rPr>
                  <w:rStyle w:val="ZF2"/>
                </w:rPr>
              </w:sdtEndPr>
              <w:sdtContent>
                <w:r w:rsidR="008B47D6" w:rsidRPr="006E1D76">
                  <w:rPr>
                    <w:rStyle w:val="ZF2"/>
                  </w:rPr>
                  <w:t>French Hospital Medical Center</w:t>
                </w:r>
              </w:sdtContent>
            </w:sdt>
          </w:p>
        </w:tc>
      </w:tr>
      <w:tr w:rsidR="008B47D6" w:rsidRPr="00CB0685" w:rsidTr="004B6AC9">
        <w:trPr>
          <w:trHeight w:val="431"/>
        </w:trPr>
        <w:tc>
          <w:tcPr>
            <w:tcW w:w="3397" w:type="dxa"/>
            <w:tcBorders>
              <w:top w:val="nil"/>
              <w:right w:val="nil"/>
            </w:tcBorders>
          </w:tcPr>
          <w:p w:rsidR="008B47D6" w:rsidRPr="00CB0685" w:rsidRDefault="00DE39DA" w:rsidP="00B51A76">
            <w:pPr>
              <w:ind w:left="0"/>
              <w:rPr>
                <w:b/>
                <w:sz w:val="18"/>
              </w:rPr>
            </w:pPr>
            <w:sdt>
              <w:sdtPr>
                <w:rPr>
                  <w:rStyle w:val="ZH1"/>
                </w:rPr>
                <w:id w:val="-866899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 w:rsidR="008B47D6">
                  <w:rPr>
                    <w:rStyle w:val="ZH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B47D6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rStyle w:val="ZF2"/>
                </w:rPr>
                <w:id w:val="1950730159"/>
                <w:lock w:val="sdtContentLocked"/>
                <w:placeholder>
                  <w:docPart w:val="74575A08DB0748D19A55623682BAC233"/>
                </w:placeholder>
              </w:sdtPr>
              <w:sdtEndPr>
                <w:rPr>
                  <w:rStyle w:val="ZF2"/>
                </w:rPr>
              </w:sdtEndPr>
              <w:sdtContent>
                <w:r w:rsidR="008B47D6" w:rsidRPr="006E1D76">
                  <w:rPr>
                    <w:rStyle w:val="ZF2"/>
                  </w:rPr>
                  <w:t>St. John’s Pleasant Valley Hospital</w:t>
                </w:r>
              </w:sdtContent>
            </w:sdt>
          </w:p>
        </w:tc>
        <w:tc>
          <w:tcPr>
            <w:tcW w:w="6390" w:type="dxa"/>
            <w:gridSpan w:val="2"/>
            <w:tcBorders>
              <w:top w:val="nil"/>
              <w:left w:val="nil"/>
            </w:tcBorders>
          </w:tcPr>
          <w:p w:rsidR="008B47D6" w:rsidRPr="00CB0685" w:rsidRDefault="00DE39DA" w:rsidP="00B51A76">
            <w:pPr>
              <w:ind w:left="0"/>
              <w:rPr>
                <w:sz w:val="18"/>
              </w:rPr>
            </w:pPr>
            <w:sdt>
              <w:sdtPr>
                <w:rPr>
                  <w:rStyle w:val="ZH1"/>
                </w:rPr>
                <w:id w:val="-1053850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H1"/>
                </w:rPr>
              </w:sdtEndPr>
              <w:sdtContent>
                <w:r w:rsidR="008B47D6">
                  <w:rPr>
                    <w:rStyle w:val="ZH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B47D6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rStyle w:val="ZF2"/>
                </w:rPr>
                <w:id w:val="2089963564"/>
                <w:lock w:val="sdtContentLocked"/>
                <w:placeholder>
                  <w:docPart w:val="74575A08DB0748D19A55623682BAC233"/>
                </w:placeholder>
              </w:sdtPr>
              <w:sdtEndPr>
                <w:rPr>
                  <w:rStyle w:val="ZF2"/>
                </w:rPr>
              </w:sdtEndPr>
              <w:sdtContent>
                <w:r w:rsidR="008B47D6" w:rsidRPr="006E1D76">
                  <w:rPr>
                    <w:rStyle w:val="ZF2"/>
                  </w:rPr>
                  <w:t>St. John’s Regional Medical Center</w:t>
                </w:r>
              </w:sdtContent>
            </w:sdt>
          </w:p>
        </w:tc>
      </w:tr>
    </w:tbl>
    <w:p w:rsidR="008B47D6" w:rsidRDefault="008B47D6" w:rsidP="00BC345C"/>
    <w:p w:rsidR="00BD14A9" w:rsidRDefault="00BD14A9" w:rsidP="00BD14A9">
      <w:pPr>
        <w:pStyle w:val="Heading1"/>
      </w:pPr>
      <w:r>
        <w:t>purpose:</w:t>
      </w:r>
    </w:p>
    <w:p w:rsidR="004C45E5" w:rsidRPr="000851E5" w:rsidRDefault="000851E5" w:rsidP="00BD14A9">
      <w:pPr>
        <w:pStyle w:val="BodyText"/>
        <w:rPr>
          <w:rFonts w:cs="Arial"/>
          <w:szCs w:val="22"/>
        </w:rPr>
      </w:pPr>
      <w:r w:rsidRPr="000851E5">
        <w:rPr>
          <w:rFonts w:cs="Arial"/>
          <w:szCs w:val="22"/>
        </w:rPr>
        <w:t>The amount, in percent, of sample remaining in the system and picked up by the next sample cycled is referred to carryover.  Low-to-high carryover is the amount of sample with low cell concentrations carried over to samples with high cell concentration, such as diluent to blood. High-to-low carryover is the amount of samples with high cell concentrations carried over to samples with low cell concentrations, such as blood to diluent.</w:t>
      </w:r>
    </w:p>
    <w:p w:rsidR="00BD14A9" w:rsidRPr="000851E5" w:rsidRDefault="004C45E5" w:rsidP="00BD14A9">
      <w:pPr>
        <w:pStyle w:val="Heading1"/>
        <w:rPr>
          <w:rFonts w:cs="Arial"/>
          <w:szCs w:val="22"/>
        </w:rPr>
      </w:pPr>
      <w:r w:rsidRPr="000851E5">
        <w:rPr>
          <w:rFonts w:cs="Arial"/>
          <w:szCs w:val="22"/>
        </w:rPr>
        <w:t>REAGENTS/SUPPLIES</w:t>
      </w:r>
      <w:r w:rsidR="00BD14A9" w:rsidRPr="000851E5">
        <w:rPr>
          <w:rFonts w:cs="Arial"/>
          <w:szCs w:val="22"/>
        </w:rPr>
        <w:t>:</w:t>
      </w:r>
    </w:p>
    <w:p w:rsidR="000851E5" w:rsidRPr="000851E5" w:rsidRDefault="000851E5" w:rsidP="000851E5">
      <w:pPr>
        <w:pStyle w:val="Header"/>
        <w:ind w:left="0"/>
        <w:rPr>
          <w:rFonts w:cs="Arial"/>
          <w:szCs w:val="22"/>
        </w:rPr>
      </w:pPr>
      <w:r w:rsidRPr="000851E5">
        <w:rPr>
          <w:rFonts w:cs="Arial"/>
          <w:szCs w:val="22"/>
        </w:rPr>
        <w:t xml:space="preserve">      EDTA specimen followed by three full diluent tubes</w:t>
      </w:r>
    </w:p>
    <w:p w:rsidR="000851E5" w:rsidRPr="000851E5" w:rsidRDefault="000851E5" w:rsidP="000851E5">
      <w:pPr>
        <w:rPr>
          <w:rFonts w:cs="Arial"/>
          <w:szCs w:val="22"/>
        </w:rPr>
      </w:pPr>
      <w:r w:rsidRPr="000851E5">
        <w:rPr>
          <w:rFonts w:eastAsia="OneFaceSerif" w:cs="Arial"/>
          <w:bCs/>
          <w:szCs w:val="22"/>
        </w:rPr>
        <w:t>UniCel® DxH 800/DxH 600 Coulter® Cellular Analysis System</w:t>
      </w:r>
    </w:p>
    <w:p w:rsidR="000851E5" w:rsidRPr="000851E5" w:rsidRDefault="000851E5" w:rsidP="000851E5">
      <w:pPr>
        <w:rPr>
          <w:rFonts w:eastAsia="OneFaceSerif" w:cs="Arial"/>
          <w:bCs/>
          <w:szCs w:val="22"/>
        </w:rPr>
      </w:pPr>
      <w:r w:rsidRPr="000851E5">
        <w:rPr>
          <w:rFonts w:eastAsia="OneFaceSerif" w:cs="Arial"/>
          <w:bCs/>
          <w:szCs w:val="22"/>
        </w:rPr>
        <w:t>DxH Diluent, 628017</w:t>
      </w:r>
    </w:p>
    <w:p w:rsidR="000851E5" w:rsidRPr="000851E5" w:rsidRDefault="000851E5" w:rsidP="000851E5">
      <w:pPr>
        <w:rPr>
          <w:rFonts w:eastAsia="OneFaceSerif" w:cs="Arial"/>
          <w:bCs/>
          <w:szCs w:val="22"/>
        </w:rPr>
      </w:pPr>
      <w:r w:rsidRPr="000851E5">
        <w:rPr>
          <w:rFonts w:eastAsia="OneFaceSerif" w:cs="Arial"/>
          <w:bCs/>
          <w:szCs w:val="22"/>
        </w:rPr>
        <w:t>DxH Cell Lyse 628019</w:t>
      </w:r>
    </w:p>
    <w:p w:rsidR="000851E5" w:rsidRPr="000851E5" w:rsidRDefault="000851E5" w:rsidP="000851E5">
      <w:pPr>
        <w:rPr>
          <w:rFonts w:eastAsia="OneFaceSerif" w:cs="Arial"/>
          <w:bCs/>
          <w:szCs w:val="22"/>
        </w:rPr>
      </w:pPr>
      <w:r w:rsidRPr="000851E5">
        <w:rPr>
          <w:rFonts w:eastAsia="OneFaceSerif" w:cs="Arial"/>
          <w:bCs/>
          <w:szCs w:val="22"/>
        </w:rPr>
        <w:t>DxH Diff Pack 628020</w:t>
      </w:r>
    </w:p>
    <w:p w:rsidR="000851E5" w:rsidRPr="000851E5" w:rsidRDefault="000851E5" w:rsidP="000851E5">
      <w:pPr>
        <w:rPr>
          <w:rFonts w:eastAsia="OneFaceSerif" w:cs="Arial"/>
          <w:bCs/>
          <w:szCs w:val="22"/>
        </w:rPr>
      </w:pPr>
      <w:r w:rsidRPr="000851E5">
        <w:rPr>
          <w:rFonts w:eastAsia="OneFaceSerif" w:cs="Arial"/>
          <w:bCs/>
          <w:szCs w:val="22"/>
        </w:rPr>
        <w:t>DxH Cleaner 628023</w:t>
      </w:r>
    </w:p>
    <w:p w:rsidR="000851E5" w:rsidRPr="000851E5" w:rsidRDefault="000851E5" w:rsidP="000851E5">
      <w:pPr>
        <w:rPr>
          <w:rFonts w:eastAsia="OneFaceSerif" w:cs="Arial"/>
          <w:bCs/>
          <w:szCs w:val="22"/>
        </w:rPr>
      </w:pPr>
      <w:r w:rsidRPr="000851E5">
        <w:rPr>
          <w:rFonts w:eastAsia="OneFaceSerif" w:cs="Arial"/>
          <w:bCs/>
          <w:szCs w:val="22"/>
        </w:rPr>
        <w:t>DxH Retic Pack 628021</w:t>
      </w:r>
    </w:p>
    <w:p w:rsidR="000851E5" w:rsidRPr="000851E5" w:rsidRDefault="000851E5" w:rsidP="000851E5">
      <w:pPr>
        <w:rPr>
          <w:rFonts w:eastAsia="OneFaceSerif" w:cs="Arial"/>
          <w:bCs/>
          <w:szCs w:val="22"/>
        </w:rPr>
      </w:pPr>
      <w:r w:rsidRPr="000851E5">
        <w:rPr>
          <w:rFonts w:eastAsia="OneFaceSerif" w:cs="Arial"/>
          <w:bCs/>
          <w:szCs w:val="22"/>
        </w:rPr>
        <w:t>DxH sample cassettes</w:t>
      </w:r>
    </w:p>
    <w:p w:rsidR="00BD14A9" w:rsidRPr="000851E5" w:rsidRDefault="00BD14A9" w:rsidP="000851E5">
      <w:pPr>
        <w:pStyle w:val="BodyText"/>
        <w:ind w:left="0"/>
        <w:rPr>
          <w:rFonts w:cs="Arial"/>
          <w:szCs w:val="22"/>
        </w:rPr>
      </w:pPr>
    </w:p>
    <w:p w:rsidR="004C45E5" w:rsidRPr="000851E5" w:rsidRDefault="004C45E5" w:rsidP="00BD14A9">
      <w:pPr>
        <w:pStyle w:val="Heading1"/>
        <w:rPr>
          <w:rFonts w:cs="Arial"/>
          <w:szCs w:val="22"/>
        </w:rPr>
      </w:pPr>
      <w:r w:rsidRPr="000851E5">
        <w:rPr>
          <w:rFonts w:cs="Arial"/>
          <w:szCs w:val="22"/>
        </w:rPr>
        <w:t>CALIBRATION:</w:t>
      </w:r>
    </w:p>
    <w:p w:rsidR="000851E5" w:rsidRPr="000851E5" w:rsidRDefault="000851E5" w:rsidP="000851E5">
      <w:pPr>
        <w:ind w:left="0"/>
        <w:rPr>
          <w:rFonts w:cs="Arial"/>
          <w:szCs w:val="22"/>
        </w:rPr>
      </w:pPr>
      <w:r w:rsidRPr="000851E5">
        <w:rPr>
          <w:rFonts w:cs="Arial"/>
          <w:szCs w:val="22"/>
        </w:rPr>
        <w:t>See DxH Calibration Procedure (7500.H.CC.33)</w:t>
      </w:r>
    </w:p>
    <w:p w:rsidR="004C45E5" w:rsidRPr="000851E5" w:rsidRDefault="004C45E5" w:rsidP="004C45E5">
      <w:pPr>
        <w:pStyle w:val="BodyText"/>
        <w:rPr>
          <w:rFonts w:cs="Arial"/>
          <w:szCs w:val="22"/>
        </w:rPr>
      </w:pPr>
    </w:p>
    <w:p w:rsidR="00BD14A9" w:rsidRPr="000851E5" w:rsidRDefault="004C45E5" w:rsidP="00BD14A9">
      <w:pPr>
        <w:pStyle w:val="Heading1"/>
        <w:rPr>
          <w:rFonts w:cs="Arial"/>
          <w:szCs w:val="22"/>
        </w:rPr>
      </w:pPr>
      <w:r w:rsidRPr="000851E5">
        <w:rPr>
          <w:rFonts w:cs="Arial"/>
          <w:szCs w:val="22"/>
        </w:rPr>
        <w:t>QUALITY CONTROL</w:t>
      </w:r>
      <w:r w:rsidR="00BD14A9" w:rsidRPr="000851E5">
        <w:rPr>
          <w:rFonts w:cs="Arial"/>
          <w:szCs w:val="22"/>
        </w:rPr>
        <w:t>:</w:t>
      </w:r>
    </w:p>
    <w:p w:rsidR="000851E5" w:rsidRPr="000851E5" w:rsidRDefault="000851E5" w:rsidP="000851E5">
      <w:pPr>
        <w:ind w:left="0"/>
        <w:rPr>
          <w:rFonts w:cs="Arial"/>
          <w:szCs w:val="22"/>
        </w:rPr>
      </w:pPr>
      <w:r w:rsidRPr="000851E5">
        <w:rPr>
          <w:rFonts w:cs="Arial"/>
          <w:szCs w:val="22"/>
        </w:rPr>
        <w:t>Quality Control material including Latron, 6C Cell controls, Retic-X controls and Body Fluid controls, are tested once every 24 hours of use, and/or after maintenance, calibration or while troubleshooting. Latron control is performed once daily after shutdown.</w:t>
      </w:r>
    </w:p>
    <w:p w:rsidR="004C45E5" w:rsidRPr="000851E5" w:rsidRDefault="004C45E5" w:rsidP="00BD14A9">
      <w:pPr>
        <w:pStyle w:val="BodyText"/>
        <w:rPr>
          <w:rFonts w:cs="Arial"/>
          <w:szCs w:val="22"/>
        </w:rPr>
      </w:pPr>
    </w:p>
    <w:p w:rsidR="00BD14A9" w:rsidRPr="000851E5" w:rsidRDefault="00BD14A9" w:rsidP="00BD14A9">
      <w:pPr>
        <w:pStyle w:val="Heading1"/>
        <w:rPr>
          <w:rFonts w:cs="Arial"/>
          <w:szCs w:val="22"/>
        </w:rPr>
      </w:pPr>
      <w:r w:rsidRPr="000851E5">
        <w:rPr>
          <w:rFonts w:cs="Arial"/>
          <w:szCs w:val="22"/>
        </w:rPr>
        <w:t>procedure:</w:t>
      </w:r>
    </w:p>
    <w:p w:rsidR="000851E5" w:rsidRPr="000851E5" w:rsidRDefault="000851E5" w:rsidP="000851E5">
      <w:pPr>
        <w:ind w:left="0"/>
        <w:rPr>
          <w:rFonts w:cs="Arial"/>
          <w:b/>
          <w:bCs/>
          <w:szCs w:val="22"/>
        </w:rPr>
      </w:pPr>
      <w:r w:rsidRPr="000851E5">
        <w:rPr>
          <w:rFonts w:cs="Arial"/>
          <w:b/>
          <w:bCs/>
          <w:szCs w:val="22"/>
        </w:rPr>
        <w:t>Note: Place the analyzer OFFLINE before beginning Carryover procedure.</w:t>
      </w:r>
    </w:p>
    <w:p w:rsidR="000851E5" w:rsidRPr="000851E5" w:rsidRDefault="000851E5" w:rsidP="000851E5">
      <w:pPr>
        <w:ind w:left="-900"/>
        <w:rPr>
          <w:rFonts w:cs="Arial"/>
          <w:b/>
          <w:bCs/>
          <w:szCs w:val="22"/>
        </w:rPr>
      </w:pPr>
    </w:p>
    <w:p w:rsidR="000851E5" w:rsidRPr="000851E5" w:rsidRDefault="000851E5" w:rsidP="000851E5">
      <w:pPr>
        <w:pStyle w:val="ListParagraph"/>
        <w:numPr>
          <w:ilvl w:val="0"/>
          <w:numId w:val="8"/>
        </w:numPr>
        <w:tabs>
          <w:tab w:val="clear" w:pos="7320"/>
        </w:tabs>
        <w:ind w:left="270" w:hanging="270"/>
        <w:rPr>
          <w:rFonts w:cs="Arial"/>
          <w:szCs w:val="22"/>
          <w:u w:val="single"/>
        </w:rPr>
      </w:pPr>
      <w:r w:rsidRPr="000851E5">
        <w:rPr>
          <w:rFonts w:cs="Arial"/>
          <w:bCs/>
          <w:color w:val="000000"/>
          <w:szCs w:val="22"/>
        </w:rPr>
        <w:t>Select</w:t>
      </w:r>
      <w:r w:rsidRPr="000851E5">
        <w:rPr>
          <w:rFonts w:cs="Arial"/>
          <w:b/>
          <w:bCs/>
          <w:color w:val="000000"/>
          <w:szCs w:val="22"/>
        </w:rPr>
        <w:t xml:space="preserve"> Menu </w:t>
      </w:r>
      <w:r w:rsidRPr="000851E5">
        <w:rPr>
          <w:rFonts w:cs="Arial"/>
          <w:b/>
          <w:bCs/>
          <w:color w:val="004080"/>
          <w:szCs w:val="22"/>
        </w:rPr>
        <w:t xml:space="preserve">&gt; </w:t>
      </w:r>
      <w:r w:rsidRPr="000851E5">
        <w:rPr>
          <w:rFonts w:cs="Arial"/>
          <w:b/>
          <w:bCs/>
          <w:color w:val="000000"/>
          <w:szCs w:val="22"/>
        </w:rPr>
        <w:t xml:space="preserve">QA </w:t>
      </w:r>
      <w:r w:rsidRPr="000851E5">
        <w:rPr>
          <w:rFonts w:cs="Arial"/>
          <w:b/>
          <w:bCs/>
          <w:color w:val="004080"/>
          <w:szCs w:val="22"/>
        </w:rPr>
        <w:t xml:space="preserve">&gt; </w:t>
      </w:r>
      <w:r w:rsidRPr="000851E5">
        <w:rPr>
          <w:rFonts w:cs="Arial"/>
          <w:b/>
          <w:bCs/>
          <w:color w:val="000000"/>
          <w:szCs w:val="22"/>
        </w:rPr>
        <w:t>Carryover</w:t>
      </w:r>
      <w:r w:rsidRPr="000851E5">
        <w:rPr>
          <w:rFonts w:cs="Arial"/>
          <w:b/>
          <w:bCs/>
          <w:color w:val="004080"/>
          <w:szCs w:val="22"/>
        </w:rPr>
        <w:t xml:space="preserve">. </w:t>
      </w:r>
    </w:p>
    <w:p w:rsidR="000851E5" w:rsidRPr="000851E5" w:rsidRDefault="000851E5" w:rsidP="000851E5">
      <w:pPr>
        <w:pStyle w:val="ListParagraph"/>
        <w:numPr>
          <w:ilvl w:val="0"/>
          <w:numId w:val="8"/>
        </w:numPr>
        <w:tabs>
          <w:tab w:val="clear" w:pos="7320"/>
        </w:tabs>
        <w:ind w:left="270" w:hanging="270"/>
        <w:rPr>
          <w:rFonts w:eastAsia="OneFaceSerif" w:cs="Arial"/>
          <w:szCs w:val="22"/>
        </w:rPr>
      </w:pPr>
      <w:r w:rsidRPr="000851E5">
        <w:rPr>
          <w:rFonts w:eastAsia="OneFaceSerif" w:cs="Arial"/>
          <w:szCs w:val="22"/>
        </w:rPr>
        <w:t xml:space="preserve">Select </w:t>
      </w:r>
      <w:r w:rsidRPr="000851E5">
        <w:rPr>
          <w:rFonts w:cs="Arial"/>
          <w:b/>
          <w:bCs/>
          <w:szCs w:val="22"/>
        </w:rPr>
        <w:t xml:space="preserve">Carryover Setup </w:t>
      </w:r>
      <w:r w:rsidRPr="000851E5">
        <w:rPr>
          <w:rFonts w:eastAsia="OneFaceSerif" w:cs="Arial"/>
          <w:szCs w:val="22"/>
        </w:rPr>
        <w:t>to display the Carryover Setup dialog box.</w:t>
      </w:r>
    </w:p>
    <w:p w:rsidR="000851E5" w:rsidRPr="000851E5" w:rsidRDefault="000851E5" w:rsidP="000851E5">
      <w:pPr>
        <w:pStyle w:val="ListParagraph"/>
        <w:numPr>
          <w:ilvl w:val="0"/>
          <w:numId w:val="8"/>
        </w:numPr>
        <w:tabs>
          <w:tab w:val="clear" w:pos="7320"/>
        </w:tabs>
        <w:ind w:left="270" w:hanging="270"/>
        <w:rPr>
          <w:rFonts w:eastAsia="OneFaceSerif" w:cs="Arial"/>
          <w:szCs w:val="22"/>
        </w:rPr>
      </w:pPr>
      <w:r w:rsidRPr="000851E5">
        <w:rPr>
          <w:rFonts w:eastAsia="OneFaceSerif" w:cs="Arial"/>
          <w:szCs w:val="22"/>
        </w:rPr>
        <w:lastRenderedPageBreak/>
        <w:t>Select the “</w:t>
      </w:r>
      <w:r w:rsidRPr="000851E5">
        <w:rPr>
          <w:rFonts w:eastAsia="OneFaceSerif" w:cs="Arial"/>
          <w:b/>
          <w:szCs w:val="22"/>
        </w:rPr>
        <w:t>CDR</w:t>
      </w:r>
      <w:r w:rsidRPr="000851E5">
        <w:rPr>
          <w:rFonts w:eastAsia="OneFaceSerif" w:cs="Arial"/>
          <w:szCs w:val="22"/>
        </w:rPr>
        <w:t xml:space="preserve">” test panel from the </w:t>
      </w:r>
      <w:r w:rsidRPr="000851E5">
        <w:rPr>
          <w:rFonts w:cs="Arial"/>
          <w:bCs/>
          <w:szCs w:val="22"/>
        </w:rPr>
        <w:t xml:space="preserve">Test Panel </w:t>
      </w:r>
      <w:r w:rsidRPr="000851E5">
        <w:rPr>
          <w:rFonts w:eastAsia="OneFaceSerif" w:cs="Arial"/>
          <w:szCs w:val="22"/>
        </w:rPr>
        <w:t xml:space="preserve">drop-down list. Select </w:t>
      </w:r>
      <w:r w:rsidRPr="000851E5">
        <w:rPr>
          <w:rFonts w:cs="Arial"/>
          <w:b/>
          <w:bCs/>
          <w:szCs w:val="22"/>
        </w:rPr>
        <w:t>OK</w:t>
      </w:r>
      <w:r w:rsidRPr="000851E5">
        <w:rPr>
          <w:rFonts w:cs="Arial"/>
          <w:bCs/>
          <w:szCs w:val="22"/>
        </w:rPr>
        <w:t xml:space="preserve"> </w:t>
      </w:r>
      <w:r w:rsidRPr="000851E5">
        <w:rPr>
          <w:rFonts w:eastAsia="OneFaceSerif" w:cs="Arial"/>
          <w:szCs w:val="22"/>
        </w:rPr>
        <w:t>and follow the screen prompts.</w:t>
      </w:r>
    </w:p>
    <w:p w:rsidR="000851E5" w:rsidRPr="000851E5" w:rsidRDefault="000851E5" w:rsidP="000851E5">
      <w:pPr>
        <w:pStyle w:val="ListParagraph"/>
        <w:numPr>
          <w:ilvl w:val="0"/>
          <w:numId w:val="8"/>
        </w:numPr>
        <w:tabs>
          <w:tab w:val="clear" w:pos="7320"/>
        </w:tabs>
        <w:ind w:left="270" w:hanging="270"/>
        <w:rPr>
          <w:rFonts w:eastAsia="OneFaceSerif" w:cs="Arial"/>
          <w:szCs w:val="22"/>
        </w:rPr>
      </w:pPr>
      <w:r w:rsidRPr="000851E5">
        <w:rPr>
          <w:rFonts w:eastAsia="OneFaceSerif" w:cs="Arial"/>
          <w:szCs w:val="22"/>
        </w:rPr>
        <w:t xml:space="preserve">Select </w:t>
      </w:r>
      <w:r w:rsidRPr="000851E5">
        <w:rPr>
          <w:rFonts w:cs="Arial"/>
          <w:bCs/>
          <w:szCs w:val="22"/>
        </w:rPr>
        <w:t xml:space="preserve">OK </w:t>
      </w:r>
      <w:r w:rsidRPr="000851E5">
        <w:rPr>
          <w:rFonts w:eastAsia="OneFaceSerif" w:cs="Arial"/>
          <w:szCs w:val="22"/>
        </w:rPr>
        <w:t xml:space="preserve">to start a </w:t>
      </w:r>
      <w:r w:rsidRPr="000851E5">
        <w:rPr>
          <w:rFonts w:cs="Arial"/>
          <w:bCs/>
          <w:szCs w:val="22"/>
        </w:rPr>
        <w:t xml:space="preserve">Carryover </w:t>
      </w:r>
      <w:r w:rsidRPr="000851E5">
        <w:rPr>
          <w:rFonts w:eastAsia="OneFaceSerif" w:cs="Arial"/>
          <w:szCs w:val="22"/>
        </w:rPr>
        <w:t>procedure.</w:t>
      </w:r>
    </w:p>
    <w:p w:rsidR="000851E5" w:rsidRPr="000851E5" w:rsidRDefault="000851E5" w:rsidP="000851E5">
      <w:pPr>
        <w:pStyle w:val="ListParagraph"/>
        <w:numPr>
          <w:ilvl w:val="0"/>
          <w:numId w:val="8"/>
        </w:numPr>
        <w:tabs>
          <w:tab w:val="clear" w:pos="7320"/>
        </w:tabs>
        <w:ind w:left="270" w:hanging="270"/>
        <w:rPr>
          <w:rFonts w:eastAsia="OneFaceSerif" w:cs="Arial"/>
          <w:szCs w:val="22"/>
        </w:rPr>
      </w:pPr>
      <w:r w:rsidRPr="000851E5">
        <w:rPr>
          <w:rFonts w:eastAsia="OneFaceSerif" w:cs="Arial"/>
          <w:szCs w:val="22"/>
        </w:rPr>
        <w:t xml:space="preserve">Place one capped EDTA blood tube followed by three capped diluent tubes in a cassette and place in the input lane. Select </w:t>
      </w:r>
      <w:r w:rsidRPr="000851E5">
        <w:rPr>
          <w:rFonts w:eastAsia="OneFaceSerif" w:cs="Arial"/>
          <w:b/>
          <w:bCs/>
          <w:szCs w:val="22"/>
        </w:rPr>
        <w:t>OK</w:t>
      </w:r>
      <w:r w:rsidRPr="000851E5">
        <w:rPr>
          <w:rFonts w:eastAsia="OneFaceSerif" w:cs="Arial"/>
          <w:bCs/>
          <w:szCs w:val="22"/>
        </w:rPr>
        <w:t xml:space="preserve"> </w:t>
      </w:r>
      <w:r w:rsidRPr="000851E5">
        <w:rPr>
          <w:rFonts w:eastAsia="OneFaceSerif" w:cs="Arial"/>
          <w:szCs w:val="22"/>
        </w:rPr>
        <w:t>to start Carryover.</w:t>
      </w:r>
    </w:p>
    <w:p w:rsidR="000851E5" w:rsidRPr="000851E5" w:rsidRDefault="000851E5" w:rsidP="000851E5">
      <w:pPr>
        <w:pStyle w:val="ListParagraph"/>
        <w:numPr>
          <w:ilvl w:val="0"/>
          <w:numId w:val="8"/>
        </w:numPr>
        <w:tabs>
          <w:tab w:val="clear" w:pos="7320"/>
        </w:tabs>
        <w:ind w:left="270" w:hanging="270"/>
        <w:rPr>
          <w:rFonts w:eastAsia="OneFaceSerif" w:cs="Arial"/>
          <w:szCs w:val="22"/>
        </w:rPr>
      </w:pPr>
      <w:r w:rsidRPr="000851E5">
        <w:rPr>
          <w:rFonts w:eastAsia="OneFaceSerif" w:cs="Arial"/>
          <w:szCs w:val="22"/>
        </w:rPr>
        <w:t>When Carryover is complete, review the results on the Carryover screen.</w:t>
      </w:r>
    </w:p>
    <w:p w:rsidR="000851E5" w:rsidRPr="000851E5" w:rsidRDefault="000851E5" w:rsidP="000851E5">
      <w:pPr>
        <w:pStyle w:val="ListParagraph"/>
        <w:numPr>
          <w:ilvl w:val="0"/>
          <w:numId w:val="8"/>
        </w:numPr>
        <w:tabs>
          <w:tab w:val="clear" w:pos="7320"/>
        </w:tabs>
        <w:ind w:left="270" w:hanging="270"/>
        <w:rPr>
          <w:rFonts w:eastAsia="OneFaceSerif" w:cs="Arial"/>
          <w:szCs w:val="22"/>
        </w:rPr>
      </w:pPr>
      <w:r w:rsidRPr="000851E5">
        <w:rPr>
          <w:rFonts w:eastAsia="OneFaceSerif" w:cs="Arial"/>
          <w:szCs w:val="22"/>
        </w:rPr>
        <w:t>Review the calculated % for</w:t>
      </w:r>
      <w:r w:rsidRPr="000851E5">
        <w:rPr>
          <w:rFonts w:cs="Arial"/>
          <w:szCs w:val="22"/>
        </w:rPr>
        <w:t xml:space="preserve"> </w:t>
      </w:r>
      <w:r w:rsidRPr="000851E5">
        <w:rPr>
          <w:rFonts w:eastAsia="OneFaceSerif" w:cs="Arial"/>
          <w:szCs w:val="22"/>
        </w:rPr>
        <w:t xml:space="preserve">each parameter and compare to the Carryover and Background limits for acceptability (see Tables 1.12 and 1.13 below). </w:t>
      </w:r>
    </w:p>
    <w:p w:rsidR="000851E5" w:rsidRPr="000851E5" w:rsidRDefault="000851E5" w:rsidP="000851E5">
      <w:pPr>
        <w:pStyle w:val="ListParagraph"/>
        <w:ind w:left="270"/>
        <w:rPr>
          <w:rFonts w:eastAsia="OneFaceSerif" w:cs="Arial"/>
          <w:szCs w:val="22"/>
        </w:rPr>
      </w:pPr>
    </w:p>
    <w:p w:rsidR="000851E5" w:rsidRPr="000851E5" w:rsidRDefault="000851E5" w:rsidP="000851E5">
      <w:pPr>
        <w:ind w:left="0"/>
        <w:rPr>
          <w:rFonts w:eastAsia="OneFaceSerif" w:cs="Arial"/>
          <w:b/>
          <w:szCs w:val="22"/>
        </w:rPr>
      </w:pPr>
      <w:r w:rsidRPr="000851E5">
        <w:rPr>
          <w:rFonts w:eastAsia="OneFaceSerif" w:cs="Arial"/>
          <w:b/>
          <w:szCs w:val="22"/>
        </w:rPr>
        <w:t>Note: On screen the carryover status will show PASS/FAIL and indicate the acceptability of each parameter.</w:t>
      </w:r>
    </w:p>
    <w:p w:rsidR="000851E5" w:rsidRPr="000851E5" w:rsidRDefault="000851E5" w:rsidP="000851E5">
      <w:pPr>
        <w:pStyle w:val="ListParagraph"/>
        <w:ind w:left="-900"/>
        <w:rPr>
          <w:rFonts w:eastAsia="OneFaceSerif" w:cs="Arial"/>
          <w:b/>
          <w:szCs w:val="22"/>
        </w:rPr>
      </w:pPr>
    </w:p>
    <w:p w:rsidR="000851E5" w:rsidRPr="000851E5" w:rsidRDefault="000851E5" w:rsidP="000851E5">
      <w:pPr>
        <w:pStyle w:val="ListParagraph"/>
        <w:numPr>
          <w:ilvl w:val="0"/>
          <w:numId w:val="8"/>
        </w:numPr>
        <w:tabs>
          <w:tab w:val="clear" w:pos="7320"/>
        </w:tabs>
        <w:ind w:left="270" w:hanging="270"/>
        <w:rPr>
          <w:rFonts w:eastAsia="OneFaceSerif" w:cs="Arial"/>
          <w:szCs w:val="22"/>
        </w:rPr>
      </w:pPr>
      <w:r w:rsidRPr="000851E5">
        <w:rPr>
          <w:rFonts w:eastAsia="OneFaceSerif" w:cs="Arial"/>
          <w:color w:val="000000"/>
          <w:szCs w:val="22"/>
        </w:rPr>
        <w:t xml:space="preserve">High to Low Carryover for </w:t>
      </w:r>
      <w:r w:rsidRPr="000851E5">
        <w:rPr>
          <w:rFonts w:eastAsia="OneFaceSerif" w:cs="Arial"/>
          <w:b/>
          <w:color w:val="000000"/>
          <w:szCs w:val="22"/>
        </w:rPr>
        <w:t>Body Fluids</w:t>
      </w:r>
      <w:r w:rsidRPr="000851E5">
        <w:rPr>
          <w:rFonts w:eastAsia="OneFaceSerif" w:cs="Arial"/>
          <w:color w:val="000000"/>
          <w:szCs w:val="22"/>
        </w:rPr>
        <w:t xml:space="preserve"> is measured by analyzing a whole blood specimen followed by a diluent analyzed as a body fluid. The diluent sample should not exceed the Background limits as stated in </w:t>
      </w:r>
      <w:r w:rsidRPr="000851E5">
        <w:rPr>
          <w:rFonts w:eastAsia="OneFaceSerif" w:cs="Arial"/>
          <w:szCs w:val="22"/>
        </w:rPr>
        <w:t>Table 1.14</w:t>
      </w:r>
      <w:r w:rsidRPr="000851E5">
        <w:rPr>
          <w:rFonts w:eastAsia="OneFaceSerif" w:cs="Arial"/>
          <w:color w:val="000000"/>
          <w:szCs w:val="22"/>
        </w:rPr>
        <w:t xml:space="preserve"> (Chapter 1: System Overview, Table 1.24 in Operator’s Manual).</w:t>
      </w:r>
    </w:p>
    <w:p w:rsidR="000851E5" w:rsidRPr="000851E5" w:rsidRDefault="000851E5" w:rsidP="000851E5">
      <w:pPr>
        <w:ind w:left="270" w:hanging="270"/>
        <w:rPr>
          <w:rFonts w:cs="Arial"/>
          <w:szCs w:val="22"/>
          <w:u w:val="single"/>
        </w:rPr>
      </w:pPr>
    </w:p>
    <w:p w:rsidR="000851E5" w:rsidRPr="000851E5" w:rsidRDefault="000851E5" w:rsidP="000851E5">
      <w:pPr>
        <w:ind w:left="0"/>
        <w:rPr>
          <w:rFonts w:cs="Arial"/>
          <w:b/>
          <w:szCs w:val="22"/>
          <w:u w:val="single"/>
        </w:rPr>
      </w:pPr>
      <w:r w:rsidRPr="000851E5">
        <w:rPr>
          <w:rFonts w:cs="Arial"/>
          <w:b/>
          <w:szCs w:val="22"/>
          <w:u w:val="single"/>
        </w:rPr>
        <w:t>Background Procedure:</w:t>
      </w:r>
    </w:p>
    <w:p w:rsidR="000851E5" w:rsidRPr="000851E5" w:rsidRDefault="000851E5" w:rsidP="000851E5">
      <w:pPr>
        <w:ind w:left="0"/>
        <w:jc w:val="both"/>
        <w:rPr>
          <w:rFonts w:cs="Arial"/>
          <w:szCs w:val="22"/>
        </w:rPr>
      </w:pPr>
      <w:r w:rsidRPr="000851E5">
        <w:rPr>
          <w:rFonts w:cs="Arial"/>
          <w:szCs w:val="22"/>
        </w:rPr>
        <w:t>The background procedure is performed automatically on Daily Start-up. Print Daily checks Detail Report and compare results to acceptable criteria (see Table 1.13)</w:t>
      </w:r>
    </w:p>
    <w:p w:rsidR="000851E5" w:rsidRPr="000851E5" w:rsidRDefault="000851E5" w:rsidP="000851E5">
      <w:pPr>
        <w:ind w:left="0"/>
        <w:jc w:val="both"/>
        <w:rPr>
          <w:rFonts w:cs="Arial"/>
          <w:szCs w:val="22"/>
        </w:rPr>
      </w:pPr>
    </w:p>
    <w:p w:rsidR="00BD14A9" w:rsidRPr="000851E5" w:rsidRDefault="000851E5" w:rsidP="000851E5">
      <w:pPr>
        <w:pStyle w:val="Heading1"/>
        <w:rPr>
          <w:rFonts w:cs="Arial"/>
          <w:szCs w:val="22"/>
        </w:rPr>
      </w:pPr>
      <w:r w:rsidRPr="000851E5">
        <w:rPr>
          <w:rFonts w:cs="Arial"/>
          <w:szCs w:val="22"/>
        </w:rPr>
        <w:t xml:space="preserve">Interpretation of results </w:t>
      </w:r>
    </w:p>
    <w:p w:rsidR="000851E5" w:rsidRPr="000851E5" w:rsidRDefault="000851E5" w:rsidP="000851E5">
      <w:pPr>
        <w:rPr>
          <w:rFonts w:eastAsia="OneFaceSerif" w:cs="Arial"/>
          <w:szCs w:val="22"/>
        </w:rPr>
      </w:pPr>
      <w:r w:rsidRPr="000851E5">
        <w:rPr>
          <w:rFonts w:eastAsia="OneFaceSerif" w:cs="Arial"/>
          <w:szCs w:val="22"/>
        </w:rPr>
        <w:t>The status of each parameter is based on the following criteria:</w:t>
      </w:r>
    </w:p>
    <w:p w:rsidR="000851E5" w:rsidRPr="000851E5" w:rsidRDefault="000851E5" w:rsidP="000851E5">
      <w:pPr>
        <w:pStyle w:val="ListParagraph"/>
        <w:numPr>
          <w:ilvl w:val="0"/>
          <w:numId w:val="9"/>
        </w:numPr>
        <w:tabs>
          <w:tab w:val="clear" w:pos="7320"/>
        </w:tabs>
        <w:autoSpaceDE w:val="0"/>
        <w:autoSpaceDN w:val="0"/>
        <w:adjustRightInd w:val="0"/>
        <w:rPr>
          <w:rFonts w:eastAsia="OneFaceSerif" w:cs="Arial"/>
          <w:szCs w:val="22"/>
        </w:rPr>
      </w:pPr>
      <w:r w:rsidRPr="000851E5">
        <w:rPr>
          <w:rFonts w:eastAsia="OneFaceSerif" w:cs="Arial"/>
          <w:szCs w:val="22"/>
        </w:rPr>
        <w:t xml:space="preserve">Verify Carryover status is PASS for each parameter. </w:t>
      </w:r>
    </w:p>
    <w:p w:rsidR="000851E5" w:rsidRPr="000851E5" w:rsidRDefault="000851E5" w:rsidP="000851E5">
      <w:pPr>
        <w:pStyle w:val="ListParagraph"/>
        <w:numPr>
          <w:ilvl w:val="1"/>
          <w:numId w:val="9"/>
        </w:numPr>
        <w:tabs>
          <w:tab w:val="clear" w:pos="7320"/>
        </w:tabs>
        <w:autoSpaceDE w:val="0"/>
        <w:autoSpaceDN w:val="0"/>
        <w:adjustRightInd w:val="0"/>
        <w:rPr>
          <w:rFonts w:eastAsia="OneFaceSerif" w:cs="Arial"/>
          <w:szCs w:val="22"/>
        </w:rPr>
      </w:pPr>
      <w:r w:rsidRPr="000851E5">
        <w:rPr>
          <w:rFonts w:eastAsia="OneFaceSerif" w:cs="Arial"/>
          <w:szCs w:val="22"/>
        </w:rPr>
        <w:t xml:space="preserve">CBC high to low Carryover is calculated as follows and should not exceed the limits stated in Table 1.12: </w:t>
      </w:r>
    </w:p>
    <w:p w:rsidR="000851E5" w:rsidRPr="000851E5" w:rsidRDefault="000851E5" w:rsidP="000851E5">
      <w:pPr>
        <w:autoSpaceDE w:val="0"/>
        <w:autoSpaceDN w:val="0"/>
        <w:adjustRightInd w:val="0"/>
        <w:rPr>
          <w:rFonts w:eastAsia="OneFaceSerif" w:cs="Arial"/>
          <w:szCs w:val="22"/>
        </w:rPr>
      </w:pPr>
    </w:p>
    <w:p w:rsidR="000851E5" w:rsidRPr="000851E5" w:rsidRDefault="000851E5" w:rsidP="000851E5">
      <w:pPr>
        <w:autoSpaceDE w:val="0"/>
        <w:autoSpaceDN w:val="0"/>
        <w:adjustRightInd w:val="0"/>
        <w:ind w:firstLine="720"/>
        <w:rPr>
          <w:rFonts w:eastAsia="OneFaceSerif" w:cs="Arial"/>
          <w:szCs w:val="22"/>
        </w:rPr>
      </w:pPr>
      <w:r w:rsidRPr="000851E5">
        <w:rPr>
          <w:rFonts w:eastAsia="OneFaceSerif" w:cs="Arial"/>
          <w:i/>
          <w:szCs w:val="22"/>
        </w:rPr>
        <w:t>Carryover = [(1</w:t>
      </w:r>
      <w:r w:rsidRPr="000851E5">
        <w:rPr>
          <w:rFonts w:eastAsia="OneFaceSerif" w:cs="Arial"/>
          <w:i/>
          <w:szCs w:val="22"/>
          <w:vertAlign w:val="superscript"/>
        </w:rPr>
        <w:t>st</w:t>
      </w:r>
      <w:r w:rsidRPr="000851E5">
        <w:rPr>
          <w:rFonts w:eastAsia="OneFaceSerif" w:cs="Arial"/>
          <w:i/>
          <w:szCs w:val="22"/>
        </w:rPr>
        <w:t xml:space="preserve"> Diluent-3</w:t>
      </w:r>
      <w:r w:rsidRPr="000851E5">
        <w:rPr>
          <w:rFonts w:eastAsia="OneFaceSerif" w:cs="Arial"/>
          <w:i/>
          <w:szCs w:val="22"/>
          <w:vertAlign w:val="superscript"/>
        </w:rPr>
        <w:t>rd</w:t>
      </w:r>
      <w:r w:rsidRPr="000851E5">
        <w:rPr>
          <w:rFonts w:eastAsia="OneFaceSerif" w:cs="Arial"/>
          <w:i/>
          <w:szCs w:val="22"/>
        </w:rPr>
        <w:t xml:space="preserve"> Diluent) / (3</w:t>
      </w:r>
      <w:r w:rsidRPr="000851E5">
        <w:rPr>
          <w:rFonts w:eastAsia="OneFaceSerif" w:cs="Arial"/>
          <w:i/>
          <w:szCs w:val="22"/>
          <w:vertAlign w:val="superscript"/>
        </w:rPr>
        <w:t>rd</w:t>
      </w:r>
      <w:r w:rsidRPr="000851E5">
        <w:rPr>
          <w:rFonts w:eastAsia="OneFaceSerif" w:cs="Arial"/>
          <w:i/>
          <w:szCs w:val="22"/>
        </w:rPr>
        <w:t xml:space="preserve"> sample-3</w:t>
      </w:r>
      <w:r w:rsidRPr="000851E5">
        <w:rPr>
          <w:rFonts w:eastAsia="OneFaceSerif" w:cs="Arial"/>
          <w:i/>
          <w:szCs w:val="22"/>
          <w:vertAlign w:val="superscript"/>
        </w:rPr>
        <w:t>rd</w:t>
      </w:r>
      <w:r w:rsidRPr="000851E5">
        <w:rPr>
          <w:rFonts w:eastAsia="OneFaceSerif" w:cs="Arial"/>
          <w:i/>
          <w:szCs w:val="22"/>
        </w:rPr>
        <w:t xml:space="preserve"> Diluent)]*100</w:t>
      </w:r>
    </w:p>
    <w:p w:rsidR="000851E5" w:rsidRPr="000851E5" w:rsidRDefault="000851E5" w:rsidP="000851E5">
      <w:pPr>
        <w:pStyle w:val="ListParagraph"/>
        <w:autoSpaceDE w:val="0"/>
        <w:autoSpaceDN w:val="0"/>
        <w:adjustRightInd w:val="0"/>
        <w:ind w:left="1440"/>
        <w:rPr>
          <w:rFonts w:eastAsia="OneFaceSerif" w:cs="Arial"/>
          <w:szCs w:val="22"/>
        </w:rPr>
      </w:pPr>
    </w:p>
    <w:p w:rsidR="000851E5" w:rsidRPr="000851E5" w:rsidRDefault="000851E5" w:rsidP="000851E5">
      <w:pPr>
        <w:pStyle w:val="ListParagraph"/>
        <w:numPr>
          <w:ilvl w:val="1"/>
          <w:numId w:val="9"/>
        </w:numPr>
        <w:tabs>
          <w:tab w:val="clear" w:pos="7320"/>
        </w:tabs>
        <w:rPr>
          <w:rFonts w:eastAsia="OneFaceSerif" w:cs="Arial"/>
          <w:szCs w:val="22"/>
        </w:rPr>
      </w:pPr>
      <w:r w:rsidRPr="000851E5">
        <w:rPr>
          <w:rFonts w:eastAsia="OneFaceSerif" w:cs="Arial"/>
          <w:szCs w:val="22"/>
        </w:rPr>
        <w:t xml:space="preserve">For Diff, Retic, and NRBC the event count for each diluent should be within limits as stated in Table 1.12 below. </w:t>
      </w:r>
    </w:p>
    <w:p w:rsidR="000851E5" w:rsidRPr="000851E5" w:rsidRDefault="000851E5" w:rsidP="000851E5">
      <w:pPr>
        <w:pStyle w:val="ListParagraph"/>
        <w:numPr>
          <w:ilvl w:val="0"/>
          <w:numId w:val="9"/>
        </w:numPr>
        <w:tabs>
          <w:tab w:val="clear" w:pos="7320"/>
        </w:tabs>
        <w:rPr>
          <w:rFonts w:eastAsia="OneFaceSerif" w:cs="Arial"/>
          <w:szCs w:val="22"/>
        </w:rPr>
      </w:pPr>
      <w:r w:rsidRPr="000851E5">
        <w:rPr>
          <w:rFonts w:eastAsia="OneFaceSerif" w:cs="Arial"/>
          <w:szCs w:val="22"/>
        </w:rPr>
        <w:t>The status of the parameter is FAIL for carryover if the criteria described above are not met.</w:t>
      </w:r>
    </w:p>
    <w:p w:rsidR="000851E5" w:rsidRPr="000851E5" w:rsidRDefault="000851E5" w:rsidP="000851E5">
      <w:pPr>
        <w:pStyle w:val="ListParagraph"/>
        <w:numPr>
          <w:ilvl w:val="1"/>
          <w:numId w:val="9"/>
        </w:numPr>
        <w:tabs>
          <w:tab w:val="clear" w:pos="7320"/>
        </w:tabs>
        <w:autoSpaceDE w:val="0"/>
        <w:autoSpaceDN w:val="0"/>
        <w:adjustRightInd w:val="0"/>
        <w:rPr>
          <w:rFonts w:eastAsia="OneFaceSerif" w:cs="Arial"/>
          <w:szCs w:val="22"/>
        </w:rPr>
      </w:pPr>
      <w:r w:rsidRPr="000851E5">
        <w:rPr>
          <w:rFonts w:eastAsia="OneFaceSerif" w:cs="Arial"/>
          <w:szCs w:val="22"/>
        </w:rPr>
        <w:t>For Diff, Retic, and NRBC the event count for each diluent should be within limits as stated in Table 1.12 below.</w:t>
      </w:r>
    </w:p>
    <w:p w:rsidR="000851E5" w:rsidRPr="000851E5" w:rsidRDefault="000851E5" w:rsidP="000851E5">
      <w:pPr>
        <w:pStyle w:val="ListParagraph"/>
        <w:tabs>
          <w:tab w:val="clear" w:pos="7320"/>
        </w:tabs>
        <w:autoSpaceDE w:val="0"/>
        <w:autoSpaceDN w:val="0"/>
        <w:adjustRightInd w:val="0"/>
        <w:ind w:left="1440"/>
        <w:rPr>
          <w:rFonts w:eastAsia="OneFaceSerif" w:cs="Arial"/>
          <w:szCs w:val="22"/>
        </w:rPr>
      </w:pPr>
    </w:p>
    <w:p w:rsidR="000851E5" w:rsidRPr="000851E5" w:rsidRDefault="000851E5" w:rsidP="000851E5">
      <w:pPr>
        <w:ind w:left="0"/>
        <w:rPr>
          <w:rFonts w:eastAsia="OneFaceSerif" w:cs="Arial"/>
          <w:b/>
          <w:szCs w:val="22"/>
        </w:rPr>
      </w:pPr>
      <w:r w:rsidRPr="000851E5">
        <w:rPr>
          <w:rFonts w:eastAsia="OneFaceSerif" w:cs="Arial"/>
          <w:b/>
          <w:szCs w:val="22"/>
        </w:rPr>
        <w:t>CARRYOVER:</w:t>
      </w:r>
    </w:p>
    <w:p w:rsidR="000851E5" w:rsidRPr="000851E5" w:rsidRDefault="000851E5" w:rsidP="000851E5">
      <w:pPr>
        <w:ind w:left="0"/>
        <w:rPr>
          <w:rFonts w:eastAsia="OneFaceSerif" w:cs="Arial"/>
          <w:szCs w:val="22"/>
        </w:rPr>
      </w:pPr>
      <w:r w:rsidRPr="000851E5">
        <w:rPr>
          <w:rFonts w:eastAsia="OneFaceSerif" w:cs="Arial"/>
          <w:szCs w:val="22"/>
        </w:rPr>
        <w:t>Carryover results should not exceed the following limits:</w:t>
      </w:r>
    </w:p>
    <w:p w:rsidR="000851E5" w:rsidRPr="000851E5" w:rsidRDefault="000851E5" w:rsidP="000851E5">
      <w:pPr>
        <w:pStyle w:val="ListParagraph"/>
        <w:ind w:left="720"/>
        <w:rPr>
          <w:rFonts w:eastAsia="OneFaceSerif" w:cs="Arial"/>
          <w:szCs w:val="22"/>
        </w:rPr>
      </w:pPr>
    </w:p>
    <w:tbl>
      <w:tblPr>
        <w:tblW w:w="5026" w:type="dxa"/>
        <w:tblInd w:w="93" w:type="dxa"/>
        <w:tblLook w:val="04A0" w:firstRow="1" w:lastRow="0" w:firstColumn="1" w:lastColumn="0" w:noHBand="0" w:noVBand="1"/>
      </w:tblPr>
      <w:tblGrid>
        <w:gridCol w:w="2137"/>
        <w:gridCol w:w="2445"/>
        <w:gridCol w:w="222"/>
        <w:gridCol w:w="222"/>
      </w:tblGrid>
      <w:tr w:rsidR="000851E5" w:rsidRPr="000851E5" w:rsidTr="00AC68EB">
        <w:trPr>
          <w:trHeight w:val="300"/>
        </w:trPr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b/>
                <w:bCs/>
                <w:color w:val="000000"/>
                <w:szCs w:val="22"/>
              </w:rPr>
              <w:t>Table 1.12</w:t>
            </w:r>
            <w:r w:rsidRPr="000851E5">
              <w:rPr>
                <w:rFonts w:cs="Arial"/>
                <w:color w:val="000000"/>
                <w:szCs w:val="22"/>
              </w:rPr>
              <w:t xml:space="preserve"> High to Low Carryover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0851E5" w:rsidRPr="000851E5" w:rsidTr="00AC68EB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jc w:val="center"/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Parameter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jc w:val="center"/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Limit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0851E5" w:rsidRPr="000851E5" w:rsidTr="00AC68EB">
        <w:trPr>
          <w:trHeight w:val="30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WBC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≤0.5%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0851E5" w:rsidRPr="000851E5" w:rsidTr="00AC68EB">
        <w:trPr>
          <w:trHeight w:val="30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RBC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≤0.5%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0851E5" w:rsidRPr="000851E5" w:rsidTr="00AC68EB">
        <w:trPr>
          <w:trHeight w:val="30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HGB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≤1.0%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0851E5" w:rsidRPr="000851E5" w:rsidTr="00AC68EB">
        <w:trPr>
          <w:trHeight w:val="30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PLT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≤1.0%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0851E5" w:rsidRPr="000851E5" w:rsidTr="00AC68EB">
        <w:trPr>
          <w:trHeight w:val="30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NRBC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≤75 events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0851E5" w:rsidRPr="000851E5" w:rsidTr="00AC68EB">
        <w:trPr>
          <w:trHeight w:val="30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DIFF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≤200 events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0851E5" w:rsidRPr="000851E5" w:rsidTr="00AC68EB">
        <w:trPr>
          <w:trHeight w:val="30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RET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≤600 events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</w:tbl>
    <w:p w:rsidR="000851E5" w:rsidRPr="000851E5" w:rsidRDefault="000851E5" w:rsidP="000851E5">
      <w:pPr>
        <w:pStyle w:val="ListParagraph"/>
        <w:ind w:left="720"/>
        <w:rPr>
          <w:rFonts w:cs="Arial"/>
          <w:b/>
          <w:bCs/>
          <w:szCs w:val="22"/>
        </w:rPr>
      </w:pPr>
    </w:p>
    <w:p w:rsidR="000851E5" w:rsidRPr="000851E5" w:rsidRDefault="000851E5" w:rsidP="000851E5">
      <w:pPr>
        <w:rPr>
          <w:rFonts w:cs="Arial"/>
          <w:b/>
          <w:bCs/>
          <w:szCs w:val="22"/>
        </w:rPr>
      </w:pPr>
      <w:r w:rsidRPr="000851E5">
        <w:rPr>
          <w:rFonts w:cs="Arial"/>
          <w:b/>
          <w:bCs/>
          <w:szCs w:val="22"/>
        </w:rPr>
        <w:t>BACKGROUND:</w:t>
      </w:r>
    </w:p>
    <w:p w:rsidR="000851E5" w:rsidRPr="000851E5" w:rsidRDefault="000851E5" w:rsidP="000851E5">
      <w:pPr>
        <w:rPr>
          <w:rFonts w:cs="Arial"/>
          <w:color w:val="000000"/>
          <w:szCs w:val="22"/>
        </w:rPr>
      </w:pPr>
      <w:r w:rsidRPr="000851E5">
        <w:rPr>
          <w:rFonts w:cs="Arial"/>
          <w:color w:val="000000"/>
          <w:szCs w:val="22"/>
        </w:rPr>
        <w:lastRenderedPageBreak/>
        <w:t>The following tables list the acceptable background limits for Daily Checks and Body Fluids.</w:t>
      </w:r>
    </w:p>
    <w:p w:rsidR="000851E5" w:rsidRPr="000851E5" w:rsidRDefault="000851E5" w:rsidP="000851E5">
      <w:pPr>
        <w:pStyle w:val="ListParagraph"/>
        <w:ind w:left="720"/>
        <w:rPr>
          <w:rFonts w:cs="Arial"/>
          <w:color w:val="000000"/>
          <w:szCs w:val="22"/>
        </w:rPr>
      </w:pPr>
    </w:p>
    <w:tbl>
      <w:tblPr>
        <w:tblW w:w="9998" w:type="dxa"/>
        <w:tblInd w:w="-180" w:type="dxa"/>
        <w:tblLook w:val="04A0" w:firstRow="1" w:lastRow="0" w:firstColumn="1" w:lastColumn="0" w:noHBand="0" w:noVBand="1"/>
      </w:tblPr>
      <w:tblGrid>
        <w:gridCol w:w="1710"/>
        <w:gridCol w:w="2272"/>
        <w:gridCol w:w="222"/>
        <w:gridCol w:w="14"/>
        <w:gridCol w:w="2249"/>
        <w:gridCol w:w="2205"/>
        <w:gridCol w:w="1104"/>
        <w:gridCol w:w="208"/>
        <w:gridCol w:w="14"/>
      </w:tblGrid>
      <w:tr w:rsidR="000851E5" w:rsidRPr="000851E5" w:rsidTr="000851E5">
        <w:trPr>
          <w:gridAfter w:val="1"/>
          <w:wAfter w:w="14" w:type="dxa"/>
          <w:trHeight w:val="315"/>
        </w:trPr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0851E5">
            <w:pPr>
              <w:ind w:left="0"/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b/>
                <w:bCs/>
                <w:color w:val="000000"/>
                <w:szCs w:val="22"/>
              </w:rPr>
              <w:t>Table 1.13</w:t>
            </w:r>
            <w:r w:rsidRPr="000851E5">
              <w:rPr>
                <w:rFonts w:cs="Arial"/>
                <w:color w:val="000000"/>
                <w:szCs w:val="22"/>
              </w:rPr>
              <w:t xml:space="preserve"> Background – Daily Checks</w:t>
            </w:r>
          </w:p>
        </w:tc>
        <w:tc>
          <w:tcPr>
            <w:tcW w:w="5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b/>
                <w:bCs/>
                <w:color w:val="000000"/>
                <w:szCs w:val="22"/>
              </w:rPr>
              <w:t xml:space="preserve">Table 1.14 </w:t>
            </w:r>
            <w:r w:rsidRPr="000851E5">
              <w:rPr>
                <w:rFonts w:cs="Arial"/>
                <w:color w:val="000000"/>
                <w:szCs w:val="22"/>
              </w:rPr>
              <w:t>Background - Body Fluids</w:t>
            </w:r>
          </w:p>
        </w:tc>
      </w:tr>
      <w:tr w:rsidR="000851E5" w:rsidRPr="000851E5" w:rsidTr="000851E5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0851E5">
              <w:rPr>
                <w:rFonts w:cs="Arial"/>
                <w:b/>
                <w:bCs/>
                <w:color w:val="000000"/>
                <w:szCs w:val="22"/>
              </w:rPr>
              <w:t>Parameter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0851E5">
              <w:rPr>
                <w:rFonts w:cs="Arial"/>
                <w:b/>
                <w:bCs/>
                <w:color w:val="000000"/>
                <w:szCs w:val="22"/>
              </w:rPr>
              <w:t>Limit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0851E5">
              <w:rPr>
                <w:rFonts w:cs="Arial"/>
                <w:b/>
                <w:bCs/>
                <w:color w:val="000000"/>
                <w:szCs w:val="22"/>
              </w:rPr>
              <w:t>Parameter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0851E5">
              <w:rPr>
                <w:rFonts w:cs="Arial"/>
                <w:b/>
                <w:bCs/>
                <w:color w:val="000000"/>
                <w:szCs w:val="22"/>
              </w:rPr>
              <w:t>Limit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0851E5" w:rsidRPr="000851E5" w:rsidTr="000851E5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WBC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≤0.05 x 10³/uL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TNC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≤20 cells/mm³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0851E5" w:rsidRPr="000851E5" w:rsidTr="000851E5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RBC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≤0.005 x 10⁶/uL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RBC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≤1000 cells/mm³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0851E5" w:rsidRPr="000851E5" w:rsidTr="000851E5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HGB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≤0.1 g/dL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0851E5" w:rsidRPr="000851E5" w:rsidTr="000851E5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PLT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≤3 x 10³/uL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0851E5" w:rsidRPr="000851E5" w:rsidTr="000851E5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NRBC Region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≤10 events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0851E5" w:rsidRPr="000851E5" w:rsidTr="000851E5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NRBC Total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≤60 events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0851E5" w:rsidRPr="000851E5" w:rsidTr="000851E5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DIFF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≤100 events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0851E5" w:rsidRPr="000851E5" w:rsidTr="000851E5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RET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  <w:r w:rsidRPr="000851E5">
              <w:rPr>
                <w:rFonts w:cs="Arial"/>
                <w:color w:val="000000"/>
                <w:szCs w:val="22"/>
              </w:rPr>
              <w:t>≤600 events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E5" w:rsidRPr="000851E5" w:rsidRDefault="000851E5" w:rsidP="00AC68EB">
            <w:pPr>
              <w:rPr>
                <w:rFonts w:cs="Arial"/>
                <w:color w:val="000000"/>
                <w:szCs w:val="22"/>
              </w:rPr>
            </w:pPr>
          </w:p>
        </w:tc>
      </w:tr>
    </w:tbl>
    <w:p w:rsidR="000851E5" w:rsidRPr="000851E5" w:rsidRDefault="000851E5" w:rsidP="000851E5">
      <w:pPr>
        <w:pStyle w:val="BodyText"/>
        <w:rPr>
          <w:rFonts w:cs="Arial"/>
          <w:szCs w:val="22"/>
        </w:rPr>
      </w:pPr>
    </w:p>
    <w:p w:rsidR="004C45E5" w:rsidRPr="000851E5" w:rsidRDefault="004C45E5" w:rsidP="00BD14A9">
      <w:pPr>
        <w:pStyle w:val="Heading1"/>
        <w:rPr>
          <w:rFonts w:cs="Arial"/>
          <w:szCs w:val="22"/>
        </w:rPr>
      </w:pPr>
      <w:r w:rsidRPr="000851E5">
        <w:rPr>
          <w:rFonts w:cs="Arial"/>
          <w:szCs w:val="22"/>
        </w:rPr>
        <w:t>LIMITATIONS:</w:t>
      </w:r>
    </w:p>
    <w:p w:rsidR="000851E5" w:rsidRPr="000851E5" w:rsidRDefault="000851E5" w:rsidP="000851E5">
      <w:pPr>
        <w:ind w:left="0"/>
        <w:rPr>
          <w:rFonts w:cs="Arial"/>
          <w:szCs w:val="22"/>
        </w:rPr>
      </w:pPr>
      <w:r w:rsidRPr="000851E5">
        <w:rPr>
          <w:rFonts w:cs="Arial"/>
          <w:szCs w:val="22"/>
        </w:rPr>
        <w:t>Background and Carryover must meet minimum requirements outlined by Beckman Coulter’s Tables: 1.12, 1.13 and 1.14. If Background and Carryover fail perform clean aspiration probe, backwash procedure and/or change aspiration probe. Repeat Background and Carryover with new sample.  If repeatability fails again, contact your Beckman Coulter Representative.</w:t>
      </w:r>
    </w:p>
    <w:p w:rsidR="004C45E5" w:rsidRPr="000851E5" w:rsidRDefault="004C45E5" w:rsidP="004C45E5">
      <w:pPr>
        <w:pStyle w:val="BodyText"/>
        <w:rPr>
          <w:rFonts w:cs="Arial"/>
          <w:szCs w:val="22"/>
        </w:rPr>
      </w:pPr>
    </w:p>
    <w:p w:rsidR="00BD14A9" w:rsidRPr="000851E5" w:rsidRDefault="00BD14A9" w:rsidP="00BD14A9">
      <w:pPr>
        <w:pStyle w:val="Heading1"/>
        <w:rPr>
          <w:rFonts w:cs="Arial"/>
          <w:szCs w:val="22"/>
        </w:rPr>
      </w:pPr>
      <w:r w:rsidRPr="000851E5">
        <w:rPr>
          <w:rFonts w:cs="Arial"/>
          <w:szCs w:val="22"/>
        </w:rPr>
        <w:t>references:</w:t>
      </w:r>
    </w:p>
    <w:p w:rsidR="000851E5" w:rsidRPr="000851E5" w:rsidRDefault="000851E5" w:rsidP="000851E5">
      <w:pPr>
        <w:tabs>
          <w:tab w:val="left" w:pos="-990"/>
        </w:tabs>
        <w:ind w:left="0"/>
        <w:rPr>
          <w:rFonts w:cs="Arial"/>
          <w:szCs w:val="22"/>
        </w:rPr>
      </w:pPr>
      <w:r w:rsidRPr="000851E5">
        <w:rPr>
          <w:rFonts w:eastAsia="OneFaceSerif" w:cs="Arial"/>
          <w:b/>
          <w:bCs/>
          <w:szCs w:val="22"/>
        </w:rPr>
        <w:t xml:space="preserve">UniCel® DxH 800 Coulter® Cellular Analysis System, </w:t>
      </w:r>
      <w:r w:rsidRPr="000851E5">
        <w:rPr>
          <w:rFonts w:eastAsia="OneFaceSerif" w:cs="Arial"/>
          <w:szCs w:val="22"/>
        </w:rPr>
        <w:t xml:space="preserve">Instructions for Use </w:t>
      </w:r>
      <w:r w:rsidRPr="000851E5">
        <w:rPr>
          <w:rFonts w:eastAsia="OneFaceSerif" w:cs="Arial"/>
          <w:bCs/>
          <w:szCs w:val="22"/>
        </w:rPr>
        <w:t>PN</w:t>
      </w:r>
      <w:r w:rsidRPr="000851E5">
        <w:rPr>
          <w:rFonts w:cs="Arial"/>
          <w:szCs w:val="22"/>
        </w:rPr>
        <w:t xml:space="preserve"> 629743AG (November 2010) System Manual</w:t>
      </w:r>
    </w:p>
    <w:p w:rsidR="000851E5" w:rsidRPr="000851E5" w:rsidRDefault="000851E5" w:rsidP="000851E5">
      <w:pPr>
        <w:tabs>
          <w:tab w:val="left" w:pos="-990"/>
        </w:tabs>
        <w:ind w:left="0"/>
        <w:rPr>
          <w:rFonts w:cs="Arial"/>
          <w:szCs w:val="22"/>
        </w:rPr>
      </w:pPr>
      <w:r w:rsidRPr="000851E5">
        <w:rPr>
          <w:rFonts w:eastAsia="OneFaceSerif" w:cs="Arial"/>
          <w:b/>
          <w:bCs/>
          <w:szCs w:val="22"/>
        </w:rPr>
        <w:t xml:space="preserve">UniCel® DxH Series with System Manage Software, </w:t>
      </w:r>
      <w:r w:rsidRPr="000851E5">
        <w:rPr>
          <w:rFonts w:eastAsia="OneFaceSerif" w:cs="Arial"/>
          <w:bCs/>
          <w:szCs w:val="22"/>
        </w:rPr>
        <w:t>B26647AC (July 2015)</w:t>
      </w:r>
    </w:p>
    <w:p w:rsidR="000851E5" w:rsidRPr="000851E5" w:rsidRDefault="000851E5" w:rsidP="000851E5">
      <w:pPr>
        <w:tabs>
          <w:tab w:val="left" w:pos="-990"/>
        </w:tabs>
        <w:ind w:left="0"/>
        <w:rPr>
          <w:rFonts w:eastAsia="OneFaceSerif" w:cs="Arial"/>
          <w:bCs/>
          <w:szCs w:val="22"/>
        </w:rPr>
      </w:pPr>
      <w:r w:rsidRPr="000851E5">
        <w:rPr>
          <w:rFonts w:eastAsia="OneFaceSerif" w:cs="Arial"/>
          <w:b/>
          <w:bCs/>
          <w:szCs w:val="22"/>
        </w:rPr>
        <w:t xml:space="preserve">UniCel® DxH 800 Coulter® Cellular Analysis System Training, </w:t>
      </w:r>
      <w:r w:rsidRPr="000851E5">
        <w:rPr>
          <w:rFonts w:eastAsia="OneFaceSerif" w:cs="Arial"/>
          <w:bCs/>
          <w:szCs w:val="22"/>
        </w:rPr>
        <w:t>Module PN A69207AB.2 (February 2012) Professional Development</w:t>
      </w:r>
    </w:p>
    <w:p w:rsidR="00BD14A9" w:rsidRPr="000851E5" w:rsidRDefault="000851E5" w:rsidP="000851E5">
      <w:pPr>
        <w:pStyle w:val="BodyText"/>
        <w:ind w:left="0"/>
        <w:rPr>
          <w:rFonts w:cs="Arial"/>
          <w:szCs w:val="22"/>
        </w:rPr>
      </w:pPr>
      <w:r w:rsidRPr="000851E5">
        <w:rPr>
          <w:rFonts w:cs="Arial"/>
          <w:b/>
          <w:szCs w:val="22"/>
        </w:rPr>
        <w:t>DxH 600_800 Repeatability &amp; Carryover Troubleshooting Tech Tip Ver 1.0</w:t>
      </w:r>
      <w:r w:rsidRPr="000851E5">
        <w:rPr>
          <w:rFonts w:cs="Arial"/>
          <w:szCs w:val="22"/>
        </w:rPr>
        <w:t xml:space="preserve"> (November, 2016)</w:t>
      </w:r>
    </w:p>
    <w:sectPr w:rsidR="00BD14A9" w:rsidRPr="000851E5" w:rsidSect="004C545B">
      <w:headerReference w:type="default" r:id="rId8"/>
      <w:footerReference w:type="default" r:id="rId9"/>
      <w:pgSz w:w="12240" w:h="15840"/>
      <w:pgMar w:top="72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4E" w:rsidRDefault="00C4514E" w:rsidP="00BC345C">
      <w:r>
        <w:separator/>
      </w:r>
    </w:p>
  </w:endnote>
  <w:endnote w:type="continuationSeparator" w:id="0">
    <w:p w:rsidR="00C4514E" w:rsidRDefault="00C4514E" w:rsidP="00BC345C">
      <w:r>
        <w:continuationSeparator/>
      </w:r>
    </w:p>
  </w:endnote>
  <w:endnote w:type="continuationNotice" w:id="1">
    <w:p w:rsidR="00C4514E" w:rsidRDefault="00C4514E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neFace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E2" w:rsidRDefault="00DE39DA" w:rsidP="002319AF">
    <w:pPr>
      <w:ind w:left="0"/>
    </w:pPr>
    <w:sdt>
      <w:sdtPr>
        <w:alias w:val="Type Title in Field on Right"/>
        <w:tag w:val="Type Title in Field on Right"/>
        <w:id w:val="-437055373"/>
        <w:lock w:val="sdtContentLocked"/>
        <w:text/>
      </w:sdtPr>
      <w:sdtEndPr/>
      <w:sdtContent>
        <w:r w:rsidR="0097274F" w:rsidRPr="00603358">
          <w:rPr>
            <w:sz w:val="20"/>
            <w:szCs w:val="20"/>
          </w:rPr>
          <w:t>Subject:</w:t>
        </w:r>
      </w:sdtContent>
    </w:sdt>
    <w:r w:rsidR="0097274F">
      <w:t xml:space="preserve"> </w:t>
    </w:r>
    <w:sdt>
      <w:sdtPr>
        <w:rPr>
          <w:rStyle w:val="Heading2Char"/>
        </w:rPr>
        <w:alias w:val="Title here"/>
        <w:tag w:val="Title here"/>
        <w:id w:val="-125005213"/>
        <w:lock w:val="sdtLocked"/>
        <w:placeholder>
          <w:docPart w:val="57A57DE6E0E048C6A381B154ACD1A207"/>
        </w:placeholder>
        <w:text w:multiLine="1"/>
      </w:sdtPr>
      <w:sdtEndPr>
        <w:rPr>
          <w:rStyle w:val="Heading2Char"/>
        </w:rPr>
      </w:sdtEndPr>
      <w:sdtContent>
        <w:r w:rsidR="000851E5" w:rsidRPr="000851E5">
          <w:rPr>
            <w:rStyle w:val="Heading2Char"/>
          </w:rPr>
          <w:t>Beckman DxH Background and Carryover Procedure</w:t>
        </w:r>
      </w:sdtContent>
    </w:sdt>
    <w:r w:rsidR="00603358" w:rsidRPr="000851E5">
      <w:rPr>
        <w:rStyle w:val="Heading2Char"/>
      </w:rPr>
      <w:t xml:space="preserve"> </w:t>
    </w:r>
    <w:r w:rsidR="004C45E5" w:rsidRPr="000851E5">
      <w:rPr>
        <w:rStyle w:val="Heading2Char"/>
      </w:rPr>
      <w:tab/>
    </w:r>
    <w:r w:rsidR="00603358" w:rsidRPr="00603358">
      <w:rPr>
        <w:sz w:val="20"/>
      </w:rPr>
      <w:t xml:space="preserve">Page </w:t>
    </w:r>
    <w:r w:rsidR="00603358" w:rsidRPr="00603358">
      <w:rPr>
        <w:sz w:val="20"/>
      </w:rPr>
      <w:fldChar w:fldCharType="begin"/>
    </w:r>
    <w:r w:rsidR="00603358" w:rsidRPr="00603358">
      <w:rPr>
        <w:sz w:val="20"/>
      </w:rPr>
      <w:instrText xml:space="preserve"> PAGE  \* Arabic  \* MERGEFORMAT </w:instrText>
    </w:r>
    <w:r w:rsidR="00603358" w:rsidRPr="00603358">
      <w:rPr>
        <w:sz w:val="20"/>
      </w:rPr>
      <w:fldChar w:fldCharType="separate"/>
    </w:r>
    <w:r>
      <w:rPr>
        <w:noProof/>
        <w:sz w:val="20"/>
      </w:rPr>
      <w:t>1</w:t>
    </w:r>
    <w:r w:rsidR="00603358" w:rsidRPr="00603358">
      <w:rPr>
        <w:sz w:val="20"/>
      </w:rPr>
      <w:fldChar w:fldCharType="end"/>
    </w:r>
    <w:r w:rsidR="00603358" w:rsidRPr="00603358">
      <w:rPr>
        <w:sz w:val="20"/>
      </w:rPr>
      <w:t xml:space="preserve"> of </w:t>
    </w:r>
    <w:r w:rsidR="00603358" w:rsidRPr="00603358">
      <w:rPr>
        <w:noProof/>
        <w:sz w:val="20"/>
      </w:rPr>
      <w:fldChar w:fldCharType="begin"/>
    </w:r>
    <w:r w:rsidR="00603358" w:rsidRPr="00603358">
      <w:rPr>
        <w:noProof/>
        <w:sz w:val="20"/>
      </w:rPr>
      <w:instrText xml:space="preserve"> NUMPAGES  \* Arabic  \* MERGEFORMAT </w:instrText>
    </w:r>
    <w:r w:rsidR="00603358" w:rsidRPr="00603358">
      <w:rPr>
        <w:noProof/>
        <w:sz w:val="20"/>
      </w:rPr>
      <w:fldChar w:fldCharType="separate"/>
    </w:r>
    <w:r>
      <w:rPr>
        <w:noProof/>
        <w:sz w:val="20"/>
      </w:rPr>
      <w:t>3</w:t>
    </w:r>
    <w:r w:rsidR="00603358" w:rsidRPr="00603358">
      <w:rPr>
        <w:noProof/>
        <w:sz w:val="20"/>
      </w:rPr>
      <w:fldChar w:fldCharType="end"/>
    </w:r>
    <w:r w:rsidR="00781F33" w:rsidRPr="00603358">
      <w:rPr>
        <w:sz w:val="20"/>
      </w:rPr>
      <w:ptab w:relativeTo="margin" w:alignment="right" w:leader="none"/>
    </w:r>
  </w:p>
  <w:p w:rsidR="00781F33" w:rsidRDefault="00DE39DA" w:rsidP="002319AF">
    <w:pPr>
      <w:tabs>
        <w:tab w:val="clear" w:pos="7320"/>
        <w:tab w:val="left" w:pos="7380"/>
      </w:tabs>
      <w:ind w:left="0"/>
    </w:pPr>
    <w:sdt>
      <w:sdtPr>
        <w:rPr>
          <w:rStyle w:val="ZF2"/>
        </w:rPr>
        <w:alias w:val="Type in field on right"/>
        <w:tag w:val="Type in field on right"/>
        <w:id w:val="-1771005620"/>
        <w:lock w:val="sdtContentLocked"/>
        <w:placeholder>
          <w:docPart w:val="D6204738EE944309AB3F6DC41CC02F68"/>
        </w:placeholder>
        <w:showingPlcHdr/>
        <w:text/>
      </w:sdtPr>
      <w:sdtEndPr>
        <w:rPr>
          <w:rStyle w:val="DefaultParagraphFont"/>
          <w:sz w:val="22"/>
        </w:rPr>
      </w:sdtEndPr>
      <w:sdtContent>
        <w:r w:rsidR="001116DA" w:rsidRPr="000F28D4">
          <w:rPr>
            <w:sz w:val="18"/>
          </w:rPr>
          <w:t>Date Reviewed/Revised/Effective:</w:t>
        </w:r>
      </w:sdtContent>
    </w:sdt>
    <w:r w:rsidR="001116DA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-1596085155"/>
        <w:lock w:val="sdtLocked"/>
        <w:placeholder>
          <w:docPart w:val="399CD5150905426F9E4593BEAC44E4C7"/>
        </w:placeholder>
        <w:text w:multiLine="1"/>
      </w:sdtPr>
      <w:sdtEndPr>
        <w:rPr>
          <w:rStyle w:val="DefaultParagraphFont"/>
          <w:sz w:val="22"/>
        </w:rPr>
      </w:sdtEndPr>
      <w:sdtContent>
        <w:r w:rsidR="000851E5">
          <w:rPr>
            <w:rStyle w:val="ZF2"/>
          </w:rPr>
          <w:t>6/12, 8/13, 11/19, 5/23</w:t>
        </w:r>
      </w:sdtContent>
    </w:sdt>
    <w:r w:rsidR="006A57F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4E" w:rsidRDefault="00C4514E" w:rsidP="00BC345C">
      <w:r>
        <w:separator/>
      </w:r>
    </w:p>
  </w:footnote>
  <w:footnote w:type="continuationSeparator" w:id="0">
    <w:p w:rsidR="00C4514E" w:rsidRDefault="00C4514E" w:rsidP="00BC345C">
      <w:r>
        <w:continuationSeparator/>
      </w:r>
    </w:p>
  </w:footnote>
  <w:footnote w:type="continuationNotice" w:id="1">
    <w:p w:rsidR="00C4514E" w:rsidRDefault="00C4514E" w:rsidP="00BC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84" w:rsidRDefault="006E1E84" w:rsidP="006E1E8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5755"/>
    <w:multiLevelType w:val="hybridMultilevel"/>
    <w:tmpl w:val="5A109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39D0"/>
    <w:multiLevelType w:val="hybridMultilevel"/>
    <w:tmpl w:val="4768B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7410F"/>
    <w:multiLevelType w:val="multilevel"/>
    <w:tmpl w:val="2C788440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abstractNum w:abstractNumId="3" w15:restartNumberingAfterBreak="0">
    <w:nsid w:val="44AF28E9"/>
    <w:multiLevelType w:val="hybridMultilevel"/>
    <w:tmpl w:val="CF20A746"/>
    <w:lvl w:ilvl="0" w:tplc="CCD828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30E3A"/>
    <w:multiLevelType w:val="hybridMultilevel"/>
    <w:tmpl w:val="2ED027DA"/>
    <w:lvl w:ilvl="0" w:tplc="33C44962">
      <w:start w:val="1"/>
      <w:numFmt w:val="decimal"/>
      <w:lvlText w:val="%1."/>
      <w:lvlJc w:val="left"/>
      <w:pPr>
        <w:ind w:left="-5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 w15:restartNumberingAfterBreak="0">
    <w:nsid w:val="6B515385"/>
    <w:multiLevelType w:val="hybridMultilevel"/>
    <w:tmpl w:val="F8A80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20E40"/>
    <w:multiLevelType w:val="hybridMultilevel"/>
    <w:tmpl w:val="FC54B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30746"/>
    <w:multiLevelType w:val="hybridMultilevel"/>
    <w:tmpl w:val="8D884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D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1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79"/>
    <w:rsid w:val="00001E32"/>
    <w:rsid w:val="00004BD1"/>
    <w:rsid w:val="000217D9"/>
    <w:rsid w:val="0002329F"/>
    <w:rsid w:val="000234E1"/>
    <w:rsid w:val="00024F5F"/>
    <w:rsid w:val="0002767C"/>
    <w:rsid w:val="00027AF5"/>
    <w:rsid w:val="00030E50"/>
    <w:rsid w:val="00033322"/>
    <w:rsid w:val="00043DCD"/>
    <w:rsid w:val="00044F22"/>
    <w:rsid w:val="000470F9"/>
    <w:rsid w:val="0005026E"/>
    <w:rsid w:val="00051C5D"/>
    <w:rsid w:val="00052673"/>
    <w:rsid w:val="00060BD2"/>
    <w:rsid w:val="000613E7"/>
    <w:rsid w:val="00062A7E"/>
    <w:rsid w:val="0006300D"/>
    <w:rsid w:val="00065F9F"/>
    <w:rsid w:val="000678A8"/>
    <w:rsid w:val="00070994"/>
    <w:rsid w:val="00071260"/>
    <w:rsid w:val="00071A90"/>
    <w:rsid w:val="00071D16"/>
    <w:rsid w:val="0007422A"/>
    <w:rsid w:val="00075AFD"/>
    <w:rsid w:val="00076A75"/>
    <w:rsid w:val="00077A7D"/>
    <w:rsid w:val="00081ED6"/>
    <w:rsid w:val="000851E5"/>
    <w:rsid w:val="000857E7"/>
    <w:rsid w:val="00086066"/>
    <w:rsid w:val="000873CE"/>
    <w:rsid w:val="000900A7"/>
    <w:rsid w:val="00092806"/>
    <w:rsid w:val="00093461"/>
    <w:rsid w:val="00094370"/>
    <w:rsid w:val="000A1C4E"/>
    <w:rsid w:val="000A2C3A"/>
    <w:rsid w:val="000A4FCF"/>
    <w:rsid w:val="000A65EE"/>
    <w:rsid w:val="000B0903"/>
    <w:rsid w:val="000B10C5"/>
    <w:rsid w:val="000B1A10"/>
    <w:rsid w:val="000B1A8E"/>
    <w:rsid w:val="000B1DCA"/>
    <w:rsid w:val="000B2630"/>
    <w:rsid w:val="000B3805"/>
    <w:rsid w:val="000B67ED"/>
    <w:rsid w:val="000B7992"/>
    <w:rsid w:val="000C17D7"/>
    <w:rsid w:val="000C4E8A"/>
    <w:rsid w:val="000C5D57"/>
    <w:rsid w:val="000C7585"/>
    <w:rsid w:val="000C76AC"/>
    <w:rsid w:val="000C7EFD"/>
    <w:rsid w:val="000D0094"/>
    <w:rsid w:val="000D2B0F"/>
    <w:rsid w:val="000D4471"/>
    <w:rsid w:val="000E0904"/>
    <w:rsid w:val="000E31C9"/>
    <w:rsid w:val="000E65AE"/>
    <w:rsid w:val="000E74C1"/>
    <w:rsid w:val="000F0169"/>
    <w:rsid w:val="000F2EDF"/>
    <w:rsid w:val="00101249"/>
    <w:rsid w:val="00101BC0"/>
    <w:rsid w:val="00104D92"/>
    <w:rsid w:val="001116DA"/>
    <w:rsid w:val="00115085"/>
    <w:rsid w:val="00115258"/>
    <w:rsid w:val="0011719F"/>
    <w:rsid w:val="001175E1"/>
    <w:rsid w:val="00120A32"/>
    <w:rsid w:val="00121FF4"/>
    <w:rsid w:val="0012247B"/>
    <w:rsid w:val="00126604"/>
    <w:rsid w:val="00126C09"/>
    <w:rsid w:val="0012756F"/>
    <w:rsid w:val="001332BF"/>
    <w:rsid w:val="00135698"/>
    <w:rsid w:val="0013595E"/>
    <w:rsid w:val="00145501"/>
    <w:rsid w:val="0015118F"/>
    <w:rsid w:val="001521E8"/>
    <w:rsid w:val="00152A68"/>
    <w:rsid w:val="00152DD9"/>
    <w:rsid w:val="0015530D"/>
    <w:rsid w:val="001557FD"/>
    <w:rsid w:val="001637A7"/>
    <w:rsid w:val="001639FA"/>
    <w:rsid w:val="001649EF"/>
    <w:rsid w:val="0016787E"/>
    <w:rsid w:val="00171135"/>
    <w:rsid w:val="001732D9"/>
    <w:rsid w:val="00180C4C"/>
    <w:rsid w:val="00182753"/>
    <w:rsid w:val="00183120"/>
    <w:rsid w:val="001838C1"/>
    <w:rsid w:val="001856C2"/>
    <w:rsid w:val="001859EC"/>
    <w:rsid w:val="00185D54"/>
    <w:rsid w:val="00187B64"/>
    <w:rsid w:val="00191965"/>
    <w:rsid w:val="00193532"/>
    <w:rsid w:val="001941B8"/>
    <w:rsid w:val="00196B2F"/>
    <w:rsid w:val="00196F03"/>
    <w:rsid w:val="00197B24"/>
    <w:rsid w:val="001A0286"/>
    <w:rsid w:val="001A2352"/>
    <w:rsid w:val="001A7CEC"/>
    <w:rsid w:val="001B3971"/>
    <w:rsid w:val="001C0868"/>
    <w:rsid w:val="001C0C98"/>
    <w:rsid w:val="001C2FB8"/>
    <w:rsid w:val="001C3A49"/>
    <w:rsid w:val="001C4DBC"/>
    <w:rsid w:val="001C5689"/>
    <w:rsid w:val="001C6B0D"/>
    <w:rsid w:val="001D20D7"/>
    <w:rsid w:val="001D342A"/>
    <w:rsid w:val="001D70F2"/>
    <w:rsid w:val="001E161C"/>
    <w:rsid w:val="001E2220"/>
    <w:rsid w:val="001F23A1"/>
    <w:rsid w:val="001F313E"/>
    <w:rsid w:val="001F3C76"/>
    <w:rsid w:val="00200312"/>
    <w:rsid w:val="002015A3"/>
    <w:rsid w:val="002036A5"/>
    <w:rsid w:val="002042DB"/>
    <w:rsid w:val="0020471D"/>
    <w:rsid w:val="00205AD6"/>
    <w:rsid w:val="002074DD"/>
    <w:rsid w:val="002108A7"/>
    <w:rsid w:val="00210C83"/>
    <w:rsid w:val="00210E01"/>
    <w:rsid w:val="00212322"/>
    <w:rsid w:val="0021361E"/>
    <w:rsid w:val="00220CD3"/>
    <w:rsid w:val="002218AC"/>
    <w:rsid w:val="0022337E"/>
    <w:rsid w:val="00223B17"/>
    <w:rsid w:val="0022412F"/>
    <w:rsid w:val="00224E23"/>
    <w:rsid w:val="00230A57"/>
    <w:rsid w:val="002319AF"/>
    <w:rsid w:val="00231A32"/>
    <w:rsid w:val="002325DC"/>
    <w:rsid w:val="00240480"/>
    <w:rsid w:val="002429B8"/>
    <w:rsid w:val="00243946"/>
    <w:rsid w:val="00244121"/>
    <w:rsid w:val="002454BE"/>
    <w:rsid w:val="002467EE"/>
    <w:rsid w:val="00251550"/>
    <w:rsid w:val="00254191"/>
    <w:rsid w:val="00265569"/>
    <w:rsid w:val="00270C51"/>
    <w:rsid w:val="00272050"/>
    <w:rsid w:val="002721A3"/>
    <w:rsid w:val="00280848"/>
    <w:rsid w:val="00280E6E"/>
    <w:rsid w:val="00290456"/>
    <w:rsid w:val="002904E6"/>
    <w:rsid w:val="00290B39"/>
    <w:rsid w:val="0029108B"/>
    <w:rsid w:val="002A1160"/>
    <w:rsid w:val="002A38F7"/>
    <w:rsid w:val="002A6FCC"/>
    <w:rsid w:val="002B24EC"/>
    <w:rsid w:val="002B4931"/>
    <w:rsid w:val="002B50EE"/>
    <w:rsid w:val="002B7A6D"/>
    <w:rsid w:val="002C17AC"/>
    <w:rsid w:val="002C3075"/>
    <w:rsid w:val="002D1605"/>
    <w:rsid w:val="002D2341"/>
    <w:rsid w:val="002D5692"/>
    <w:rsid w:val="002E0775"/>
    <w:rsid w:val="002E3B3E"/>
    <w:rsid w:val="002E507A"/>
    <w:rsid w:val="002E7A4E"/>
    <w:rsid w:val="002F0CB1"/>
    <w:rsid w:val="002F251A"/>
    <w:rsid w:val="002F28B6"/>
    <w:rsid w:val="002F2C60"/>
    <w:rsid w:val="00300401"/>
    <w:rsid w:val="003022D3"/>
    <w:rsid w:val="003027CB"/>
    <w:rsid w:val="00306DD8"/>
    <w:rsid w:val="00310775"/>
    <w:rsid w:val="003123F7"/>
    <w:rsid w:val="003146B8"/>
    <w:rsid w:val="00315464"/>
    <w:rsid w:val="00321A50"/>
    <w:rsid w:val="003249F6"/>
    <w:rsid w:val="00324DB3"/>
    <w:rsid w:val="0032585D"/>
    <w:rsid w:val="00326BF3"/>
    <w:rsid w:val="003274D9"/>
    <w:rsid w:val="0033141B"/>
    <w:rsid w:val="00331F07"/>
    <w:rsid w:val="00332693"/>
    <w:rsid w:val="0033410F"/>
    <w:rsid w:val="003366F5"/>
    <w:rsid w:val="003404D8"/>
    <w:rsid w:val="00345CDE"/>
    <w:rsid w:val="00350E08"/>
    <w:rsid w:val="0035282C"/>
    <w:rsid w:val="003619CA"/>
    <w:rsid w:val="003741D4"/>
    <w:rsid w:val="0037538B"/>
    <w:rsid w:val="003754B2"/>
    <w:rsid w:val="003836F7"/>
    <w:rsid w:val="0038505E"/>
    <w:rsid w:val="00390380"/>
    <w:rsid w:val="003928FF"/>
    <w:rsid w:val="003932D4"/>
    <w:rsid w:val="003A1105"/>
    <w:rsid w:val="003A7FD1"/>
    <w:rsid w:val="003B20FB"/>
    <w:rsid w:val="003B37DF"/>
    <w:rsid w:val="003C0859"/>
    <w:rsid w:val="003C3EBC"/>
    <w:rsid w:val="003C4C2F"/>
    <w:rsid w:val="003C679D"/>
    <w:rsid w:val="003D0E0E"/>
    <w:rsid w:val="003D2689"/>
    <w:rsid w:val="003D3D26"/>
    <w:rsid w:val="003E0D0D"/>
    <w:rsid w:val="003E10B4"/>
    <w:rsid w:val="003E1A0E"/>
    <w:rsid w:val="003E69EF"/>
    <w:rsid w:val="003F11F2"/>
    <w:rsid w:val="003F49E6"/>
    <w:rsid w:val="003F5C20"/>
    <w:rsid w:val="00401D56"/>
    <w:rsid w:val="004036AA"/>
    <w:rsid w:val="00404EF9"/>
    <w:rsid w:val="00410935"/>
    <w:rsid w:val="00415776"/>
    <w:rsid w:val="00416AAB"/>
    <w:rsid w:val="00417676"/>
    <w:rsid w:val="0042016E"/>
    <w:rsid w:val="00421584"/>
    <w:rsid w:val="00425608"/>
    <w:rsid w:val="00433689"/>
    <w:rsid w:val="004342AA"/>
    <w:rsid w:val="0043714B"/>
    <w:rsid w:val="004400F2"/>
    <w:rsid w:val="00440AAE"/>
    <w:rsid w:val="00443989"/>
    <w:rsid w:val="0045474A"/>
    <w:rsid w:val="00454874"/>
    <w:rsid w:val="004637A1"/>
    <w:rsid w:val="00467296"/>
    <w:rsid w:val="004678A5"/>
    <w:rsid w:val="00470D3E"/>
    <w:rsid w:val="00471D80"/>
    <w:rsid w:val="00472704"/>
    <w:rsid w:val="00474978"/>
    <w:rsid w:val="004778C7"/>
    <w:rsid w:val="00482189"/>
    <w:rsid w:val="004843E9"/>
    <w:rsid w:val="00485537"/>
    <w:rsid w:val="00485F3D"/>
    <w:rsid w:val="00487D63"/>
    <w:rsid w:val="00492DD8"/>
    <w:rsid w:val="00494298"/>
    <w:rsid w:val="004A6F6E"/>
    <w:rsid w:val="004A7085"/>
    <w:rsid w:val="004A7533"/>
    <w:rsid w:val="004A7CE3"/>
    <w:rsid w:val="004B0B7D"/>
    <w:rsid w:val="004B157B"/>
    <w:rsid w:val="004B1C04"/>
    <w:rsid w:val="004B3A82"/>
    <w:rsid w:val="004B6AC9"/>
    <w:rsid w:val="004C04B8"/>
    <w:rsid w:val="004C45E5"/>
    <w:rsid w:val="004C545B"/>
    <w:rsid w:val="004C5BA2"/>
    <w:rsid w:val="004D0137"/>
    <w:rsid w:val="004D2113"/>
    <w:rsid w:val="004D415F"/>
    <w:rsid w:val="004D6150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507E1C"/>
    <w:rsid w:val="005103CE"/>
    <w:rsid w:val="00511A28"/>
    <w:rsid w:val="00515423"/>
    <w:rsid w:val="0051689F"/>
    <w:rsid w:val="005234A3"/>
    <w:rsid w:val="0052378A"/>
    <w:rsid w:val="00530B1B"/>
    <w:rsid w:val="00530D48"/>
    <w:rsid w:val="00536519"/>
    <w:rsid w:val="00536795"/>
    <w:rsid w:val="00537CC2"/>
    <w:rsid w:val="00541159"/>
    <w:rsid w:val="0054269B"/>
    <w:rsid w:val="00542E7D"/>
    <w:rsid w:val="00544385"/>
    <w:rsid w:val="0054643C"/>
    <w:rsid w:val="00547D72"/>
    <w:rsid w:val="00550DDE"/>
    <w:rsid w:val="00551D1D"/>
    <w:rsid w:val="0055225A"/>
    <w:rsid w:val="005522C4"/>
    <w:rsid w:val="00552B05"/>
    <w:rsid w:val="005548E5"/>
    <w:rsid w:val="00557091"/>
    <w:rsid w:val="0056000B"/>
    <w:rsid w:val="005607EE"/>
    <w:rsid w:val="00561466"/>
    <w:rsid w:val="00561C0F"/>
    <w:rsid w:val="00561E4A"/>
    <w:rsid w:val="00571A6C"/>
    <w:rsid w:val="00572E04"/>
    <w:rsid w:val="005808C4"/>
    <w:rsid w:val="00581E59"/>
    <w:rsid w:val="005847C3"/>
    <w:rsid w:val="0058751F"/>
    <w:rsid w:val="00587F92"/>
    <w:rsid w:val="00590CA6"/>
    <w:rsid w:val="00595249"/>
    <w:rsid w:val="00597202"/>
    <w:rsid w:val="005A0DB8"/>
    <w:rsid w:val="005A110B"/>
    <w:rsid w:val="005A4B9D"/>
    <w:rsid w:val="005A5F70"/>
    <w:rsid w:val="005B5D1D"/>
    <w:rsid w:val="005B7A7B"/>
    <w:rsid w:val="005B7FC8"/>
    <w:rsid w:val="005C336B"/>
    <w:rsid w:val="005C5811"/>
    <w:rsid w:val="005C7465"/>
    <w:rsid w:val="005C7944"/>
    <w:rsid w:val="005D104B"/>
    <w:rsid w:val="005D27A5"/>
    <w:rsid w:val="005E09D3"/>
    <w:rsid w:val="005E37C5"/>
    <w:rsid w:val="005E6FB6"/>
    <w:rsid w:val="005F4426"/>
    <w:rsid w:val="005F45CB"/>
    <w:rsid w:val="005F7413"/>
    <w:rsid w:val="00601B77"/>
    <w:rsid w:val="006026DA"/>
    <w:rsid w:val="00603358"/>
    <w:rsid w:val="00610243"/>
    <w:rsid w:val="006124C5"/>
    <w:rsid w:val="00612B25"/>
    <w:rsid w:val="006200A0"/>
    <w:rsid w:val="00626F11"/>
    <w:rsid w:val="00630757"/>
    <w:rsid w:val="00630AC0"/>
    <w:rsid w:val="00631179"/>
    <w:rsid w:val="006329D0"/>
    <w:rsid w:val="0063776A"/>
    <w:rsid w:val="00642C65"/>
    <w:rsid w:val="006474BE"/>
    <w:rsid w:val="00654306"/>
    <w:rsid w:val="0066245E"/>
    <w:rsid w:val="00664667"/>
    <w:rsid w:val="00666956"/>
    <w:rsid w:val="00667460"/>
    <w:rsid w:val="00667578"/>
    <w:rsid w:val="00672FD5"/>
    <w:rsid w:val="006744BA"/>
    <w:rsid w:val="006758AC"/>
    <w:rsid w:val="006763EE"/>
    <w:rsid w:val="00677B90"/>
    <w:rsid w:val="00683CE2"/>
    <w:rsid w:val="00692926"/>
    <w:rsid w:val="00693807"/>
    <w:rsid w:val="006A1283"/>
    <w:rsid w:val="006A16AF"/>
    <w:rsid w:val="006A19E1"/>
    <w:rsid w:val="006A3FC5"/>
    <w:rsid w:val="006A57F8"/>
    <w:rsid w:val="006A62B5"/>
    <w:rsid w:val="006A766E"/>
    <w:rsid w:val="006B0274"/>
    <w:rsid w:val="006B0B05"/>
    <w:rsid w:val="006B1EE3"/>
    <w:rsid w:val="006B397C"/>
    <w:rsid w:val="006B6924"/>
    <w:rsid w:val="006B77F2"/>
    <w:rsid w:val="006B7986"/>
    <w:rsid w:val="006C0853"/>
    <w:rsid w:val="006C1397"/>
    <w:rsid w:val="006C5D4D"/>
    <w:rsid w:val="006C67F9"/>
    <w:rsid w:val="006D5207"/>
    <w:rsid w:val="006E1D76"/>
    <w:rsid w:val="006E1E84"/>
    <w:rsid w:val="006E2CC7"/>
    <w:rsid w:val="006E5480"/>
    <w:rsid w:val="006F1B30"/>
    <w:rsid w:val="006F2713"/>
    <w:rsid w:val="0070505C"/>
    <w:rsid w:val="0070555E"/>
    <w:rsid w:val="00705970"/>
    <w:rsid w:val="007129F0"/>
    <w:rsid w:val="007142AB"/>
    <w:rsid w:val="00721898"/>
    <w:rsid w:val="00721D2D"/>
    <w:rsid w:val="0072230A"/>
    <w:rsid w:val="007345ED"/>
    <w:rsid w:val="00735AA3"/>
    <w:rsid w:val="0073646C"/>
    <w:rsid w:val="0073688D"/>
    <w:rsid w:val="00742C42"/>
    <w:rsid w:val="00743ABC"/>
    <w:rsid w:val="00745557"/>
    <w:rsid w:val="00745E3C"/>
    <w:rsid w:val="00750A28"/>
    <w:rsid w:val="00750B07"/>
    <w:rsid w:val="00751302"/>
    <w:rsid w:val="00753458"/>
    <w:rsid w:val="00754663"/>
    <w:rsid w:val="00754865"/>
    <w:rsid w:val="00756E19"/>
    <w:rsid w:val="00761ED6"/>
    <w:rsid w:val="00763A46"/>
    <w:rsid w:val="00770160"/>
    <w:rsid w:val="00771BF4"/>
    <w:rsid w:val="00773F20"/>
    <w:rsid w:val="00775235"/>
    <w:rsid w:val="00775440"/>
    <w:rsid w:val="0077744A"/>
    <w:rsid w:val="00781F33"/>
    <w:rsid w:val="00784CB1"/>
    <w:rsid w:val="00785D86"/>
    <w:rsid w:val="00792390"/>
    <w:rsid w:val="0079246C"/>
    <w:rsid w:val="007975A1"/>
    <w:rsid w:val="007A2057"/>
    <w:rsid w:val="007A571A"/>
    <w:rsid w:val="007A5A17"/>
    <w:rsid w:val="007A7201"/>
    <w:rsid w:val="007B3317"/>
    <w:rsid w:val="007B35B4"/>
    <w:rsid w:val="007B4876"/>
    <w:rsid w:val="007B6E89"/>
    <w:rsid w:val="007C1686"/>
    <w:rsid w:val="007C4792"/>
    <w:rsid w:val="007C77B9"/>
    <w:rsid w:val="007D093E"/>
    <w:rsid w:val="007D1CAF"/>
    <w:rsid w:val="007D5B21"/>
    <w:rsid w:val="007E1D27"/>
    <w:rsid w:val="007E46D4"/>
    <w:rsid w:val="007E7C00"/>
    <w:rsid w:val="007F0A78"/>
    <w:rsid w:val="007F2E9C"/>
    <w:rsid w:val="007F6E4F"/>
    <w:rsid w:val="00801CAF"/>
    <w:rsid w:val="00803395"/>
    <w:rsid w:val="00807845"/>
    <w:rsid w:val="00811915"/>
    <w:rsid w:val="00813A7B"/>
    <w:rsid w:val="00816295"/>
    <w:rsid w:val="00824217"/>
    <w:rsid w:val="008266BC"/>
    <w:rsid w:val="00830EA1"/>
    <w:rsid w:val="008346F6"/>
    <w:rsid w:val="008418A1"/>
    <w:rsid w:val="00841980"/>
    <w:rsid w:val="008419CC"/>
    <w:rsid w:val="00847276"/>
    <w:rsid w:val="00852239"/>
    <w:rsid w:val="00852C6C"/>
    <w:rsid w:val="008571F5"/>
    <w:rsid w:val="00861D4E"/>
    <w:rsid w:val="008661FF"/>
    <w:rsid w:val="00871139"/>
    <w:rsid w:val="0087347C"/>
    <w:rsid w:val="008750E1"/>
    <w:rsid w:val="00875CBB"/>
    <w:rsid w:val="00882820"/>
    <w:rsid w:val="0088637A"/>
    <w:rsid w:val="008865DA"/>
    <w:rsid w:val="00887210"/>
    <w:rsid w:val="00896BE3"/>
    <w:rsid w:val="00896E1A"/>
    <w:rsid w:val="008A2568"/>
    <w:rsid w:val="008A3CD4"/>
    <w:rsid w:val="008B47D6"/>
    <w:rsid w:val="008B5DF2"/>
    <w:rsid w:val="008C2775"/>
    <w:rsid w:val="008C7454"/>
    <w:rsid w:val="008D2B1D"/>
    <w:rsid w:val="008D2CEE"/>
    <w:rsid w:val="008D30B9"/>
    <w:rsid w:val="008D4356"/>
    <w:rsid w:val="008D4DF5"/>
    <w:rsid w:val="008D5776"/>
    <w:rsid w:val="008D5CF8"/>
    <w:rsid w:val="008F182F"/>
    <w:rsid w:val="008F2BCA"/>
    <w:rsid w:val="008F381E"/>
    <w:rsid w:val="008F5CEC"/>
    <w:rsid w:val="008F7DC2"/>
    <w:rsid w:val="00900B17"/>
    <w:rsid w:val="00910715"/>
    <w:rsid w:val="0091082C"/>
    <w:rsid w:val="009172F9"/>
    <w:rsid w:val="0091799A"/>
    <w:rsid w:val="00917DBF"/>
    <w:rsid w:val="009237B9"/>
    <w:rsid w:val="00926945"/>
    <w:rsid w:val="00930E21"/>
    <w:rsid w:val="00934625"/>
    <w:rsid w:val="0093465B"/>
    <w:rsid w:val="009359FE"/>
    <w:rsid w:val="00937110"/>
    <w:rsid w:val="00942E7F"/>
    <w:rsid w:val="00944D52"/>
    <w:rsid w:val="00953A92"/>
    <w:rsid w:val="009552A4"/>
    <w:rsid w:val="00955F8B"/>
    <w:rsid w:val="0095737C"/>
    <w:rsid w:val="0096077B"/>
    <w:rsid w:val="009611D3"/>
    <w:rsid w:val="00962939"/>
    <w:rsid w:val="00966938"/>
    <w:rsid w:val="00972331"/>
    <w:rsid w:val="0097274F"/>
    <w:rsid w:val="00973244"/>
    <w:rsid w:val="009820F3"/>
    <w:rsid w:val="00985A8B"/>
    <w:rsid w:val="0099143F"/>
    <w:rsid w:val="00995A1F"/>
    <w:rsid w:val="00996235"/>
    <w:rsid w:val="009A176F"/>
    <w:rsid w:val="009A2623"/>
    <w:rsid w:val="009A28B6"/>
    <w:rsid w:val="009A2A82"/>
    <w:rsid w:val="009A2E64"/>
    <w:rsid w:val="009A31C1"/>
    <w:rsid w:val="009B0930"/>
    <w:rsid w:val="009B0AB0"/>
    <w:rsid w:val="009B1F2D"/>
    <w:rsid w:val="009B3919"/>
    <w:rsid w:val="009B59BB"/>
    <w:rsid w:val="009B6D5E"/>
    <w:rsid w:val="009B7BF7"/>
    <w:rsid w:val="009C251E"/>
    <w:rsid w:val="009C2EDB"/>
    <w:rsid w:val="009C44D8"/>
    <w:rsid w:val="009D479E"/>
    <w:rsid w:val="009E1F0E"/>
    <w:rsid w:val="009E2BD6"/>
    <w:rsid w:val="009E352D"/>
    <w:rsid w:val="009F074D"/>
    <w:rsid w:val="009F1A62"/>
    <w:rsid w:val="009F27A1"/>
    <w:rsid w:val="009F7DBD"/>
    <w:rsid w:val="00A01DD0"/>
    <w:rsid w:val="00A0214C"/>
    <w:rsid w:val="00A04EC6"/>
    <w:rsid w:val="00A05727"/>
    <w:rsid w:val="00A1147C"/>
    <w:rsid w:val="00A141CD"/>
    <w:rsid w:val="00A14627"/>
    <w:rsid w:val="00A15222"/>
    <w:rsid w:val="00A15897"/>
    <w:rsid w:val="00A175B7"/>
    <w:rsid w:val="00A20397"/>
    <w:rsid w:val="00A20486"/>
    <w:rsid w:val="00A2132F"/>
    <w:rsid w:val="00A2374A"/>
    <w:rsid w:val="00A247B0"/>
    <w:rsid w:val="00A27E02"/>
    <w:rsid w:val="00A307F1"/>
    <w:rsid w:val="00A32E4D"/>
    <w:rsid w:val="00A33BC6"/>
    <w:rsid w:val="00A33D24"/>
    <w:rsid w:val="00A37151"/>
    <w:rsid w:val="00A418A2"/>
    <w:rsid w:val="00A42C41"/>
    <w:rsid w:val="00A445CE"/>
    <w:rsid w:val="00A46EB1"/>
    <w:rsid w:val="00A47345"/>
    <w:rsid w:val="00A537D4"/>
    <w:rsid w:val="00A53FAE"/>
    <w:rsid w:val="00A63E5D"/>
    <w:rsid w:val="00A643BB"/>
    <w:rsid w:val="00A730E0"/>
    <w:rsid w:val="00A733D7"/>
    <w:rsid w:val="00A85C77"/>
    <w:rsid w:val="00A924E3"/>
    <w:rsid w:val="00A94BEB"/>
    <w:rsid w:val="00A9666F"/>
    <w:rsid w:val="00A97BEC"/>
    <w:rsid w:val="00AA5BE8"/>
    <w:rsid w:val="00AB0E4E"/>
    <w:rsid w:val="00AB3E86"/>
    <w:rsid w:val="00AB51AB"/>
    <w:rsid w:val="00AC1A7F"/>
    <w:rsid w:val="00AD2484"/>
    <w:rsid w:val="00AD35B6"/>
    <w:rsid w:val="00AD35DF"/>
    <w:rsid w:val="00AD35F4"/>
    <w:rsid w:val="00AD7DD2"/>
    <w:rsid w:val="00AE0C7E"/>
    <w:rsid w:val="00AE1618"/>
    <w:rsid w:val="00AE43F6"/>
    <w:rsid w:val="00AE47EF"/>
    <w:rsid w:val="00AE6564"/>
    <w:rsid w:val="00AE6FE9"/>
    <w:rsid w:val="00AF2B05"/>
    <w:rsid w:val="00AF32C4"/>
    <w:rsid w:val="00AF3B99"/>
    <w:rsid w:val="00AF7C3A"/>
    <w:rsid w:val="00B01BF3"/>
    <w:rsid w:val="00B03F81"/>
    <w:rsid w:val="00B05AA8"/>
    <w:rsid w:val="00B07934"/>
    <w:rsid w:val="00B143F7"/>
    <w:rsid w:val="00B17355"/>
    <w:rsid w:val="00B17D9F"/>
    <w:rsid w:val="00B21238"/>
    <w:rsid w:val="00B216C3"/>
    <w:rsid w:val="00B227A0"/>
    <w:rsid w:val="00B22A5C"/>
    <w:rsid w:val="00B237EE"/>
    <w:rsid w:val="00B24462"/>
    <w:rsid w:val="00B31711"/>
    <w:rsid w:val="00B318DE"/>
    <w:rsid w:val="00B31C2B"/>
    <w:rsid w:val="00B37940"/>
    <w:rsid w:val="00B40250"/>
    <w:rsid w:val="00B40650"/>
    <w:rsid w:val="00B52D07"/>
    <w:rsid w:val="00B553DA"/>
    <w:rsid w:val="00B56C79"/>
    <w:rsid w:val="00B57BDC"/>
    <w:rsid w:val="00B70530"/>
    <w:rsid w:val="00B752F9"/>
    <w:rsid w:val="00B75812"/>
    <w:rsid w:val="00B769EF"/>
    <w:rsid w:val="00B77137"/>
    <w:rsid w:val="00B82CA3"/>
    <w:rsid w:val="00B8476A"/>
    <w:rsid w:val="00B910C0"/>
    <w:rsid w:val="00B928C5"/>
    <w:rsid w:val="00B93272"/>
    <w:rsid w:val="00B942CE"/>
    <w:rsid w:val="00B95548"/>
    <w:rsid w:val="00B95CA5"/>
    <w:rsid w:val="00B975A2"/>
    <w:rsid w:val="00BA2CAF"/>
    <w:rsid w:val="00BA4E31"/>
    <w:rsid w:val="00BA7034"/>
    <w:rsid w:val="00BA71C2"/>
    <w:rsid w:val="00BA7B6E"/>
    <w:rsid w:val="00BB326A"/>
    <w:rsid w:val="00BB4C82"/>
    <w:rsid w:val="00BB645D"/>
    <w:rsid w:val="00BC1F96"/>
    <w:rsid w:val="00BC229F"/>
    <w:rsid w:val="00BC345C"/>
    <w:rsid w:val="00BC53B4"/>
    <w:rsid w:val="00BC612B"/>
    <w:rsid w:val="00BD0DC1"/>
    <w:rsid w:val="00BD14A9"/>
    <w:rsid w:val="00BD15CE"/>
    <w:rsid w:val="00BD26B7"/>
    <w:rsid w:val="00BD443E"/>
    <w:rsid w:val="00BD4E1F"/>
    <w:rsid w:val="00BD503C"/>
    <w:rsid w:val="00BE3264"/>
    <w:rsid w:val="00BE33DD"/>
    <w:rsid w:val="00BE6008"/>
    <w:rsid w:val="00BE610F"/>
    <w:rsid w:val="00BE7AF5"/>
    <w:rsid w:val="00BF297A"/>
    <w:rsid w:val="00BF388E"/>
    <w:rsid w:val="00BF396A"/>
    <w:rsid w:val="00BF5981"/>
    <w:rsid w:val="00BF658B"/>
    <w:rsid w:val="00C009FB"/>
    <w:rsid w:val="00C0636C"/>
    <w:rsid w:val="00C07757"/>
    <w:rsid w:val="00C11899"/>
    <w:rsid w:val="00C12975"/>
    <w:rsid w:val="00C13C73"/>
    <w:rsid w:val="00C204C3"/>
    <w:rsid w:val="00C229AD"/>
    <w:rsid w:val="00C2420A"/>
    <w:rsid w:val="00C24F3A"/>
    <w:rsid w:val="00C25EF4"/>
    <w:rsid w:val="00C30277"/>
    <w:rsid w:val="00C308DD"/>
    <w:rsid w:val="00C31193"/>
    <w:rsid w:val="00C341FD"/>
    <w:rsid w:val="00C34782"/>
    <w:rsid w:val="00C34F82"/>
    <w:rsid w:val="00C36935"/>
    <w:rsid w:val="00C4514E"/>
    <w:rsid w:val="00C51FB7"/>
    <w:rsid w:val="00C53BC3"/>
    <w:rsid w:val="00C54A78"/>
    <w:rsid w:val="00C55429"/>
    <w:rsid w:val="00C64FFE"/>
    <w:rsid w:val="00C70248"/>
    <w:rsid w:val="00C71D93"/>
    <w:rsid w:val="00C732B7"/>
    <w:rsid w:val="00C83476"/>
    <w:rsid w:val="00C84C30"/>
    <w:rsid w:val="00C870C7"/>
    <w:rsid w:val="00C87308"/>
    <w:rsid w:val="00C90462"/>
    <w:rsid w:val="00C9239B"/>
    <w:rsid w:val="00C93C1F"/>
    <w:rsid w:val="00C9462C"/>
    <w:rsid w:val="00C95DA5"/>
    <w:rsid w:val="00CA4C3F"/>
    <w:rsid w:val="00CA7660"/>
    <w:rsid w:val="00CB0685"/>
    <w:rsid w:val="00CB4787"/>
    <w:rsid w:val="00CB48B3"/>
    <w:rsid w:val="00CB69E2"/>
    <w:rsid w:val="00CB7402"/>
    <w:rsid w:val="00CD0A3C"/>
    <w:rsid w:val="00CD5062"/>
    <w:rsid w:val="00CD534E"/>
    <w:rsid w:val="00CD7AB7"/>
    <w:rsid w:val="00CE4BE2"/>
    <w:rsid w:val="00CE5059"/>
    <w:rsid w:val="00CF0AB7"/>
    <w:rsid w:val="00CF359D"/>
    <w:rsid w:val="00CF5236"/>
    <w:rsid w:val="00D027CE"/>
    <w:rsid w:val="00D0637F"/>
    <w:rsid w:val="00D14030"/>
    <w:rsid w:val="00D149DF"/>
    <w:rsid w:val="00D157E9"/>
    <w:rsid w:val="00D17770"/>
    <w:rsid w:val="00D1786A"/>
    <w:rsid w:val="00D17F00"/>
    <w:rsid w:val="00D27B31"/>
    <w:rsid w:val="00D31279"/>
    <w:rsid w:val="00D363BE"/>
    <w:rsid w:val="00D40827"/>
    <w:rsid w:val="00D40BFF"/>
    <w:rsid w:val="00D41868"/>
    <w:rsid w:val="00D43729"/>
    <w:rsid w:val="00D46BE6"/>
    <w:rsid w:val="00D506D2"/>
    <w:rsid w:val="00D51433"/>
    <w:rsid w:val="00D53F76"/>
    <w:rsid w:val="00D548C0"/>
    <w:rsid w:val="00D560A7"/>
    <w:rsid w:val="00D605DB"/>
    <w:rsid w:val="00D60CFE"/>
    <w:rsid w:val="00D62949"/>
    <w:rsid w:val="00D64D5B"/>
    <w:rsid w:val="00D670EF"/>
    <w:rsid w:val="00D67AFD"/>
    <w:rsid w:val="00D70752"/>
    <w:rsid w:val="00D71435"/>
    <w:rsid w:val="00D745BF"/>
    <w:rsid w:val="00D833EF"/>
    <w:rsid w:val="00D85019"/>
    <w:rsid w:val="00D85816"/>
    <w:rsid w:val="00D8667A"/>
    <w:rsid w:val="00D87796"/>
    <w:rsid w:val="00D9312B"/>
    <w:rsid w:val="00D94EF2"/>
    <w:rsid w:val="00D9679C"/>
    <w:rsid w:val="00DA1F1B"/>
    <w:rsid w:val="00DA4FAD"/>
    <w:rsid w:val="00DA7582"/>
    <w:rsid w:val="00DA7C66"/>
    <w:rsid w:val="00DB0E51"/>
    <w:rsid w:val="00DB41AB"/>
    <w:rsid w:val="00DB5624"/>
    <w:rsid w:val="00DB5C15"/>
    <w:rsid w:val="00DB6940"/>
    <w:rsid w:val="00DB7091"/>
    <w:rsid w:val="00DB7966"/>
    <w:rsid w:val="00DC0D3A"/>
    <w:rsid w:val="00DC2804"/>
    <w:rsid w:val="00DC2823"/>
    <w:rsid w:val="00DC558C"/>
    <w:rsid w:val="00DD0EC5"/>
    <w:rsid w:val="00DD294C"/>
    <w:rsid w:val="00DE0069"/>
    <w:rsid w:val="00DE0F45"/>
    <w:rsid w:val="00DE2B2F"/>
    <w:rsid w:val="00DE39DA"/>
    <w:rsid w:val="00DE5D8A"/>
    <w:rsid w:val="00DF0BA7"/>
    <w:rsid w:val="00DF5845"/>
    <w:rsid w:val="00E01359"/>
    <w:rsid w:val="00E01D7F"/>
    <w:rsid w:val="00E046B0"/>
    <w:rsid w:val="00E119F5"/>
    <w:rsid w:val="00E16CBC"/>
    <w:rsid w:val="00E2427F"/>
    <w:rsid w:val="00E26290"/>
    <w:rsid w:val="00E30AB8"/>
    <w:rsid w:val="00E31B4A"/>
    <w:rsid w:val="00E33E29"/>
    <w:rsid w:val="00E4193A"/>
    <w:rsid w:val="00E43BB0"/>
    <w:rsid w:val="00E46580"/>
    <w:rsid w:val="00E5421B"/>
    <w:rsid w:val="00E55E43"/>
    <w:rsid w:val="00E5648C"/>
    <w:rsid w:val="00E571D8"/>
    <w:rsid w:val="00E60700"/>
    <w:rsid w:val="00E615CD"/>
    <w:rsid w:val="00E62CE7"/>
    <w:rsid w:val="00E64605"/>
    <w:rsid w:val="00E66FDC"/>
    <w:rsid w:val="00E70B55"/>
    <w:rsid w:val="00E713DE"/>
    <w:rsid w:val="00E74A27"/>
    <w:rsid w:val="00E75A21"/>
    <w:rsid w:val="00E77C02"/>
    <w:rsid w:val="00E800D2"/>
    <w:rsid w:val="00E81850"/>
    <w:rsid w:val="00E81B07"/>
    <w:rsid w:val="00E85120"/>
    <w:rsid w:val="00E9085C"/>
    <w:rsid w:val="00E915B3"/>
    <w:rsid w:val="00E91B2A"/>
    <w:rsid w:val="00E963CB"/>
    <w:rsid w:val="00E964A7"/>
    <w:rsid w:val="00EA02B3"/>
    <w:rsid w:val="00EA19D4"/>
    <w:rsid w:val="00EA1FA8"/>
    <w:rsid w:val="00EA2B72"/>
    <w:rsid w:val="00EA5CC7"/>
    <w:rsid w:val="00EA6C44"/>
    <w:rsid w:val="00EB0863"/>
    <w:rsid w:val="00EB227F"/>
    <w:rsid w:val="00EB2ADD"/>
    <w:rsid w:val="00EB34D2"/>
    <w:rsid w:val="00EB6A7A"/>
    <w:rsid w:val="00EB6E93"/>
    <w:rsid w:val="00EC0F4E"/>
    <w:rsid w:val="00EC19D5"/>
    <w:rsid w:val="00EC5CF0"/>
    <w:rsid w:val="00EC6D3B"/>
    <w:rsid w:val="00EC7FB2"/>
    <w:rsid w:val="00ED2727"/>
    <w:rsid w:val="00ED29A8"/>
    <w:rsid w:val="00ED41E6"/>
    <w:rsid w:val="00ED49D0"/>
    <w:rsid w:val="00ED6BBD"/>
    <w:rsid w:val="00EE0226"/>
    <w:rsid w:val="00EE04DD"/>
    <w:rsid w:val="00EE302F"/>
    <w:rsid w:val="00EE4BE1"/>
    <w:rsid w:val="00EE52E7"/>
    <w:rsid w:val="00EE778E"/>
    <w:rsid w:val="00EF2ADD"/>
    <w:rsid w:val="00EF2BCA"/>
    <w:rsid w:val="00EF2C91"/>
    <w:rsid w:val="00EF492D"/>
    <w:rsid w:val="00F005CE"/>
    <w:rsid w:val="00F007EC"/>
    <w:rsid w:val="00F02560"/>
    <w:rsid w:val="00F06917"/>
    <w:rsid w:val="00F0799C"/>
    <w:rsid w:val="00F107A0"/>
    <w:rsid w:val="00F1429C"/>
    <w:rsid w:val="00F2349D"/>
    <w:rsid w:val="00F255A6"/>
    <w:rsid w:val="00F268F0"/>
    <w:rsid w:val="00F31B54"/>
    <w:rsid w:val="00F31F6B"/>
    <w:rsid w:val="00F34251"/>
    <w:rsid w:val="00F364D0"/>
    <w:rsid w:val="00F40836"/>
    <w:rsid w:val="00F420FE"/>
    <w:rsid w:val="00F44131"/>
    <w:rsid w:val="00F454B3"/>
    <w:rsid w:val="00F45FA3"/>
    <w:rsid w:val="00F53341"/>
    <w:rsid w:val="00F54F98"/>
    <w:rsid w:val="00F56031"/>
    <w:rsid w:val="00F57A8D"/>
    <w:rsid w:val="00F64A25"/>
    <w:rsid w:val="00F653CC"/>
    <w:rsid w:val="00F7468E"/>
    <w:rsid w:val="00F759C6"/>
    <w:rsid w:val="00F762D0"/>
    <w:rsid w:val="00F80925"/>
    <w:rsid w:val="00F8124D"/>
    <w:rsid w:val="00F85B6F"/>
    <w:rsid w:val="00F85D51"/>
    <w:rsid w:val="00F87136"/>
    <w:rsid w:val="00F90D90"/>
    <w:rsid w:val="00F93C15"/>
    <w:rsid w:val="00F95321"/>
    <w:rsid w:val="00F953D8"/>
    <w:rsid w:val="00FA01D6"/>
    <w:rsid w:val="00FA08F1"/>
    <w:rsid w:val="00FA368F"/>
    <w:rsid w:val="00FA39EE"/>
    <w:rsid w:val="00FA7F4A"/>
    <w:rsid w:val="00FB3BB1"/>
    <w:rsid w:val="00FB424C"/>
    <w:rsid w:val="00FB4854"/>
    <w:rsid w:val="00FC24FA"/>
    <w:rsid w:val="00FC2626"/>
    <w:rsid w:val="00FC2A70"/>
    <w:rsid w:val="00FC3395"/>
    <w:rsid w:val="00FD3F08"/>
    <w:rsid w:val="00FD59EE"/>
    <w:rsid w:val="00FD7948"/>
    <w:rsid w:val="00FE04B6"/>
    <w:rsid w:val="00FE1575"/>
    <w:rsid w:val="00FE2CFA"/>
    <w:rsid w:val="00FE2EFB"/>
    <w:rsid w:val="00FE57B0"/>
    <w:rsid w:val="00FE63E7"/>
    <w:rsid w:val="00FE656B"/>
    <w:rsid w:val="00FE7C33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8" w:unhideWhenUsed="1" w:qFormat="1"/>
    <w:lsdException w:name="heading 6" w:semiHidden="1" w:uiPriority="10" w:unhideWhenUsed="1" w:qFormat="1"/>
    <w:lsdException w:name="heading 7" w:semiHidden="1" w:uiPriority="12" w:unhideWhenUsed="1" w:qFormat="1"/>
    <w:lsdException w:name="heading 8" w:semiHidden="1" w:uiPriority="14" w:unhideWhenUsed="1"/>
    <w:lsdException w:name="heading 9" w:semiHidden="1" w:uiPriority="1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" w:unhideWhenUsed="1"/>
    <w:lsdException w:name="Body Text 3" w:semiHidden="1" w:uiPriority="5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2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030E50"/>
    <w:pPr>
      <w:numPr>
        <w:numId w:val="2"/>
      </w:numPr>
      <w:tabs>
        <w:tab w:val="clear" w:pos="7320"/>
      </w:tabs>
      <w:spacing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EE302F"/>
    <w:pPr>
      <w:numPr>
        <w:ilvl w:val="1"/>
        <w:numId w:val="2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E302F"/>
    <w:pPr>
      <w:numPr>
        <w:ilvl w:val="2"/>
        <w:numId w:val="2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E302F"/>
    <w:pPr>
      <w:numPr>
        <w:ilvl w:val="3"/>
        <w:numId w:val="2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EE302F"/>
    <w:pPr>
      <w:numPr>
        <w:ilvl w:val="4"/>
        <w:numId w:val="2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EE302F"/>
    <w:pPr>
      <w:numPr>
        <w:ilvl w:val="5"/>
        <w:numId w:val="2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EE302F"/>
    <w:pPr>
      <w:numPr>
        <w:ilvl w:val="6"/>
        <w:numId w:val="2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2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EE302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0E50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qFormat/>
    <w:rsid w:val="00EE3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302F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4843E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843E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qFormat/>
    <w:rsid w:val="00EE302F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EE302F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E302F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EE30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E302F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EE302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EE302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EE302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3F11F2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404EF9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EE302F"/>
    <w:pPr>
      <w:spacing w:after="120"/>
      <w:ind w:left="1440"/>
    </w:pPr>
  </w:style>
  <w:style w:type="paragraph" w:customStyle="1" w:styleId="BodyText5">
    <w:name w:val="Body Text 5"/>
    <w:basedOn w:val="Normal"/>
    <w:uiPriority w:val="9"/>
    <w:qFormat/>
    <w:rsid w:val="00EE302F"/>
    <w:pPr>
      <w:spacing w:after="120"/>
      <w:ind w:left="1800"/>
    </w:pPr>
  </w:style>
  <w:style w:type="paragraph" w:customStyle="1" w:styleId="BodyText6">
    <w:name w:val="Body Text 6"/>
    <w:basedOn w:val="Normal"/>
    <w:uiPriority w:val="11"/>
    <w:qFormat/>
    <w:rsid w:val="00EE302F"/>
    <w:pPr>
      <w:spacing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EE302F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EE302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EE302F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EE302F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EE302F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6D5207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6D5207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6D5207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B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my\Desktop\French%20Policy.Procedur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A57DE6E0E048C6A381B154ACD1A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F613D-3CB6-4534-9188-FEA67EC37300}"/>
      </w:docPartPr>
      <w:docPartBody>
        <w:p w:rsidR="00AC459A" w:rsidRDefault="001B766A">
          <w:pPr>
            <w:pStyle w:val="57A57DE6E0E048C6A381B154ACD1A207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D6204738EE944309AB3F6DC41CC0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F8C7B-E76C-4DD6-8FDB-EBACCD80ECC7}"/>
      </w:docPartPr>
      <w:docPartBody>
        <w:p w:rsidR="00AC459A" w:rsidRDefault="001B766A">
          <w:pPr>
            <w:pStyle w:val="D6204738EE944309AB3F6DC41CC02F68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99CD5150905426F9E4593BEAC44E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3331D-02D1-4218-9B79-EA3650232D90}"/>
      </w:docPartPr>
      <w:docPartBody>
        <w:p w:rsidR="00AC459A" w:rsidRDefault="001B766A">
          <w:pPr>
            <w:pStyle w:val="399CD5150905426F9E4593BEAC44E4C7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07DFEE5AC2BA4928A0972AF91F20C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85FB-CF62-4020-AD0D-F3A2F8D810EA}"/>
      </w:docPartPr>
      <w:docPartBody>
        <w:p w:rsidR="00AC459A" w:rsidRDefault="001B766A">
          <w:pPr>
            <w:pStyle w:val="07DFEE5AC2BA4928A0972AF91F20C03D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ACC73CA1C44BD2A6268E48EFDC2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1B1D-2BD7-4722-805D-95BB5CCC69A1}"/>
      </w:docPartPr>
      <w:docPartBody>
        <w:p w:rsidR="00AC459A" w:rsidRDefault="001B766A">
          <w:pPr>
            <w:pStyle w:val="6BACC73CA1C44BD2A6268E48EFDC215B"/>
          </w:pPr>
          <w:r>
            <w:rPr>
              <w:b/>
              <w:sz w:val="18"/>
            </w:rPr>
            <w:t>Document Category:</w:t>
          </w:r>
        </w:p>
      </w:docPartBody>
    </w:docPart>
    <w:docPart>
      <w:docPartPr>
        <w:name w:val="25638A6B713D4EE9911D531549E69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4A269-DD1C-4B27-8FB4-CD2D1D9367EC}"/>
      </w:docPartPr>
      <w:docPartBody>
        <w:p w:rsidR="00AC459A" w:rsidRDefault="001B766A">
          <w:pPr>
            <w:pStyle w:val="25638A6B713D4EE9911D531549E69197"/>
          </w:pPr>
          <w:r w:rsidRPr="00DE0069">
            <w:rPr>
              <w:rStyle w:val="ZF2"/>
            </w:rPr>
            <w:t>Policy</w:t>
          </w:r>
        </w:p>
      </w:docPartBody>
    </w:docPart>
    <w:docPart>
      <w:docPartPr>
        <w:name w:val="944B2B5820EE404186EAECC493C37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59A43-56D6-448E-B673-F5F4EB5E1C11}"/>
      </w:docPartPr>
      <w:docPartBody>
        <w:p w:rsidR="00AC459A" w:rsidRDefault="001B766A">
          <w:pPr>
            <w:pStyle w:val="944B2B5820EE404186EAECC493C37CC2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613FFE94FD0444E39FE56C177F74E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81D9-D43F-4097-A31B-8F452D773ACF}"/>
      </w:docPartPr>
      <w:docPartBody>
        <w:p w:rsidR="00AC459A" w:rsidRDefault="001B766A">
          <w:pPr>
            <w:pStyle w:val="613FFE94FD0444E39FE56C177F74E1F2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89BECAEB57E44A77A27A25AAF502F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0461-C5C0-4350-9C8E-16D7C626A3F6}"/>
      </w:docPartPr>
      <w:docPartBody>
        <w:p w:rsidR="00AC459A" w:rsidRDefault="001B766A">
          <w:pPr>
            <w:pStyle w:val="89BECAEB57E44A77A27A25AAF502FEDE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C6D192F2C6A448549032636ECD855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82CA4-3669-4717-9773-1DD501373B59}"/>
      </w:docPartPr>
      <w:docPartBody>
        <w:p w:rsidR="00AC459A" w:rsidRDefault="001B766A">
          <w:pPr>
            <w:pStyle w:val="C6D192F2C6A448549032636ECD855652"/>
          </w:pPr>
          <w:r>
            <w:t xml:space="preserve"> </w:t>
          </w:r>
        </w:p>
      </w:docPartBody>
    </w:docPart>
    <w:docPart>
      <w:docPartPr>
        <w:name w:val="E3D74A9A689B435F89E6B16B47B3B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4FA02-CCC0-4089-AF9B-2B79403BD379}"/>
      </w:docPartPr>
      <w:docPartBody>
        <w:p w:rsidR="00AC459A" w:rsidRDefault="001B766A">
          <w:pPr>
            <w:pStyle w:val="E3D74A9A689B435F89E6B16B47B3B0B5"/>
          </w:pPr>
          <w:r>
            <w:rPr>
              <w:b/>
              <w:sz w:val="18"/>
            </w:rPr>
            <w:t>Applies to:</w:t>
          </w:r>
        </w:p>
      </w:docPartBody>
    </w:docPart>
    <w:docPart>
      <w:docPartPr>
        <w:name w:val="F767B4E343B94EAA87CF98FD245E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5A0DF-D968-4DC8-B1CC-61D54DD037F9}"/>
      </w:docPartPr>
      <w:docPartBody>
        <w:p w:rsidR="00AC459A" w:rsidRDefault="001B766A">
          <w:pPr>
            <w:pStyle w:val="F767B4E343B94EAA87CF98FD245E5F8D"/>
          </w:pPr>
          <w:r w:rsidRPr="005755CE">
            <w:rPr>
              <w:rStyle w:val="PlaceholderText"/>
              <w:rFonts w:cs="Arial"/>
              <w:sz w:val="18"/>
              <w:szCs w:val="18"/>
            </w:rPr>
            <w:t>Santa Maria Campus,</w:t>
          </w:r>
        </w:p>
      </w:docPartBody>
    </w:docPart>
    <w:docPart>
      <w:docPartPr>
        <w:name w:val="49CCD7DF7EDC4922BD1B670FD3BF5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D4D32-E125-49AB-850A-4F63C0391C97}"/>
      </w:docPartPr>
      <w:docPartBody>
        <w:p w:rsidR="00AC459A" w:rsidRDefault="001B766A">
          <w:pPr>
            <w:pStyle w:val="49CCD7DF7EDC4922BD1B670FD3BF5718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71162CCC10D94F018ED069BB59FFF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7CA99-9145-4E81-9E4D-32364168088A}"/>
      </w:docPartPr>
      <w:docPartBody>
        <w:p w:rsidR="00AC459A" w:rsidRDefault="001B766A">
          <w:pPr>
            <w:pStyle w:val="71162CCC10D94F018ED069BB59FFFF0D"/>
          </w:pPr>
          <w:r w:rsidRPr="00CB0685">
            <w:rPr>
              <w:sz w:val="18"/>
            </w:rPr>
            <w:t>Arroyo Grande Campus,</w:t>
          </w:r>
        </w:p>
      </w:docPartBody>
    </w:docPart>
    <w:docPart>
      <w:docPartPr>
        <w:name w:val="BBBAD5E0F03D4C578656958C1E97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F89AB-72AF-4330-896C-AB883F244EB9}"/>
      </w:docPartPr>
      <w:docPartBody>
        <w:p w:rsidR="00AC459A" w:rsidRDefault="001B766A">
          <w:pPr>
            <w:pStyle w:val="BBBAD5E0F03D4C578656958C1E97A820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1C1AB63E7C594503AA29DA501487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6A53-7F65-4794-B550-B9DD1761A033}"/>
      </w:docPartPr>
      <w:docPartBody>
        <w:p w:rsidR="00AC459A" w:rsidRDefault="001B766A">
          <w:pPr>
            <w:pStyle w:val="1C1AB63E7C594503AA29DA501487B003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74575A08DB0748D19A55623682BAC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2931C-4C7B-43C0-ABE4-3AE36D78085F}"/>
      </w:docPartPr>
      <w:docPartBody>
        <w:p w:rsidR="00AC459A" w:rsidRDefault="001B766A">
          <w:pPr>
            <w:pStyle w:val="74575A08DB0748D19A55623682BAC233"/>
          </w:pPr>
          <w:r w:rsidRPr="007132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neFace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6A"/>
    <w:rsid w:val="001B766A"/>
    <w:rsid w:val="00AC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A57DE6E0E048C6A381B154ACD1A207">
    <w:name w:val="57A57DE6E0E048C6A381B154ACD1A207"/>
  </w:style>
  <w:style w:type="paragraph" w:customStyle="1" w:styleId="D6204738EE944309AB3F6DC41CC02F68">
    <w:name w:val="D6204738EE944309AB3F6DC41CC02F68"/>
  </w:style>
  <w:style w:type="paragraph" w:customStyle="1" w:styleId="399CD5150905426F9E4593BEAC44E4C7">
    <w:name w:val="399CD5150905426F9E4593BEAC44E4C7"/>
  </w:style>
  <w:style w:type="paragraph" w:customStyle="1" w:styleId="07DFEE5AC2BA4928A0972AF91F20C03D">
    <w:name w:val="07DFEE5AC2BA4928A0972AF91F20C03D"/>
  </w:style>
  <w:style w:type="paragraph" w:customStyle="1" w:styleId="6BACC73CA1C44BD2A6268E48EFDC215B">
    <w:name w:val="6BACC73CA1C44BD2A6268E48EFDC215B"/>
  </w:style>
  <w:style w:type="character" w:customStyle="1" w:styleId="ZF2">
    <w:name w:val="ZF2"/>
    <w:basedOn w:val="DefaultParagraphFont"/>
    <w:uiPriority w:val="1"/>
    <w:rPr>
      <w:rFonts w:ascii="Arial" w:hAnsi="Arial"/>
      <w:sz w:val="18"/>
    </w:rPr>
  </w:style>
  <w:style w:type="paragraph" w:customStyle="1" w:styleId="25638A6B713D4EE9911D531549E69197">
    <w:name w:val="25638A6B713D4EE9911D531549E69197"/>
  </w:style>
  <w:style w:type="paragraph" w:customStyle="1" w:styleId="944B2B5820EE404186EAECC493C37CC2">
    <w:name w:val="944B2B5820EE404186EAECC493C37CC2"/>
  </w:style>
  <w:style w:type="paragraph" w:customStyle="1" w:styleId="613FFE94FD0444E39FE56C177F74E1F2">
    <w:name w:val="613FFE94FD0444E39FE56C177F74E1F2"/>
  </w:style>
  <w:style w:type="paragraph" w:customStyle="1" w:styleId="89BECAEB57E44A77A27A25AAF502FEDE">
    <w:name w:val="89BECAEB57E44A77A27A25AAF502FEDE"/>
  </w:style>
  <w:style w:type="paragraph" w:customStyle="1" w:styleId="C6D192F2C6A448549032636ECD855652">
    <w:name w:val="C6D192F2C6A448549032636ECD855652"/>
  </w:style>
  <w:style w:type="paragraph" w:customStyle="1" w:styleId="E3D74A9A689B435F89E6B16B47B3B0B5">
    <w:name w:val="E3D74A9A689B435F89E6B16B47B3B0B5"/>
  </w:style>
  <w:style w:type="paragraph" w:customStyle="1" w:styleId="F767B4E343B94EAA87CF98FD245E5F8D">
    <w:name w:val="F767B4E343B94EAA87CF98FD245E5F8D"/>
  </w:style>
  <w:style w:type="paragraph" w:customStyle="1" w:styleId="49CCD7DF7EDC4922BD1B670FD3BF5718">
    <w:name w:val="49CCD7DF7EDC4922BD1B670FD3BF5718"/>
  </w:style>
  <w:style w:type="paragraph" w:customStyle="1" w:styleId="71162CCC10D94F018ED069BB59FFFF0D">
    <w:name w:val="71162CCC10D94F018ED069BB59FFFF0D"/>
  </w:style>
  <w:style w:type="paragraph" w:customStyle="1" w:styleId="BBBAD5E0F03D4C578656958C1E97A820">
    <w:name w:val="BBBAD5E0F03D4C578656958C1E97A820"/>
  </w:style>
  <w:style w:type="paragraph" w:customStyle="1" w:styleId="1C1AB63E7C594503AA29DA501487B003">
    <w:name w:val="1C1AB63E7C594503AA29DA501487B003"/>
  </w:style>
  <w:style w:type="paragraph" w:customStyle="1" w:styleId="74575A08DB0748D19A55623682BAC233">
    <w:name w:val="74575A08DB0748D19A55623682BAC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8743-016B-410A-B753-750FDD18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French Policy.Procedure Template.dotx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2023-06-27T00:16:00Z</dcterms:created>
  <dcterms:modified xsi:type="dcterms:W3CDTF">2023-06-27T00:16:00Z</dcterms:modified>
</cp:coreProperties>
</file>