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br w:type="textWrapping"/>
        <w:t xml:space="preserve">Dignity Health Central Coast Service Area</w:t>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3">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4">
      <w:pPr>
        <w:tabs>
          <w:tab w:val="left" w:leader="none" w:pos="732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Linearity Testing and Analysis on the DxH 800/600</w:t>
      </w:r>
    </w:p>
    <w:p w:rsidR="00000000" w:rsidDel="00000000" w:rsidP="00000000" w:rsidRDefault="00000000" w:rsidRPr="00000000" w14:paraId="00000005">
      <w:pPr>
        <w:tabs>
          <w:tab w:val="left" w:leader="none" w:pos="7320"/>
        </w:tabs>
        <w:ind w:left="0" w:firstLine="0"/>
        <w:rPr/>
      </w:pPr>
      <w:r w:rsidDel="00000000" w:rsidR="00000000" w:rsidRPr="00000000">
        <w:rPr>
          <w:rFonts w:ascii="Arial" w:cs="Arial" w:eastAsia="Arial" w:hAnsi="Arial"/>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Laboratory/Hematology</w:t>
      </w:r>
      <w:r w:rsidDel="00000000" w:rsidR="00000000" w:rsidRPr="00000000">
        <w:rPr>
          <w:rtl w:val="0"/>
        </w:rPr>
        <w:t xml:space="preserve"> </w:t>
        <w:tab/>
      </w:r>
    </w:p>
    <w:p w:rsidR="00000000" w:rsidDel="00000000" w:rsidP="00000000" w:rsidRDefault="00000000" w:rsidRPr="00000000" w14:paraId="00000006">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7">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B">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0E">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0F">
      <w:pPr>
        <w:tabs>
          <w:tab w:val="left" w:leader="none" w:pos="7320"/>
        </w:tabs>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330"/>
        <w:gridCol w:w="3060"/>
        <w:tblGridChange w:id="0">
          <w:tblGrid>
            <w:gridCol w:w="3397"/>
            <w:gridCol w:w="333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575"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3">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4">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French Hospital Medical Center</w:t>
            </w:r>
            <w:r w:rsidDel="00000000" w:rsidR="00000000" w:rsidRPr="00000000">
              <w:rPr>
                <w:rtl w:val="0"/>
              </w:rPr>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8">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9">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Regional Medical Center</w:t>
            </w:r>
            <w:r w:rsidDel="00000000" w:rsidR="00000000" w:rsidRPr="00000000">
              <w:rPr>
                <w:rtl w:val="0"/>
              </w:rPr>
            </w:r>
          </w:p>
        </w:tc>
      </w:tr>
    </w:tbl>
    <w:p w:rsidR="00000000" w:rsidDel="00000000" w:rsidP="00000000" w:rsidRDefault="00000000" w:rsidRPr="00000000" w14:paraId="0000001B">
      <w:pPr>
        <w:tabs>
          <w:tab w:val="left" w:leader="none" w:pos="7320"/>
        </w:tabs>
        <w:rPr/>
      </w:pPr>
      <w:r w:rsidDel="00000000" w:rsidR="00000000" w:rsidRPr="00000000">
        <w:rPr>
          <w:rtl w:val="0"/>
        </w:rPr>
      </w:r>
    </w:p>
    <w:p w:rsidR="00000000" w:rsidDel="00000000" w:rsidP="00000000" w:rsidRDefault="00000000" w:rsidRPr="00000000" w14:paraId="0000001C">
      <w:pPr>
        <w:pStyle w:val="Heading1"/>
        <w:numPr>
          <w:ilvl w:val="0"/>
          <w:numId w:val="2"/>
        </w:numPr>
        <w:tabs>
          <w:tab w:val="left" w:leader="none" w:pos="7320"/>
        </w:tabs>
        <w:ind w:left="360" w:hanging="360"/>
        <w:rPr/>
      </w:pPr>
      <w:r w:rsidDel="00000000" w:rsidR="00000000" w:rsidRPr="00000000">
        <w:rPr>
          <w:rtl w:val="0"/>
        </w:rPr>
        <w:t xml:space="preserve">purpose: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instruction on the testing of the Coulter LIN-X (Linearity Control) and review of results. Coulter LIN-X Linearity Controls are intended to assess calibration and verify the reportable range of UniCel DxH 800/600 Coulter Cellular Analysis Systems. Linearity testing must take place at minimum, every 6 months.Testing should also be performed upon installation, following significant preventative maintenance, unusual trends/shifts in quality control, or when recommended by Beckman Coulter. The product’s WBC, RBC, HGB, and PLT concentrations span the instrument’s reportable ranges. Results from repeated measurements for each concentration are compared to he established expected range, to assess the instrument’s calibration and to verify the reportable range.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2"/>
        </w:numPr>
        <w:tabs>
          <w:tab w:val="left" w:leader="none" w:pos="7320"/>
        </w:tabs>
        <w:ind w:left="360" w:hanging="360"/>
        <w:rPr/>
      </w:pPr>
      <w:r w:rsidDel="00000000" w:rsidR="00000000" w:rsidRPr="00000000">
        <w:rPr>
          <w:rtl w:val="0"/>
        </w:rPr>
        <w:t xml:space="preserve">REAGENTS/SUPPLIES: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COULTER® LIN-X Linearity Control 628029</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DxH 800/600</w:t>
      </w:r>
    </w:p>
    <w:p w:rsidR="00000000" w:rsidDel="00000000" w:rsidP="00000000" w:rsidRDefault="00000000" w:rsidRPr="00000000" w14:paraId="00000022">
      <w:pPr>
        <w:pStyle w:val="Heading2"/>
        <w:tabs>
          <w:tab w:val="left" w:leader="none" w:pos="7320"/>
        </w:tabs>
        <w:ind w:left="720" w:hanging="360"/>
        <w:rPr/>
      </w:pPr>
      <w:r w:rsidDel="00000000" w:rsidR="00000000" w:rsidRPr="00000000">
        <w:rPr>
          <w:rtl w:val="0"/>
        </w:rPr>
        <w:t xml:space="preserve">LIN-X Linearity Control is stored at 2-8°C </w:t>
      </w:r>
    </w:p>
    <w:p w:rsidR="00000000" w:rsidDel="00000000" w:rsidP="00000000" w:rsidRDefault="00000000" w:rsidRPr="00000000" w14:paraId="00000023">
      <w:pPr>
        <w:pStyle w:val="Heading2"/>
        <w:tabs>
          <w:tab w:val="left" w:leader="none" w:pos="7320"/>
        </w:tabs>
        <w:ind w:left="720" w:hanging="360"/>
        <w:rPr/>
      </w:pPr>
      <w:r w:rsidDel="00000000" w:rsidR="00000000" w:rsidRPr="00000000">
        <w:rPr>
          <w:rtl w:val="0"/>
        </w:rPr>
        <w:t xml:space="preserve">LIN-X Linearity Control expiration date</w:t>
      </w:r>
    </w:p>
    <w:p w:rsidR="00000000" w:rsidDel="00000000" w:rsidP="00000000" w:rsidRDefault="00000000" w:rsidRPr="00000000" w14:paraId="00000024">
      <w:pPr>
        <w:pStyle w:val="Heading3"/>
        <w:numPr>
          <w:ilvl w:val="2"/>
          <w:numId w:val="2"/>
        </w:numPr>
        <w:tabs>
          <w:tab w:val="left" w:leader="none" w:pos="7320"/>
        </w:tabs>
        <w:ind w:left="1080" w:hanging="360"/>
        <w:rPr/>
      </w:pPr>
      <w:r w:rsidDel="00000000" w:rsidR="00000000" w:rsidRPr="00000000">
        <w:rPr>
          <w:rtl w:val="0"/>
        </w:rPr>
        <w:t xml:space="preserve">Closed expiration date listed on box</w:t>
      </w:r>
    </w:p>
    <w:p w:rsidR="00000000" w:rsidDel="00000000" w:rsidP="00000000" w:rsidRDefault="00000000" w:rsidRPr="00000000" w14:paraId="00000025">
      <w:pPr>
        <w:pStyle w:val="Heading3"/>
        <w:numPr>
          <w:ilvl w:val="2"/>
          <w:numId w:val="2"/>
        </w:numPr>
        <w:tabs>
          <w:tab w:val="left" w:leader="none" w:pos="7320"/>
        </w:tabs>
        <w:ind w:left="1080" w:hanging="360"/>
        <w:rPr/>
      </w:pPr>
      <w:r w:rsidDel="00000000" w:rsidR="00000000" w:rsidRPr="00000000">
        <w:rPr>
          <w:rtl w:val="0"/>
        </w:rPr>
        <w:t xml:space="preserve">Open expiration is 7 days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2"/>
        </w:numPr>
        <w:tabs>
          <w:tab w:val="left" w:leader="none" w:pos="7320"/>
        </w:tabs>
        <w:ind w:left="360" w:hanging="360"/>
        <w:rPr/>
      </w:pPr>
      <w:r w:rsidDel="00000000" w:rsidR="00000000" w:rsidRPr="00000000">
        <w:rPr>
          <w:rtl w:val="0"/>
        </w:rPr>
        <w:t xml:space="preserve">QUALITY CONTROL: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Control material including Latron (628024), 6C Cell control (A59925), and Retic-X control (628028) is tested once every 24 hours of use, and/or after maintenance, calibration or while troubleshooting. Latron control is performed once daily after shutdown.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A">
      <w:pPr>
        <w:pStyle w:val="Heading1"/>
        <w:numPr>
          <w:ilvl w:val="0"/>
          <w:numId w:val="2"/>
        </w:numPr>
        <w:tabs>
          <w:tab w:val="left" w:leader="none" w:pos="7320"/>
        </w:tabs>
        <w:ind w:left="360" w:hanging="360"/>
        <w:rPr/>
      </w:pPr>
      <w:r w:rsidDel="00000000" w:rsidR="00000000" w:rsidRPr="00000000">
        <w:rPr>
          <w:rtl w:val="0"/>
        </w:rPr>
        <w:t xml:space="preserve">procedure: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performing Linearity Testing, confirm that the three levels of 6C Cell control are acceptable. These procedures should be performed before linearity testing to verify instrument performance.</w:t>
      </w:r>
    </w:p>
    <w:p w:rsidR="00000000" w:rsidDel="00000000" w:rsidP="00000000" w:rsidRDefault="00000000" w:rsidRPr="00000000" w14:paraId="0000002C">
      <w:pPr>
        <w:pStyle w:val="Heading2"/>
        <w:numPr>
          <w:ilvl w:val="1"/>
          <w:numId w:val="2"/>
        </w:numPr>
        <w:tabs>
          <w:tab w:val="left" w:leader="none" w:pos="7320"/>
        </w:tabs>
        <w:ind w:left="720" w:hanging="360"/>
        <w:rPr/>
      </w:pPr>
      <w:r w:rsidDel="00000000" w:rsidR="00000000" w:rsidRPr="00000000">
        <w:rPr>
          <w:rtl w:val="0"/>
        </w:rPr>
        <w:t xml:space="preserve">Take instrument OFFLINE</w:t>
      </w:r>
    </w:p>
    <w:p w:rsidR="00000000" w:rsidDel="00000000" w:rsidP="00000000" w:rsidRDefault="00000000" w:rsidRPr="00000000" w14:paraId="0000002D">
      <w:pPr>
        <w:pStyle w:val="Heading2"/>
        <w:numPr>
          <w:ilvl w:val="1"/>
          <w:numId w:val="2"/>
        </w:numPr>
        <w:tabs>
          <w:tab w:val="left" w:leader="none" w:pos="7320"/>
        </w:tabs>
        <w:ind w:left="720" w:hanging="360"/>
        <w:rPr/>
      </w:pPr>
      <w:r w:rsidDel="00000000" w:rsidR="00000000" w:rsidRPr="00000000">
        <w:rPr>
          <w:rtl w:val="0"/>
        </w:rPr>
        <w:t xml:space="preserve">Temporarily disable the NRBC module: MENU&gt;SETUP&gt; SYSTEM&gt;ANALYSIS (bottom of screen)&gt;TEMPORARILY DISABLE NRBC.</w:t>
      </w:r>
    </w:p>
    <w:p w:rsidR="00000000" w:rsidDel="00000000" w:rsidP="00000000" w:rsidRDefault="00000000" w:rsidRPr="00000000" w14:paraId="0000002E">
      <w:pPr>
        <w:pStyle w:val="Heading2"/>
        <w:numPr>
          <w:ilvl w:val="1"/>
          <w:numId w:val="2"/>
        </w:numPr>
        <w:tabs>
          <w:tab w:val="left" w:leader="none" w:pos="7320"/>
        </w:tabs>
        <w:ind w:left="720" w:hanging="360"/>
        <w:rPr/>
      </w:pPr>
      <w:r w:rsidDel="00000000" w:rsidR="00000000" w:rsidRPr="00000000">
        <w:rPr>
          <w:rtl w:val="0"/>
        </w:rPr>
        <w:t xml:space="preserve">Place instrument ONLINE</w:t>
      </w:r>
    </w:p>
    <w:p w:rsidR="00000000" w:rsidDel="00000000" w:rsidP="00000000" w:rsidRDefault="00000000" w:rsidRPr="00000000" w14:paraId="0000002F">
      <w:pPr>
        <w:pStyle w:val="Heading2"/>
        <w:numPr>
          <w:ilvl w:val="1"/>
          <w:numId w:val="2"/>
        </w:numPr>
        <w:tabs>
          <w:tab w:val="left" w:leader="none" w:pos="7320"/>
        </w:tabs>
        <w:ind w:left="720" w:hanging="360"/>
        <w:rPr/>
      </w:pPr>
      <w:r w:rsidDel="00000000" w:rsidR="00000000" w:rsidRPr="00000000">
        <w:rPr>
          <w:rtl w:val="0"/>
        </w:rPr>
        <w:t xml:space="preserve">Menu&gt;QA&gt;Repeatability&gt;Repeatability Setup</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Repeatability Setup dialog box, a window will pop up stating “Existing data will be deleted”, Select &lt;OK&gt; to continue. From the Test Panel drop down list select the following:</w:t>
      </w:r>
    </w:p>
    <w:p w:rsidR="00000000" w:rsidDel="00000000" w:rsidP="00000000" w:rsidRDefault="00000000" w:rsidRPr="00000000" w14:paraId="00000031">
      <w:pPr>
        <w:pStyle w:val="Heading3"/>
        <w:numPr>
          <w:ilvl w:val="2"/>
          <w:numId w:val="2"/>
        </w:numPr>
        <w:tabs>
          <w:tab w:val="left" w:leader="none" w:pos="7320"/>
        </w:tabs>
        <w:ind w:left="1080" w:hanging="360"/>
        <w:rPr/>
      </w:pPr>
      <w:r w:rsidDel="00000000" w:rsidR="00000000" w:rsidRPr="00000000">
        <w:rPr>
          <w:rtl w:val="0"/>
        </w:rPr>
        <w:t xml:space="preserve">Cassette Presentation</w:t>
      </w:r>
    </w:p>
    <w:p w:rsidR="00000000" w:rsidDel="00000000" w:rsidP="00000000" w:rsidRDefault="00000000" w:rsidRPr="00000000" w14:paraId="00000032">
      <w:pPr>
        <w:pStyle w:val="Heading3"/>
        <w:numPr>
          <w:ilvl w:val="2"/>
          <w:numId w:val="2"/>
        </w:numPr>
        <w:tabs>
          <w:tab w:val="left" w:leader="none" w:pos="7320"/>
        </w:tabs>
        <w:ind w:left="1080" w:hanging="360"/>
        <w:rPr/>
      </w:pPr>
      <w:r w:rsidDel="00000000" w:rsidR="00000000" w:rsidRPr="00000000">
        <w:rPr>
          <w:rtl w:val="0"/>
        </w:rPr>
        <w:t xml:space="preserve">Test Panel (CBC)</w:t>
      </w:r>
    </w:p>
    <w:p w:rsidR="00000000" w:rsidDel="00000000" w:rsidP="00000000" w:rsidRDefault="00000000" w:rsidRPr="00000000" w14:paraId="00000033">
      <w:pPr>
        <w:pStyle w:val="Heading3"/>
        <w:numPr>
          <w:ilvl w:val="2"/>
          <w:numId w:val="2"/>
        </w:numPr>
        <w:tabs>
          <w:tab w:val="left" w:leader="none" w:pos="7320"/>
        </w:tabs>
        <w:ind w:left="1080" w:hanging="360"/>
        <w:rPr/>
      </w:pPr>
      <w:r w:rsidDel="00000000" w:rsidR="00000000" w:rsidRPr="00000000">
        <w:rPr>
          <w:rtl w:val="0"/>
        </w:rPr>
        <w:t xml:space="preserve">Number Aspirations (6)</w:t>
      </w:r>
    </w:p>
    <w:p w:rsidR="00000000" w:rsidDel="00000000" w:rsidP="00000000" w:rsidRDefault="00000000" w:rsidRPr="00000000" w14:paraId="00000034">
      <w:pPr>
        <w:pStyle w:val="Heading2"/>
        <w:numPr>
          <w:ilvl w:val="1"/>
          <w:numId w:val="2"/>
        </w:numPr>
        <w:tabs>
          <w:tab w:val="left" w:leader="none" w:pos="7320"/>
        </w:tabs>
        <w:ind w:left="720" w:hanging="360"/>
        <w:rPr/>
      </w:pPr>
      <w:r w:rsidDel="00000000" w:rsidR="00000000" w:rsidRPr="00000000">
        <w:rPr>
          <w:rtl w:val="0"/>
        </w:rPr>
        <w:t xml:space="preserve">Allow LIN-X vials to come to Room Temperature (10-15 minutes)</w:t>
      </w:r>
    </w:p>
    <w:p w:rsidR="00000000" w:rsidDel="00000000" w:rsidP="00000000" w:rsidRDefault="00000000" w:rsidRPr="00000000" w14:paraId="00000035">
      <w:pPr>
        <w:pStyle w:val="Heading2"/>
        <w:numPr>
          <w:ilvl w:val="1"/>
          <w:numId w:val="2"/>
        </w:numPr>
        <w:tabs>
          <w:tab w:val="left" w:leader="none" w:pos="7320"/>
        </w:tabs>
        <w:ind w:left="720" w:hanging="360"/>
        <w:rPr/>
      </w:pPr>
      <w:r w:rsidDel="00000000" w:rsidR="00000000" w:rsidRPr="00000000">
        <w:rPr>
          <w:rtl w:val="0"/>
        </w:rPr>
        <w:t xml:space="preserve">Mix each vial 8x8x8 times</w:t>
      </w:r>
    </w:p>
    <w:p w:rsidR="00000000" w:rsidDel="00000000" w:rsidP="00000000" w:rsidRDefault="00000000" w:rsidRPr="00000000" w14:paraId="00000036">
      <w:pPr>
        <w:pStyle w:val="Heading2"/>
        <w:numPr>
          <w:ilvl w:val="1"/>
          <w:numId w:val="2"/>
        </w:numPr>
        <w:tabs>
          <w:tab w:val="left" w:leader="none" w:pos="7320"/>
        </w:tabs>
        <w:ind w:left="720" w:hanging="360"/>
        <w:rPr/>
      </w:pPr>
      <w:r w:rsidDel="00000000" w:rsidR="00000000" w:rsidRPr="00000000">
        <w:rPr>
          <w:rtl w:val="0"/>
        </w:rPr>
        <w:t xml:space="preserve">Run LIN-X linearity control tubes in consecutive order beginning with Level 0 and ending with Level 11. Repeat flagged samples with non-numeric values, System Messages (R), or ++++ (over range). Some levels may generate a non-blood (N) flag.</w:t>
      </w:r>
    </w:p>
    <w:p w:rsidR="00000000" w:rsidDel="00000000" w:rsidP="00000000" w:rsidRDefault="00000000" w:rsidRPr="00000000" w14:paraId="00000037">
      <w:pPr>
        <w:pStyle w:val="Heading2"/>
        <w:numPr>
          <w:ilvl w:val="1"/>
          <w:numId w:val="2"/>
        </w:numPr>
        <w:tabs>
          <w:tab w:val="left" w:leader="none" w:pos="7320"/>
        </w:tabs>
        <w:ind w:left="720" w:hanging="360"/>
        <w:rPr/>
      </w:pPr>
      <w:r w:rsidDel="00000000" w:rsidR="00000000" w:rsidRPr="00000000">
        <w:rPr>
          <w:rtl w:val="0"/>
        </w:rPr>
        <w:t xml:space="preserve">Place Tube 0 in a cassette and load onto the instrument, it will automatically aspirate 6 times.</w:t>
      </w:r>
    </w:p>
    <w:p w:rsidR="00000000" w:rsidDel="00000000" w:rsidP="00000000" w:rsidRDefault="00000000" w:rsidRPr="00000000" w14:paraId="00000038">
      <w:pPr>
        <w:pStyle w:val="Heading2"/>
        <w:numPr>
          <w:ilvl w:val="1"/>
          <w:numId w:val="2"/>
        </w:numPr>
        <w:tabs>
          <w:tab w:val="left" w:leader="none" w:pos="7320"/>
        </w:tabs>
        <w:ind w:left="720" w:hanging="360"/>
        <w:rPr/>
      </w:pPr>
      <w:r w:rsidDel="00000000" w:rsidR="00000000" w:rsidRPr="00000000">
        <w:rPr>
          <w:rtl w:val="0"/>
        </w:rPr>
        <w:t xml:space="preserve">When 6 runs are complete, exclude 1</w:t>
      </w:r>
      <w:r w:rsidDel="00000000" w:rsidR="00000000" w:rsidRPr="00000000">
        <w:rPr>
          <w:vertAlign w:val="superscript"/>
          <w:rtl w:val="0"/>
        </w:rPr>
        <w:t xml:space="preserve">st</w:t>
      </w:r>
      <w:r w:rsidDel="00000000" w:rsidR="00000000" w:rsidRPr="00000000">
        <w:rPr>
          <w:rtl w:val="0"/>
        </w:rPr>
        <w:t xml:space="preserve"> run (the prime tube)</w:t>
      </w:r>
    </w:p>
    <w:p w:rsidR="00000000" w:rsidDel="00000000" w:rsidP="00000000" w:rsidRDefault="00000000" w:rsidRPr="00000000" w14:paraId="00000039">
      <w:pPr>
        <w:pStyle w:val="Heading2"/>
        <w:numPr>
          <w:ilvl w:val="1"/>
          <w:numId w:val="2"/>
        </w:numPr>
        <w:tabs>
          <w:tab w:val="left" w:leader="none" w:pos="7320"/>
        </w:tabs>
        <w:ind w:left="720" w:hanging="360"/>
        <w:rPr/>
      </w:pPr>
      <w:r w:rsidDel="00000000" w:rsidR="00000000" w:rsidRPr="00000000">
        <w:rPr>
          <w:rtl w:val="0"/>
        </w:rPr>
        <w:t xml:space="preserve">Verify mean and SD is acceptable as compared to the Table of Expected Results that came with the LIN-X kit</w:t>
      </w:r>
    </w:p>
    <w:p w:rsidR="00000000" w:rsidDel="00000000" w:rsidP="00000000" w:rsidRDefault="00000000" w:rsidRPr="00000000" w14:paraId="0000003A">
      <w:pPr>
        <w:pStyle w:val="Heading3"/>
        <w:numPr>
          <w:ilvl w:val="2"/>
          <w:numId w:val="2"/>
        </w:numPr>
        <w:tabs>
          <w:tab w:val="left" w:leader="none" w:pos="7320"/>
        </w:tabs>
        <w:ind w:left="1080" w:hanging="360"/>
        <w:rPr/>
      </w:pPr>
      <w:r w:rsidDel="00000000" w:rsidR="00000000" w:rsidRPr="00000000">
        <w:rPr>
          <w:rtl w:val="0"/>
        </w:rPr>
        <w:t xml:space="preserve">If unacceptable, repeat the vial. Continued unacceptability will require troubleshooting and service if necessary</w:t>
      </w:r>
    </w:p>
    <w:p w:rsidR="00000000" w:rsidDel="00000000" w:rsidP="00000000" w:rsidRDefault="00000000" w:rsidRPr="00000000" w14:paraId="0000003B">
      <w:pPr>
        <w:pStyle w:val="Heading3"/>
        <w:numPr>
          <w:ilvl w:val="2"/>
          <w:numId w:val="2"/>
        </w:numPr>
        <w:tabs>
          <w:tab w:val="left" w:leader="none" w:pos="7320"/>
        </w:tabs>
        <w:ind w:left="1080" w:hanging="360"/>
        <w:rPr/>
      </w:pPr>
      <w:r w:rsidDel="00000000" w:rsidR="00000000" w:rsidRPr="00000000">
        <w:rPr>
          <w:rtl w:val="0"/>
        </w:rPr>
        <w:t xml:space="preserve">If acceptable, move to next step</w:t>
      </w:r>
    </w:p>
    <w:p w:rsidR="00000000" w:rsidDel="00000000" w:rsidP="00000000" w:rsidRDefault="00000000" w:rsidRPr="00000000" w14:paraId="0000003C">
      <w:pPr>
        <w:pStyle w:val="Heading2"/>
        <w:numPr>
          <w:ilvl w:val="1"/>
          <w:numId w:val="2"/>
        </w:numPr>
        <w:tabs>
          <w:tab w:val="left" w:leader="none" w:pos="7320"/>
        </w:tabs>
        <w:ind w:left="720" w:hanging="360"/>
        <w:rPr/>
      </w:pPr>
      <w:r w:rsidDel="00000000" w:rsidR="00000000" w:rsidRPr="00000000">
        <w:rPr>
          <w:rtl w:val="0"/>
        </w:rPr>
        <w:t xml:space="preserve">Print Summary Report – label printout with vial number and lot number</w:t>
      </w:r>
    </w:p>
    <w:p w:rsidR="00000000" w:rsidDel="00000000" w:rsidP="00000000" w:rsidRDefault="00000000" w:rsidRPr="00000000" w14:paraId="0000003D">
      <w:pPr>
        <w:pStyle w:val="Heading2"/>
        <w:numPr>
          <w:ilvl w:val="1"/>
          <w:numId w:val="2"/>
        </w:numPr>
        <w:tabs>
          <w:tab w:val="left" w:leader="none" w:pos="7320"/>
        </w:tabs>
        <w:ind w:left="720" w:hanging="360"/>
        <w:rPr/>
      </w:pPr>
      <w:r w:rsidDel="00000000" w:rsidR="00000000" w:rsidRPr="00000000">
        <w:rPr>
          <w:rtl w:val="0"/>
        </w:rPr>
        <w:t xml:space="preserve">Select Clear Runs button, accept message</w:t>
      </w:r>
    </w:p>
    <w:p w:rsidR="00000000" w:rsidDel="00000000" w:rsidP="00000000" w:rsidRDefault="00000000" w:rsidRPr="00000000" w14:paraId="0000003E">
      <w:pPr>
        <w:pStyle w:val="Heading2"/>
        <w:numPr>
          <w:ilvl w:val="1"/>
          <w:numId w:val="2"/>
        </w:numPr>
        <w:tabs>
          <w:tab w:val="left" w:leader="none" w:pos="7320"/>
        </w:tabs>
        <w:ind w:left="720" w:hanging="360"/>
        <w:rPr/>
      </w:pPr>
      <w:r w:rsidDel="00000000" w:rsidR="00000000" w:rsidRPr="00000000">
        <w:rPr>
          <w:rtl w:val="0"/>
        </w:rPr>
        <w:t xml:space="preserve">Select Resume button on the lower tab</w:t>
      </w:r>
    </w:p>
    <w:p w:rsidR="00000000" w:rsidDel="00000000" w:rsidP="00000000" w:rsidRDefault="00000000" w:rsidRPr="00000000" w14:paraId="0000003F">
      <w:pPr>
        <w:pStyle w:val="Heading2"/>
        <w:numPr>
          <w:ilvl w:val="1"/>
          <w:numId w:val="2"/>
        </w:numPr>
        <w:tabs>
          <w:tab w:val="left" w:leader="none" w:pos="7320"/>
        </w:tabs>
        <w:ind w:left="720" w:hanging="360"/>
        <w:rPr/>
      </w:pPr>
      <w:r w:rsidDel="00000000" w:rsidR="00000000" w:rsidRPr="00000000">
        <w:rPr>
          <w:rtl w:val="0"/>
        </w:rPr>
        <w:t xml:space="preserve">Individually run remaining vials (1 – 11) using steps F-K</w:t>
      </w:r>
    </w:p>
    <w:p w:rsidR="00000000" w:rsidDel="00000000" w:rsidP="00000000" w:rsidRDefault="00000000" w:rsidRPr="00000000" w14:paraId="00000040">
      <w:pPr>
        <w:pStyle w:val="Heading2"/>
        <w:numPr>
          <w:ilvl w:val="1"/>
          <w:numId w:val="2"/>
        </w:numPr>
        <w:tabs>
          <w:tab w:val="left" w:leader="none" w:pos="7320"/>
        </w:tabs>
        <w:ind w:left="720" w:hanging="360"/>
        <w:rPr/>
      </w:pPr>
      <w:r w:rsidDel="00000000" w:rsidR="00000000" w:rsidRPr="00000000">
        <w:rPr>
          <w:rtl w:val="0"/>
        </w:rPr>
        <w:t xml:space="preserve">Vial 11 is used to clean the system. Run this vial 6 times but do not keep the printout.</w:t>
      </w:r>
    </w:p>
    <w:p w:rsidR="00000000" w:rsidDel="00000000" w:rsidP="00000000" w:rsidRDefault="00000000" w:rsidRPr="00000000" w14:paraId="00000041">
      <w:pPr>
        <w:pStyle w:val="Heading2"/>
        <w:numPr>
          <w:ilvl w:val="1"/>
          <w:numId w:val="2"/>
        </w:numPr>
        <w:tabs>
          <w:tab w:val="left" w:leader="none" w:pos="7320"/>
        </w:tabs>
        <w:ind w:left="720" w:hanging="360"/>
        <w:rPr/>
      </w:pPr>
      <w:r w:rsidDel="00000000" w:rsidR="00000000" w:rsidRPr="00000000">
        <w:rPr>
          <w:rtl w:val="0"/>
        </w:rPr>
        <w:t xml:space="preserve">After the last vial (11) is finished, select CLEAR RUNS. Click RESUME. Select CANCEL. Make sure OFFLINE is in the upper left corner of the screen. If it says REPEATIBILITY, go back and select CANCEL</w:t>
      </w:r>
    </w:p>
    <w:p w:rsidR="00000000" w:rsidDel="00000000" w:rsidP="00000000" w:rsidRDefault="00000000" w:rsidRPr="00000000" w14:paraId="00000042">
      <w:pPr>
        <w:pStyle w:val="Heading2"/>
        <w:numPr>
          <w:ilvl w:val="1"/>
          <w:numId w:val="2"/>
        </w:numPr>
        <w:tabs>
          <w:tab w:val="left" w:leader="none" w:pos="7320"/>
        </w:tabs>
        <w:ind w:left="720" w:hanging="360"/>
        <w:rPr/>
      </w:pPr>
      <w:r w:rsidDel="00000000" w:rsidR="00000000" w:rsidRPr="00000000">
        <w:rPr>
          <w:rtl w:val="0"/>
        </w:rPr>
        <w:t xml:space="preserve">Enable NRBC Module – See Step B</w:t>
      </w:r>
    </w:p>
    <w:p w:rsidR="00000000" w:rsidDel="00000000" w:rsidP="00000000" w:rsidRDefault="00000000" w:rsidRPr="00000000" w14:paraId="00000043">
      <w:pPr>
        <w:pStyle w:val="Heading2"/>
        <w:numPr>
          <w:ilvl w:val="1"/>
          <w:numId w:val="2"/>
        </w:numPr>
        <w:tabs>
          <w:tab w:val="left" w:leader="none" w:pos="7320"/>
        </w:tabs>
        <w:ind w:left="720" w:hanging="360"/>
        <w:rPr/>
      </w:pPr>
      <w:r w:rsidDel="00000000" w:rsidR="00000000" w:rsidRPr="00000000">
        <w:rPr>
          <w:rtl w:val="0"/>
        </w:rPr>
        <w:t xml:space="preserve">Submit all data to the hematology lead for submission to Beckman Coulter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numPr>
          <w:ilvl w:val="0"/>
          <w:numId w:val="2"/>
        </w:numPr>
        <w:tabs>
          <w:tab w:val="left" w:leader="none" w:pos="7320"/>
        </w:tabs>
        <w:ind w:left="360" w:hanging="360"/>
        <w:rPr/>
      </w:pPr>
      <w:r w:rsidDel="00000000" w:rsidR="00000000" w:rsidRPr="00000000">
        <w:rPr>
          <w:rtl w:val="0"/>
        </w:rPr>
        <w:t xml:space="preserve">Submission of data to beckman coulter by the hematology lead</w:t>
      </w:r>
    </w:p>
    <w:p w:rsidR="00000000" w:rsidDel="00000000" w:rsidP="00000000" w:rsidRDefault="00000000" w:rsidRPr="00000000" w14:paraId="00000046">
      <w:pPr>
        <w:pStyle w:val="Heading2"/>
        <w:numPr>
          <w:ilvl w:val="1"/>
          <w:numId w:val="2"/>
        </w:numPr>
        <w:tabs>
          <w:tab w:val="left" w:leader="none" w:pos="7320"/>
        </w:tabs>
        <w:ind w:left="720" w:hanging="360"/>
        <w:rPr/>
      </w:pPr>
      <w:r w:rsidDel="00000000" w:rsidR="00000000" w:rsidRPr="00000000">
        <w:rPr>
          <w:rtl w:val="0"/>
        </w:rPr>
        <w:t xml:space="preserve">Log on to Beckman IQAP Website: </w:t>
      </w:r>
      <w:hyperlink r:id="rId7">
        <w:r w:rsidDel="00000000" w:rsidR="00000000" w:rsidRPr="00000000">
          <w:rPr>
            <w:color w:val="0000ff"/>
            <w:u w:val="single"/>
            <w:rtl w:val="0"/>
          </w:rPr>
          <w:t xml:space="preserve">www.beckmancoulter.com/eiqap/</w:t>
        </w:r>
      </w:hyperlink>
      <w:r w:rsidDel="00000000" w:rsidR="00000000" w:rsidRPr="00000000">
        <w:rPr>
          <w:rtl w:val="0"/>
        </w:rPr>
      </w:r>
    </w:p>
    <w:p w:rsidR="00000000" w:rsidDel="00000000" w:rsidP="00000000" w:rsidRDefault="00000000" w:rsidRPr="00000000" w14:paraId="00000047">
      <w:pPr>
        <w:pStyle w:val="Heading3"/>
        <w:numPr>
          <w:ilvl w:val="2"/>
          <w:numId w:val="2"/>
        </w:numPr>
        <w:tabs>
          <w:tab w:val="left" w:leader="none" w:pos="7320"/>
        </w:tabs>
        <w:ind w:left="1080" w:hanging="360"/>
        <w:rPr/>
      </w:pPr>
      <w:r w:rsidDel="00000000" w:rsidR="00000000" w:rsidRPr="00000000">
        <w:rPr>
          <w:rtl w:val="0"/>
        </w:rPr>
        <w:t xml:space="preserve">Select Go To Hematology IQAP</w:t>
      </w:r>
    </w:p>
    <w:p w:rsidR="00000000" w:rsidDel="00000000" w:rsidP="00000000" w:rsidRDefault="00000000" w:rsidRPr="00000000" w14:paraId="00000048">
      <w:pPr>
        <w:pStyle w:val="Heading3"/>
        <w:numPr>
          <w:ilvl w:val="2"/>
          <w:numId w:val="2"/>
        </w:numPr>
        <w:tabs>
          <w:tab w:val="left" w:leader="none" w:pos="7320"/>
        </w:tabs>
        <w:ind w:left="1080" w:hanging="360"/>
        <w:rPr/>
      </w:pPr>
      <w:r w:rsidDel="00000000" w:rsidR="00000000" w:rsidRPr="00000000">
        <w:rPr>
          <w:rtl w:val="0"/>
        </w:rPr>
        <w:t xml:space="preserve">Log in</w:t>
      </w:r>
    </w:p>
    <w:p w:rsidR="00000000" w:rsidDel="00000000" w:rsidP="00000000" w:rsidRDefault="00000000" w:rsidRPr="00000000" w14:paraId="00000049">
      <w:pPr>
        <w:pStyle w:val="Heading2"/>
        <w:numPr>
          <w:ilvl w:val="1"/>
          <w:numId w:val="2"/>
        </w:numPr>
        <w:tabs>
          <w:tab w:val="left" w:leader="none" w:pos="7320"/>
        </w:tabs>
        <w:ind w:left="720" w:hanging="360"/>
        <w:rPr/>
      </w:pPr>
      <w:r w:rsidDel="00000000" w:rsidR="00000000" w:rsidRPr="00000000">
        <w:rPr>
          <w:rtl w:val="0"/>
        </w:rPr>
        <w:t xml:space="preserve">Create a new Lin-X Linearity Control data entry form</w:t>
      </w:r>
    </w:p>
    <w:p w:rsidR="00000000" w:rsidDel="00000000" w:rsidP="00000000" w:rsidRDefault="00000000" w:rsidRPr="00000000" w14:paraId="0000004A">
      <w:pPr>
        <w:pStyle w:val="Heading3"/>
        <w:numPr>
          <w:ilvl w:val="2"/>
          <w:numId w:val="2"/>
        </w:numPr>
        <w:tabs>
          <w:tab w:val="left" w:leader="none" w:pos="7320"/>
        </w:tabs>
        <w:ind w:left="1080" w:hanging="360"/>
        <w:rPr/>
      </w:pPr>
      <w:r w:rsidDel="00000000" w:rsidR="00000000" w:rsidRPr="00000000">
        <w:rPr>
          <w:rtl w:val="0"/>
        </w:rPr>
        <w:t xml:space="preserve">Enter data manually or upload data via USB import.</w:t>
      </w:r>
    </w:p>
    <w:p w:rsidR="00000000" w:rsidDel="00000000" w:rsidP="00000000" w:rsidRDefault="00000000" w:rsidRPr="00000000" w14:paraId="0000004B">
      <w:pPr>
        <w:pStyle w:val="Heading2"/>
        <w:numPr>
          <w:ilvl w:val="1"/>
          <w:numId w:val="2"/>
        </w:numPr>
        <w:tabs>
          <w:tab w:val="left" w:leader="none" w:pos="7320"/>
        </w:tabs>
        <w:ind w:left="720" w:hanging="360"/>
        <w:rPr/>
      </w:pPr>
      <w:r w:rsidDel="00000000" w:rsidR="00000000" w:rsidRPr="00000000">
        <w:rPr>
          <w:rtl w:val="0"/>
        </w:rPr>
        <w:t xml:space="preserve">Report will be ready within 24 hours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numPr>
          <w:ilvl w:val="0"/>
          <w:numId w:val="2"/>
        </w:numPr>
        <w:tabs>
          <w:tab w:val="left" w:leader="none" w:pos="7320"/>
        </w:tabs>
        <w:ind w:left="360" w:hanging="360"/>
        <w:rPr/>
      </w:pPr>
      <w:r w:rsidDel="00000000" w:rsidR="00000000" w:rsidRPr="00000000">
        <w:rPr>
          <w:rtl w:val="0"/>
        </w:rPr>
        <w:t xml:space="preserve">results </w:t>
      </w:r>
    </w:p>
    <w:p w:rsidR="00000000" w:rsidDel="00000000" w:rsidP="00000000" w:rsidRDefault="00000000" w:rsidRPr="00000000" w14:paraId="0000004E">
      <w:pPr>
        <w:pStyle w:val="Heading2"/>
        <w:tabs>
          <w:tab w:val="left" w:leader="none" w:pos="7320"/>
        </w:tabs>
        <w:ind w:left="720" w:hanging="360"/>
        <w:rPr/>
      </w:pPr>
      <w:r w:rsidDel="00000000" w:rsidR="00000000" w:rsidRPr="00000000">
        <w:rPr>
          <w:rtl w:val="0"/>
        </w:rPr>
        <w:t xml:space="preserve">Beckman Coulter will prepare tabular summary and graphic presentations of data. Retain copy for records.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numPr>
          <w:ilvl w:val="0"/>
          <w:numId w:val="2"/>
        </w:numPr>
        <w:tabs>
          <w:tab w:val="left" w:leader="none" w:pos="7320"/>
        </w:tabs>
        <w:ind w:left="360" w:hanging="360"/>
        <w:rPr/>
      </w:pPr>
      <w:r w:rsidDel="00000000" w:rsidR="00000000" w:rsidRPr="00000000">
        <w:rPr>
          <w:rtl w:val="0"/>
        </w:rPr>
        <w:t xml:space="preserve">LIMITATIONS:</w:t>
      </w:r>
    </w:p>
    <w:p w:rsidR="00000000" w:rsidDel="00000000" w:rsidP="00000000" w:rsidRDefault="00000000" w:rsidRPr="00000000" w14:paraId="00000051">
      <w:pPr>
        <w:pStyle w:val="Heading2"/>
        <w:tabs>
          <w:tab w:val="left" w:leader="none" w:pos="7320"/>
        </w:tabs>
        <w:ind w:left="720" w:hanging="360"/>
        <w:rPr/>
      </w:pPr>
      <w:r w:rsidDel="00000000" w:rsidR="00000000" w:rsidRPr="00000000">
        <w:rPr>
          <w:rtl w:val="0"/>
        </w:rPr>
        <w:t xml:space="preserve">Calibration and Linearity errors can be caused by:</w:t>
      </w:r>
    </w:p>
    <w:p w:rsidR="00000000" w:rsidDel="00000000" w:rsidP="00000000" w:rsidRDefault="00000000" w:rsidRPr="00000000" w14:paraId="00000052">
      <w:pPr>
        <w:pStyle w:val="Heading3"/>
        <w:numPr>
          <w:ilvl w:val="2"/>
          <w:numId w:val="2"/>
        </w:numPr>
        <w:tabs>
          <w:tab w:val="left" w:leader="none" w:pos="7320"/>
        </w:tabs>
        <w:ind w:left="1080" w:hanging="360"/>
        <w:rPr/>
      </w:pPr>
      <w:r w:rsidDel="00000000" w:rsidR="00000000" w:rsidRPr="00000000">
        <w:rPr>
          <w:rtl w:val="0"/>
        </w:rPr>
        <w:t xml:space="preserve">Inadequate mixing</w:t>
      </w:r>
    </w:p>
    <w:p w:rsidR="00000000" w:rsidDel="00000000" w:rsidP="00000000" w:rsidRDefault="00000000" w:rsidRPr="00000000" w14:paraId="00000053">
      <w:pPr>
        <w:pStyle w:val="Heading3"/>
        <w:numPr>
          <w:ilvl w:val="2"/>
          <w:numId w:val="2"/>
        </w:numPr>
        <w:tabs>
          <w:tab w:val="left" w:leader="none" w:pos="7320"/>
        </w:tabs>
        <w:ind w:left="1080" w:hanging="360"/>
        <w:rPr/>
      </w:pPr>
      <w:r w:rsidDel="00000000" w:rsidR="00000000" w:rsidRPr="00000000">
        <w:rPr>
          <w:rtl w:val="0"/>
        </w:rPr>
        <w:t xml:space="preserve">Excessive handling</w:t>
      </w:r>
    </w:p>
    <w:p w:rsidR="00000000" w:rsidDel="00000000" w:rsidP="00000000" w:rsidRDefault="00000000" w:rsidRPr="00000000" w14:paraId="00000054">
      <w:pPr>
        <w:pStyle w:val="Heading3"/>
        <w:numPr>
          <w:ilvl w:val="2"/>
          <w:numId w:val="2"/>
        </w:numPr>
        <w:tabs>
          <w:tab w:val="left" w:leader="none" w:pos="7320"/>
        </w:tabs>
        <w:ind w:left="1080" w:hanging="360"/>
        <w:rPr/>
      </w:pPr>
      <w:r w:rsidDel="00000000" w:rsidR="00000000" w:rsidRPr="00000000">
        <w:rPr>
          <w:rtl w:val="0"/>
        </w:rPr>
        <w:t xml:space="preserve">Exceeding time limits</w:t>
      </w:r>
    </w:p>
    <w:p w:rsidR="00000000" w:rsidDel="00000000" w:rsidP="00000000" w:rsidRDefault="00000000" w:rsidRPr="00000000" w14:paraId="00000055">
      <w:pPr>
        <w:pStyle w:val="Heading3"/>
        <w:numPr>
          <w:ilvl w:val="2"/>
          <w:numId w:val="2"/>
        </w:numPr>
        <w:tabs>
          <w:tab w:val="left" w:leader="none" w:pos="7320"/>
        </w:tabs>
        <w:ind w:left="1080" w:hanging="360"/>
        <w:rPr/>
      </w:pPr>
      <w:r w:rsidDel="00000000" w:rsidR="00000000" w:rsidRPr="00000000">
        <w:rPr>
          <w:rtl w:val="0"/>
        </w:rPr>
        <w:t xml:space="preserve">Failure to analyze sufficient number of samples</w:t>
      </w:r>
    </w:p>
    <w:p w:rsidR="00000000" w:rsidDel="00000000" w:rsidP="00000000" w:rsidRDefault="00000000" w:rsidRPr="00000000" w14:paraId="00000056">
      <w:pPr>
        <w:pStyle w:val="Heading3"/>
        <w:numPr>
          <w:ilvl w:val="2"/>
          <w:numId w:val="2"/>
        </w:numPr>
        <w:tabs>
          <w:tab w:val="left" w:leader="none" w:pos="7320"/>
        </w:tabs>
        <w:ind w:left="1080" w:hanging="360"/>
        <w:rPr/>
      </w:pPr>
      <w:r w:rsidDel="00000000" w:rsidR="00000000" w:rsidRPr="00000000">
        <w:rPr>
          <w:rtl w:val="0"/>
        </w:rPr>
        <w:t xml:space="preserve">Inadequate volume of reagents to complete test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1"/>
        <w:numPr>
          <w:ilvl w:val="0"/>
          <w:numId w:val="2"/>
        </w:numPr>
        <w:tabs>
          <w:tab w:val="left" w:leader="none" w:pos="7320"/>
        </w:tabs>
        <w:ind w:left="360" w:hanging="360"/>
        <w:rPr/>
      </w:pPr>
      <w:r w:rsidDel="00000000" w:rsidR="00000000" w:rsidRPr="00000000">
        <w:rPr>
          <w:rtl w:val="0"/>
        </w:rPr>
        <w:t xml:space="preserve">references: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UniCel® DxH 800 Coulter® Cellular Analysis System,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Use PN 629743AG (November 2010) System Manual.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UniCel® DxH 800 Coulter® Cellular Analysis System Training,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Module PN A69207AB.2 (February 2012) Professional Development.</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Beckman Coulter Technical Support. 2.0 Update Procedure Change. Hematology 6/25/14.</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Beckman Coulter Tech Tip: LIN-X (Linearity Control) July 2016</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Linearity Testing and Analysis on the DxH 800/600 </w:t>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0">
    <w:pPr>
      <w:tabs>
        <w:tab w:val="left" w:leader="none" w:pos="7320"/>
        <w:tab w:val="left" w:leader="none" w:pos="738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8"/>
        <w:szCs w:val="18"/>
        <w:rtl w:val="0"/>
      </w:rPr>
      <w:t xml:space="preserve">6/19, 6/23</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EE302F"/>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030E50"/>
    <w:pPr>
      <w:numPr>
        <w:numId w:val="2"/>
      </w:numPr>
      <w:tabs>
        <w:tab w:val="clear" w:pos="7320"/>
      </w:tabs>
      <w:spacing w:after="120"/>
      <w:outlineLvl w:val="0"/>
    </w:pPr>
    <w:rPr>
      <w:b w:val="1"/>
      <w:caps w:val="1"/>
    </w:rPr>
  </w:style>
  <w:style w:type="paragraph" w:styleId="Heading2">
    <w:name w:val="heading 2"/>
    <w:basedOn w:val="Normal"/>
    <w:link w:val="Heading2Char"/>
    <w:uiPriority w:val="2"/>
    <w:qFormat w:val="1"/>
    <w:rsid w:val="00EE302F"/>
    <w:pPr>
      <w:numPr>
        <w:ilvl w:val="1"/>
        <w:numId w:val="2"/>
      </w:numPr>
      <w:spacing w:after="120" w:before="120"/>
      <w:outlineLvl w:val="1"/>
    </w:pPr>
  </w:style>
  <w:style w:type="paragraph" w:styleId="Heading3">
    <w:name w:val="heading 3"/>
    <w:basedOn w:val="Normal"/>
    <w:link w:val="Heading3Char"/>
    <w:uiPriority w:val="4"/>
    <w:qFormat w:val="1"/>
    <w:rsid w:val="00EE302F"/>
    <w:pPr>
      <w:numPr>
        <w:ilvl w:val="2"/>
        <w:numId w:val="2"/>
      </w:numPr>
      <w:spacing w:after="120" w:before="120"/>
      <w:outlineLvl w:val="2"/>
    </w:pPr>
  </w:style>
  <w:style w:type="paragraph" w:styleId="Heading4">
    <w:name w:val="heading 4"/>
    <w:basedOn w:val="Normal"/>
    <w:link w:val="Heading4Char"/>
    <w:uiPriority w:val="6"/>
    <w:qFormat w:val="1"/>
    <w:rsid w:val="00EE302F"/>
    <w:pPr>
      <w:numPr>
        <w:ilvl w:val="3"/>
        <w:numId w:val="2"/>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EE302F"/>
    <w:pPr>
      <w:numPr>
        <w:ilvl w:val="4"/>
        <w:numId w:val="2"/>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EE302F"/>
    <w:pPr>
      <w:numPr>
        <w:ilvl w:val="5"/>
        <w:numId w:val="2"/>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EE302F"/>
    <w:pPr>
      <w:numPr>
        <w:ilvl w:val="6"/>
        <w:numId w:val="2"/>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2"/>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EE302F"/>
    <w:pPr>
      <w:numPr>
        <w:ilvl w:val="8"/>
        <w:numId w:val="1"/>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30E50"/>
    <w:rPr>
      <w:rFonts w:ascii="Arial" w:cs="Times New Roman" w:eastAsia="Times New Roman" w:hAnsi="Arial"/>
      <w:b w:val="1"/>
      <w:caps w:val="1"/>
      <w:szCs w:val="24"/>
    </w:rPr>
  </w:style>
  <w:style w:type="paragraph" w:styleId="Header">
    <w:name w:val="header"/>
    <w:basedOn w:val="Normal"/>
    <w:link w:val="HeaderChar"/>
    <w:qFormat w:val="1"/>
    <w:rsid w:val="00EE302F"/>
    <w:pPr>
      <w:tabs>
        <w:tab w:val="center" w:pos="4680"/>
        <w:tab w:val="right" w:pos="9360"/>
      </w:tabs>
    </w:pPr>
  </w:style>
  <w:style w:type="character" w:styleId="HeaderChar" w:customStyle="1">
    <w:name w:val="Header Char"/>
    <w:basedOn w:val="DefaultParagraphFont"/>
    <w:link w:val="Header"/>
    <w:uiPriority w:val="99"/>
    <w:rsid w:val="00EE302F"/>
    <w:rPr>
      <w:rFonts w:ascii="Arial" w:cs="Times New Roman" w:eastAsia="Times New Roman" w:hAnsi="Arial"/>
      <w:szCs w:val="24"/>
    </w:rPr>
  </w:style>
  <w:style w:type="paragraph" w:styleId="Title">
    <w:name w:val="Title"/>
    <w:basedOn w:val="Normal"/>
    <w:link w:val="TitleChar"/>
    <w:qFormat w:val="1"/>
    <w:rsid w:val="004843E9"/>
    <w:pPr>
      <w:tabs>
        <w:tab w:val="clear" w:pos="7320"/>
      </w:tabs>
      <w:ind w:left="0"/>
      <w:jc w:val="center"/>
    </w:pPr>
    <w:rPr>
      <w:b w:val="1"/>
    </w:rPr>
  </w:style>
  <w:style w:type="character" w:styleId="TitleChar" w:customStyle="1">
    <w:name w:val="Title Char"/>
    <w:basedOn w:val="DefaultParagraphFont"/>
    <w:link w:val="Title"/>
    <w:rsid w:val="004843E9"/>
    <w:rPr>
      <w:rFonts w:ascii="Arial" w:cs="Times New Roman" w:eastAsia="Times New Roman" w:hAnsi="Arial"/>
      <w:b w:val="1"/>
      <w:szCs w:val="24"/>
    </w:rPr>
  </w:style>
  <w:style w:type="paragraph" w:styleId="ListParagraph">
    <w:name w:val="List Paragraph"/>
    <w:basedOn w:val="Normal"/>
    <w:uiPriority w:val="99"/>
    <w:qFormat w:val="1"/>
    <w:rsid w:val="00EE302F"/>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EE302F"/>
    <w:rPr>
      <w:rFonts w:ascii="Arial" w:cs="Times New Roman" w:eastAsia="Times New Roman" w:hAnsi="Arial"/>
      <w:szCs w:val="24"/>
    </w:rPr>
  </w:style>
  <w:style w:type="character" w:styleId="Heading3Char" w:customStyle="1">
    <w:name w:val="Heading 3 Char"/>
    <w:basedOn w:val="DefaultParagraphFont"/>
    <w:link w:val="Heading3"/>
    <w:uiPriority w:val="4"/>
    <w:rsid w:val="00EE302F"/>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EE302F"/>
    <w:rPr>
      <w:b w:val="1"/>
      <w:bCs w:val="1"/>
    </w:rPr>
  </w:style>
  <w:style w:type="character" w:styleId="Heading4Char" w:customStyle="1">
    <w:name w:val="Heading 4 Char"/>
    <w:basedOn w:val="DefaultParagraphFont"/>
    <w:link w:val="Heading4"/>
    <w:uiPriority w:val="6"/>
    <w:rsid w:val="00EE302F"/>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EE302F"/>
    <w:rPr>
      <w:rFonts w:ascii="Arial" w:hAnsi="Arial" w:cstheme="majorBidi" w:eastAsiaTheme="majorEastAsia"/>
      <w:szCs w:val="24"/>
    </w:rPr>
  </w:style>
  <w:style w:type="character" w:styleId="Heading5Char" w:customStyle="1">
    <w:name w:val="Heading 5 Char"/>
    <w:basedOn w:val="DefaultParagraphFont"/>
    <w:link w:val="Heading5"/>
    <w:uiPriority w:val="8"/>
    <w:rsid w:val="00EE302F"/>
    <w:rPr>
      <w:rFonts w:ascii="Arial" w:hAnsi="Arial" w:cstheme="majorBidi" w:eastAsiaTheme="majorEastAsia"/>
      <w:szCs w:val="24"/>
    </w:rPr>
  </w:style>
  <w:style w:type="character" w:styleId="Heading7Char" w:customStyle="1">
    <w:name w:val="Heading 7 Char"/>
    <w:basedOn w:val="DefaultParagraphFont"/>
    <w:link w:val="Heading7"/>
    <w:uiPriority w:val="12"/>
    <w:rsid w:val="00EE302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404EF9"/>
    <w:pPr>
      <w:ind w:left="720"/>
    </w:pPr>
  </w:style>
  <w:style w:type="character" w:styleId="BodyText2Char" w:customStyle="1">
    <w:name w:val="Body Text 2 Char"/>
    <w:basedOn w:val="DefaultParagraphFont"/>
    <w:link w:val="BodyText2"/>
    <w:uiPriority w:val="3"/>
    <w:rsid w:val="003F11F2"/>
    <w:rPr>
      <w:rFonts w:ascii="Arial" w:cs="Times New Roman" w:eastAsia="Times New Roman" w:hAnsi="Arial"/>
      <w:szCs w:val="24"/>
    </w:rPr>
  </w:style>
  <w:style w:type="paragraph" w:styleId="BodyText3">
    <w:name w:val="Body Text 3"/>
    <w:basedOn w:val="Normal"/>
    <w:link w:val="BodyText3Char"/>
    <w:uiPriority w:val="5"/>
    <w:rsid w:val="00404EF9"/>
    <w:pPr>
      <w:spacing w:after="120"/>
      <w:ind w:left="1080"/>
    </w:pPr>
    <w:rPr>
      <w:szCs w:val="16"/>
    </w:rPr>
  </w:style>
  <w:style w:type="character" w:styleId="BodyText3Char" w:customStyle="1">
    <w:name w:val="Body Text 3 Char"/>
    <w:basedOn w:val="DefaultParagraphFont"/>
    <w:link w:val="BodyText3"/>
    <w:uiPriority w:val="5"/>
    <w:rsid w:val="00404EF9"/>
    <w:rPr>
      <w:rFonts w:ascii="Arial" w:cs="Times New Roman" w:eastAsia="Times New Roman" w:hAnsi="Arial"/>
      <w:szCs w:val="16"/>
    </w:rPr>
  </w:style>
  <w:style w:type="paragraph" w:styleId="BodyText4" w:customStyle="1">
    <w:name w:val="Body Text 4"/>
    <w:basedOn w:val="Normal"/>
    <w:uiPriority w:val="7"/>
    <w:qFormat w:val="1"/>
    <w:rsid w:val="00EE302F"/>
    <w:pPr>
      <w:spacing w:after="120"/>
      <w:ind w:left="1440"/>
    </w:pPr>
  </w:style>
  <w:style w:type="paragraph" w:styleId="BodyText5" w:customStyle="1">
    <w:name w:val="Body Text 5"/>
    <w:basedOn w:val="Normal"/>
    <w:uiPriority w:val="9"/>
    <w:qFormat w:val="1"/>
    <w:rsid w:val="00EE302F"/>
    <w:pPr>
      <w:spacing w:after="120"/>
      <w:ind w:left="1800"/>
    </w:pPr>
  </w:style>
  <w:style w:type="paragraph" w:styleId="BodyText6" w:customStyle="1">
    <w:name w:val="Body Text 6"/>
    <w:basedOn w:val="Normal"/>
    <w:uiPriority w:val="11"/>
    <w:qFormat w:val="1"/>
    <w:rsid w:val="00EE302F"/>
    <w:pPr>
      <w:spacing w:after="120"/>
      <w:ind w:left="2160"/>
    </w:pPr>
  </w:style>
  <w:style w:type="paragraph" w:styleId="BodyText7" w:customStyle="1">
    <w:name w:val="Body Text 7"/>
    <w:basedOn w:val="Heading7"/>
    <w:uiPriority w:val="13"/>
    <w:qFormat w:val="1"/>
    <w:rsid w:val="00EE302F"/>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EE302F"/>
    <w:rPr>
      <w:rFonts w:ascii="Arial" w:cs="Times New Roman" w:eastAsia="Times New Roman" w:hAnsi="Arial"/>
      <w:szCs w:val="24"/>
    </w:rPr>
  </w:style>
  <w:style w:type="character" w:styleId="SubtleReference">
    <w:name w:val="Subtle Reference"/>
    <w:basedOn w:val="DefaultParagraphFont"/>
    <w:uiPriority w:val="31"/>
    <w:semiHidden w:val="1"/>
    <w:qFormat w:val="1"/>
    <w:rsid w:val="00EE302F"/>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EE302F"/>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EE302F"/>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6D5207"/>
    <w:rPr>
      <w:rFonts w:ascii="Arial" w:hAnsi="Arial"/>
      <w:sz w:val="22"/>
    </w:rPr>
  </w:style>
  <w:style w:type="character" w:styleId="ZF1" w:customStyle="1">
    <w:name w:val="ZF1"/>
    <w:basedOn w:val="DefaultParagraphFont"/>
    <w:uiPriority w:val="1"/>
    <w:rsid w:val="006D5207"/>
    <w:rPr>
      <w:rFonts w:ascii="Arial" w:hAnsi="Arial"/>
      <w:sz w:val="20"/>
    </w:rPr>
  </w:style>
  <w:style w:type="character" w:styleId="ZF2" w:customStyle="1">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val="1"/>
    <w:unhideWhenUsed w:val="1"/>
    <w:rsid w:val="00AA5BE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BE8"/>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eckmancoulter.com/eiqa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SKbE6+Izxqrel1EzonWQxLa6w==">CgMxLjAyCGguZ2pkZ3hzOAByITF2Z3E0TENQd3Q2OVBtSEdKRjdkMElpLUdMeGdBTU16Rg==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2023-06-28T00:44:00Z</dcterms:created>
</cp:coreProperties>
</file>