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BE" w:rsidRDefault="00A45393">
      <w:pPr>
        <w:pStyle w:val="Title"/>
        <w:tabs>
          <w:tab w:val="left" w:pos="7320"/>
        </w:tabs>
      </w:pPr>
      <w:r>
        <w:br/>
        <w:t>Dignity Health Central Coast Service Area</w:t>
      </w:r>
    </w:p>
    <w:p w:rsidR="006050BE" w:rsidRDefault="006050BE">
      <w:pPr>
        <w:pStyle w:val="Title"/>
        <w:tabs>
          <w:tab w:val="left" w:pos="7320"/>
        </w:tabs>
      </w:pPr>
    </w:p>
    <w:p w:rsidR="006050BE" w:rsidRDefault="006050BE">
      <w:pPr>
        <w:pStyle w:val="Title"/>
        <w:tabs>
          <w:tab w:val="left" w:pos="7320"/>
        </w:tabs>
      </w:pPr>
    </w:p>
    <w:p w:rsidR="006050BE" w:rsidRDefault="00A45393">
      <w:pPr>
        <w:spacing w:line="360" w:lineRule="auto"/>
        <w:ind w:left="0"/>
      </w:pPr>
      <w:r>
        <w:rPr>
          <w:b/>
        </w:rPr>
        <w:t>SUBJECT</w:t>
      </w:r>
      <w:r>
        <w:t xml:space="preserve">: </w:t>
      </w:r>
      <w:r>
        <w:rPr>
          <w:rFonts w:eastAsia="Arial" w:cs="Arial"/>
          <w:szCs w:val="22"/>
        </w:rPr>
        <w:t>iQ200 Dilutions</w:t>
      </w:r>
    </w:p>
    <w:p w:rsidR="006050BE" w:rsidRDefault="00A45393">
      <w:pPr>
        <w:ind w:left="0"/>
      </w:pPr>
      <w:r>
        <w:rPr>
          <w:rFonts w:eastAsia="Arial" w:cs="Arial"/>
          <w:b/>
        </w:rPr>
        <w:t>ORIGIN:</w:t>
      </w:r>
      <w:r>
        <w:t xml:space="preserve"> </w:t>
      </w:r>
      <w:r>
        <w:rPr>
          <w:rFonts w:eastAsia="Arial" w:cs="Arial"/>
          <w:szCs w:val="22"/>
        </w:rPr>
        <w:t>Clinical Laboratory/Urinalysis</w:t>
      </w:r>
      <w:r>
        <w:tab/>
      </w:r>
    </w:p>
    <w:p w:rsidR="006050BE" w:rsidRDefault="006050BE">
      <w:pPr>
        <w:pStyle w:val="Title"/>
        <w:tabs>
          <w:tab w:val="left" w:pos="7320"/>
        </w:tabs>
      </w:pPr>
    </w:p>
    <w:tbl>
      <w:tblPr>
        <w:tblStyle w:val="a"/>
        <w:tblW w:w="97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4"/>
        <w:gridCol w:w="1349"/>
        <w:gridCol w:w="2604"/>
        <w:gridCol w:w="4690"/>
      </w:tblGrid>
      <w:tr w:rsidR="006050BE">
        <w:trPr>
          <w:trHeight w:val="324"/>
        </w:trPr>
        <w:tc>
          <w:tcPr>
            <w:tcW w:w="9787" w:type="dxa"/>
            <w:gridSpan w:val="4"/>
            <w:tcBorders>
              <w:bottom w:val="single" w:sz="4" w:space="0" w:color="000000"/>
            </w:tcBorders>
          </w:tcPr>
          <w:p w:rsidR="006050BE" w:rsidRDefault="00A45393">
            <w:pPr>
              <w:ind w:left="0"/>
              <w:rPr>
                <w:b/>
                <w:sz w:val="18"/>
                <w:szCs w:val="18"/>
              </w:rPr>
            </w:pPr>
            <w:r>
              <w:rPr>
                <w:b/>
                <w:sz w:val="18"/>
                <w:szCs w:val="18"/>
              </w:rPr>
              <w:t>Document Category:</w:t>
            </w:r>
          </w:p>
        </w:tc>
      </w:tr>
      <w:tr w:rsidR="006050BE">
        <w:trPr>
          <w:trHeight w:val="206"/>
        </w:trPr>
        <w:tc>
          <w:tcPr>
            <w:tcW w:w="1144" w:type="dxa"/>
            <w:tcBorders>
              <w:top w:val="single" w:sz="4" w:space="0" w:color="000000"/>
              <w:bottom w:val="single" w:sz="4" w:space="0" w:color="000000"/>
              <w:right w:val="nil"/>
            </w:tcBorders>
          </w:tcPr>
          <w:p w:rsidR="006050BE" w:rsidRDefault="00A45393">
            <w:pPr>
              <w:ind w:left="0"/>
              <w:rPr>
                <w:b/>
                <w:sz w:val="18"/>
                <w:szCs w:val="18"/>
              </w:rPr>
            </w:pPr>
            <w:r>
              <w:rPr>
                <w:rFonts w:ascii="MS Gothic" w:eastAsia="MS Gothic" w:hAnsi="MS Gothic" w:cs="MS Gothic"/>
                <w:szCs w:val="22"/>
              </w:rPr>
              <w:t>☒</w:t>
            </w:r>
            <w:r>
              <w:rPr>
                <w:sz w:val="18"/>
                <w:szCs w:val="18"/>
              </w:rPr>
              <w:t xml:space="preserve">  </w:t>
            </w:r>
            <w:r>
              <w:rPr>
                <w:rFonts w:eastAsia="Arial" w:cs="Arial"/>
                <w:sz w:val="18"/>
                <w:szCs w:val="18"/>
              </w:rPr>
              <w:t>Policy</w:t>
            </w:r>
            <w:r>
              <w:rPr>
                <w:b/>
                <w:sz w:val="18"/>
                <w:szCs w:val="18"/>
              </w:rPr>
              <w:t xml:space="preserve"> </w:t>
            </w:r>
          </w:p>
        </w:tc>
        <w:tc>
          <w:tcPr>
            <w:tcW w:w="1349" w:type="dxa"/>
            <w:tcBorders>
              <w:top w:val="single" w:sz="4" w:space="0" w:color="000000"/>
              <w:left w:val="nil"/>
              <w:bottom w:val="single" w:sz="4" w:space="0" w:color="000000"/>
              <w:right w:val="nil"/>
            </w:tcBorders>
          </w:tcPr>
          <w:p w:rsidR="006050BE" w:rsidRDefault="00A45393">
            <w:pPr>
              <w:ind w:left="0"/>
              <w:rPr>
                <w:sz w:val="18"/>
                <w:szCs w:val="18"/>
              </w:rPr>
            </w:pPr>
            <w:r>
              <w:rPr>
                <w:rFonts w:ascii="MS Gothic" w:eastAsia="MS Gothic" w:hAnsi="MS Gothic" w:cs="MS Gothic"/>
                <w:szCs w:val="22"/>
              </w:rPr>
              <w:t>☒</w:t>
            </w:r>
            <w:r>
              <w:rPr>
                <w:b/>
              </w:rPr>
              <w:t xml:space="preserve"> </w:t>
            </w:r>
            <w:r>
              <w:rPr>
                <w:rFonts w:eastAsia="Arial" w:cs="Arial"/>
                <w:sz w:val="18"/>
                <w:szCs w:val="18"/>
              </w:rPr>
              <w:t>Procedure</w:t>
            </w:r>
            <w:r>
              <w:rPr>
                <w:b/>
                <w:sz w:val="18"/>
                <w:szCs w:val="18"/>
              </w:rPr>
              <w:t xml:space="preserve">   </w:t>
            </w:r>
          </w:p>
        </w:tc>
        <w:tc>
          <w:tcPr>
            <w:tcW w:w="2604" w:type="dxa"/>
            <w:tcBorders>
              <w:top w:val="single" w:sz="4" w:space="0" w:color="000000"/>
              <w:left w:val="nil"/>
              <w:bottom w:val="single" w:sz="4" w:space="0" w:color="000000"/>
              <w:right w:val="nil"/>
            </w:tcBorders>
          </w:tcPr>
          <w:p w:rsidR="006050BE" w:rsidRDefault="00A45393">
            <w:pPr>
              <w:ind w:left="0"/>
              <w:rPr>
                <w:sz w:val="18"/>
                <w:szCs w:val="18"/>
              </w:rPr>
            </w:pPr>
            <w:r>
              <w:rPr>
                <w:rFonts w:ascii="MS Gothic" w:eastAsia="MS Gothic" w:hAnsi="MS Gothic" w:cs="MS Gothic"/>
                <w:szCs w:val="22"/>
              </w:rPr>
              <w:t>☐</w:t>
            </w:r>
            <w:r>
              <w:rPr>
                <w:b/>
                <w:sz w:val="18"/>
                <w:szCs w:val="18"/>
              </w:rPr>
              <w:t xml:space="preserve">  </w:t>
            </w:r>
            <w:r>
              <w:rPr>
                <w:rFonts w:eastAsia="Arial" w:cs="Arial"/>
                <w:sz w:val="18"/>
                <w:szCs w:val="18"/>
              </w:rPr>
              <w:t>Standardized Procedure</w:t>
            </w:r>
          </w:p>
        </w:tc>
        <w:tc>
          <w:tcPr>
            <w:tcW w:w="4690" w:type="dxa"/>
            <w:tcBorders>
              <w:top w:val="single" w:sz="4" w:space="0" w:color="000000"/>
              <w:left w:val="nil"/>
              <w:bottom w:val="single" w:sz="4" w:space="0" w:color="000000"/>
            </w:tcBorders>
          </w:tcPr>
          <w:p w:rsidR="006050BE" w:rsidRDefault="00A45393">
            <w:pPr>
              <w:ind w:left="0"/>
              <w:rPr>
                <w:b/>
                <w:sz w:val="18"/>
                <w:szCs w:val="18"/>
              </w:rPr>
            </w:pPr>
            <w:r>
              <w:rPr>
                <w:rFonts w:ascii="MS Gothic" w:eastAsia="MS Gothic" w:hAnsi="MS Gothic" w:cs="MS Gothic"/>
                <w:szCs w:val="22"/>
              </w:rPr>
              <w:t>☐</w:t>
            </w:r>
            <w:r>
              <w:rPr>
                <w:b/>
                <w:sz w:val="18"/>
                <w:szCs w:val="18"/>
              </w:rPr>
              <w:t xml:space="preserve"> </w:t>
            </w:r>
            <w:r>
              <w:rPr>
                <w:rFonts w:eastAsia="Arial" w:cs="Arial"/>
                <w:sz w:val="18"/>
                <w:szCs w:val="18"/>
              </w:rPr>
              <w:t>Other:</w:t>
            </w:r>
            <w:r>
              <w:rPr>
                <w:b/>
                <w:sz w:val="18"/>
                <w:szCs w:val="18"/>
              </w:rPr>
              <w:t xml:space="preserve"> </w:t>
            </w:r>
            <w:r>
              <w:t xml:space="preserve"> </w:t>
            </w:r>
            <w:r>
              <w:rPr>
                <w:b/>
                <w:sz w:val="18"/>
                <w:szCs w:val="18"/>
              </w:rPr>
              <w:t xml:space="preserve">  </w:t>
            </w:r>
          </w:p>
        </w:tc>
      </w:tr>
    </w:tbl>
    <w:p w:rsidR="006050BE" w:rsidRDefault="006050BE"/>
    <w:tbl>
      <w:tblPr>
        <w:tblStyle w:val="a0"/>
        <w:tblW w:w="97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330"/>
        <w:gridCol w:w="3060"/>
      </w:tblGrid>
      <w:tr w:rsidR="006050BE">
        <w:trPr>
          <w:trHeight w:val="324"/>
        </w:trPr>
        <w:tc>
          <w:tcPr>
            <w:tcW w:w="9787" w:type="dxa"/>
            <w:gridSpan w:val="3"/>
            <w:tcBorders>
              <w:bottom w:val="single" w:sz="4" w:space="0" w:color="000000"/>
            </w:tcBorders>
          </w:tcPr>
          <w:p w:rsidR="006050BE" w:rsidRDefault="00A45393">
            <w:pPr>
              <w:ind w:left="0"/>
              <w:rPr>
                <w:b/>
                <w:sz w:val="18"/>
                <w:szCs w:val="18"/>
              </w:rPr>
            </w:pPr>
            <w:r>
              <w:rPr>
                <w:b/>
                <w:sz w:val="18"/>
                <w:szCs w:val="18"/>
              </w:rPr>
              <w:t>Applies to:</w:t>
            </w:r>
          </w:p>
        </w:tc>
      </w:tr>
      <w:tr w:rsidR="006050BE">
        <w:trPr>
          <w:trHeight w:val="575"/>
        </w:trPr>
        <w:tc>
          <w:tcPr>
            <w:tcW w:w="3397" w:type="dxa"/>
            <w:tcBorders>
              <w:top w:val="single" w:sz="4" w:space="0" w:color="000000"/>
              <w:bottom w:val="single" w:sz="4" w:space="0" w:color="000000"/>
              <w:right w:val="nil"/>
            </w:tcBorders>
          </w:tcPr>
          <w:p w:rsidR="006050BE" w:rsidRDefault="00A45393">
            <w:pPr>
              <w:ind w:left="0"/>
              <w:rPr>
                <w:b/>
                <w:sz w:val="18"/>
                <w:szCs w:val="18"/>
              </w:rPr>
            </w:pPr>
            <w:r>
              <w:rPr>
                <w:rFonts w:ascii="MS Gothic" w:eastAsia="MS Gothic" w:hAnsi="MS Gothic" w:cs="MS Gothic"/>
                <w:szCs w:val="22"/>
              </w:rPr>
              <w:t>☐</w:t>
            </w:r>
            <w:r>
              <w:rPr>
                <w:sz w:val="18"/>
                <w:szCs w:val="18"/>
              </w:rPr>
              <w:t xml:space="preserve">  </w:t>
            </w:r>
            <w:r>
              <w:rPr>
                <w:color w:val="000000"/>
                <w:sz w:val="18"/>
                <w:szCs w:val="18"/>
              </w:rPr>
              <w:t>Santa Maria Campus,</w:t>
            </w:r>
            <w:r>
              <w:rPr>
                <w:b/>
                <w:sz w:val="18"/>
                <w:szCs w:val="18"/>
              </w:rPr>
              <w:t xml:space="preserve"> </w:t>
            </w:r>
          </w:p>
          <w:p w:rsidR="006050BE" w:rsidRDefault="00A45393">
            <w:pPr>
              <w:ind w:left="324"/>
              <w:rPr>
                <w:b/>
                <w:sz w:val="18"/>
                <w:szCs w:val="18"/>
              </w:rPr>
            </w:pPr>
            <w:r>
              <w:rPr>
                <w:rFonts w:eastAsia="Arial" w:cs="Arial"/>
                <w:sz w:val="18"/>
                <w:szCs w:val="18"/>
              </w:rPr>
              <w:t>Marian Regional Medical Center</w:t>
            </w:r>
          </w:p>
        </w:tc>
        <w:tc>
          <w:tcPr>
            <w:tcW w:w="3330" w:type="dxa"/>
            <w:tcBorders>
              <w:top w:val="single" w:sz="4" w:space="0" w:color="000000"/>
              <w:left w:val="nil"/>
              <w:bottom w:val="single" w:sz="4" w:space="0" w:color="000000"/>
              <w:right w:val="nil"/>
            </w:tcBorders>
          </w:tcPr>
          <w:p w:rsidR="006050BE" w:rsidRDefault="00A45393">
            <w:pPr>
              <w:ind w:left="0"/>
              <w:rPr>
                <w:sz w:val="18"/>
                <w:szCs w:val="18"/>
              </w:rPr>
            </w:pPr>
            <w:r>
              <w:rPr>
                <w:rFonts w:ascii="MS Gothic" w:eastAsia="MS Gothic" w:hAnsi="MS Gothic" w:cs="MS Gothic"/>
                <w:szCs w:val="22"/>
              </w:rPr>
              <w:t>☐</w:t>
            </w:r>
            <w:r>
              <w:rPr>
                <w:b/>
                <w:sz w:val="18"/>
                <w:szCs w:val="18"/>
              </w:rPr>
              <w:t xml:space="preserve">  </w:t>
            </w:r>
            <w:r>
              <w:rPr>
                <w:sz w:val="18"/>
                <w:szCs w:val="18"/>
              </w:rPr>
              <w:t>Arroyo Grande Campus,</w:t>
            </w:r>
            <w:r>
              <w:rPr>
                <w:b/>
                <w:sz w:val="18"/>
                <w:szCs w:val="18"/>
              </w:rPr>
              <w:t xml:space="preserve">  </w:t>
            </w:r>
          </w:p>
          <w:p w:rsidR="006050BE" w:rsidRDefault="00A45393">
            <w:pPr>
              <w:ind w:left="324"/>
              <w:rPr>
                <w:b/>
                <w:sz w:val="18"/>
                <w:szCs w:val="18"/>
              </w:rPr>
            </w:pPr>
            <w:r>
              <w:rPr>
                <w:rFonts w:eastAsia="Arial" w:cs="Arial"/>
                <w:sz w:val="18"/>
                <w:szCs w:val="18"/>
              </w:rPr>
              <w:t>Marian Regional Medical Center</w:t>
            </w:r>
          </w:p>
        </w:tc>
        <w:tc>
          <w:tcPr>
            <w:tcW w:w="3060" w:type="dxa"/>
            <w:tcBorders>
              <w:top w:val="single" w:sz="4" w:space="0" w:color="000000"/>
              <w:left w:val="nil"/>
              <w:bottom w:val="single" w:sz="4" w:space="0" w:color="000000"/>
            </w:tcBorders>
          </w:tcPr>
          <w:p w:rsidR="006050BE" w:rsidRDefault="00A45393">
            <w:pPr>
              <w:ind w:left="0"/>
              <w:rPr>
                <w:sz w:val="18"/>
                <w:szCs w:val="18"/>
              </w:rPr>
            </w:pPr>
            <w:r>
              <w:rPr>
                <w:rFonts w:ascii="MS Gothic" w:eastAsia="MS Gothic" w:hAnsi="MS Gothic" w:cs="MS Gothic"/>
                <w:szCs w:val="22"/>
              </w:rPr>
              <w:t>☒</w:t>
            </w:r>
            <w:r>
              <w:rPr>
                <w:b/>
                <w:sz w:val="18"/>
                <w:szCs w:val="18"/>
              </w:rPr>
              <w:t xml:space="preserve">  </w:t>
            </w:r>
            <w:r>
              <w:rPr>
                <w:rFonts w:eastAsia="Arial" w:cs="Arial"/>
                <w:sz w:val="18"/>
                <w:szCs w:val="18"/>
              </w:rPr>
              <w:t>French Hospital Medical Center</w:t>
            </w:r>
          </w:p>
        </w:tc>
      </w:tr>
      <w:tr w:rsidR="006050BE">
        <w:trPr>
          <w:trHeight w:val="431"/>
        </w:trPr>
        <w:tc>
          <w:tcPr>
            <w:tcW w:w="3397" w:type="dxa"/>
            <w:tcBorders>
              <w:top w:val="nil"/>
              <w:right w:val="nil"/>
            </w:tcBorders>
          </w:tcPr>
          <w:p w:rsidR="006050BE" w:rsidRDefault="00A45393">
            <w:pPr>
              <w:ind w:left="0"/>
              <w:rPr>
                <w:b/>
                <w:sz w:val="18"/>
                <w:szCs w:val="18"/>
              </w:rPr>
            </w:pPr>
            <w:r>
              <w:rPr>
                <w:rFonts w:ascii="MS Gothic" w:eastAsia="MS Gothic" w:hAnsi="MS Gothic" w:cs="MS Gothic"/>
                <w:szCs w:val="22"/>
              </w:rPr>
              <w:t>☐</w:t>
            </w:r>
            <w:r>
              <w:rPr>
                <w:b/>
                <w:sz w:val="18"/>
                <w:szCs w:val="18"/>
              </w:rPr>
              <w:t xml:space="preserve">  </w:t>
            </w:r>
            <w:r>
              <w:rPr>
                <w:rFonts w:eastAsia="Arial" w:cs="Arial"/>
                <w:sz w:val="18"/>
                <w:szCs w:val="18"/>
              </w:rPr>
              <w:t>St. John’s Pleasant Valley Hospital</w:t>
            </w:r>
          </w:p>
        </w:tc>
        <w:tc>
          <w:tcPr>
            <w:tcW w:w="6390" w:type="dxa"/>
            <w:gridSpan w:val="2"/>
            <w:tcBorders>
              <w:top w:val="nil"/>
              <w:left w:val="nil"/>
            </w:tcBorders>
          </w:tcPr>
          <w:p w:rsidR="006050BE" w:rsidRDefault="00A45393">
            <w:pPr>
              <w:ind w:left="0"/>
              <w:rPr>
                <w:sz w:val="18"/>
                <w:szCs w:val="18"/>
              </w:rPr>
            </w:pPr>
            <w:r>
              <w:rPr>
                <w:rFonts w:ascii="MS Gothic" w:eastAsia="MS Gothic" w:hAnsi="MS Gothic" w:cs="MS Gothic"/>
                <w:szCs w:val="22"/>
              </w:rPr>
              <w:t>☐</w:t>
            </w:r>
            <w:r>
              <w:rPr>
                <w:b/>
                <w:sz w:val="18"/>
                <w:szCs w:val="18"/>
              </w:rPr>
              <w:t xml:space="preserve">  </w:t>
            </w:r>
            <w:r>
              <w:rPr>
                <w:rFonts w:eastAsia="Arial" w:cs="Arial"/>
                <w:sz w:val="18"/>
                <w:szCs w:val="18"/>
              </w:rPr>
              <w:t>St. John’s Regional Medical Center</w:t>
            </w:r>
          </w:p>
        </w:tc>
      </w:tr>
    </w:tbl>
    <w:p w:rsidR="006050BE" w:rsidRDefault="006050BE"/>
    <w:p w:rsidR="006050BE" w:rsidRDefault="00A45393">
      <w:pPr>
        <w:pStyle w:val="Heading1"/>
        <w:numPr>
          <w:ilvl w:val="0"/>
          <w:numId w:val="4"/>
        </w:numPr>
        <w:tabs>
          <w:tab w:val="left" w:pos="7320"/>
        </w:tabs>
      </w:pPr>
      <w:r>
        <w:t>purpose:</w:t>
      </w:r>
    </w:p>
    <w:p w:rsidR="006050BE" w:rsidRDefault="00A45393">
      <w:pPr>
        <w:pBdr>
          <w:top w:val="nil"/>
          <w:left w:val="nil"/>
          <w:bottom w:val="nil"/>
          <w:right w:val="nil"/>
          <w:between w:val="nil"/>
        </w:pBdr>
        <w:spacing w:before="120" w:after="120"/>
        <w:rPr>
          <w:rFonts w:eastAsia="Arial" w:cs="Arial"/>
          <w:color w:val="000000"/>
          <w:szCs w:val="22"/>
        </w:rPr>
      </w:pPr>
      <w:r>
        <w:rPr>
          <w:rFonts w:eastAsia="Arial" w:cs="Arial"/>
          <w:color w:val="000000"/>
          <w:szCs w:val="22"/>
        </w:rPr>
        <w:t>To explain how to dilute grossly bloody or heavy amorphous specimens on the iQ200 for microscopic analysis.</w:t>
      </w:r>
    </w:p>
    <w:p w:rsidR="006050BE" w:rsidRDefault="006050BE">
      <w:pPr>
        <w:pBdr>
          <w:top w:val="nil"/>
          <w:left w:val="nil"/>
          <w:bottom w:val="nil"/>
          <w:right w:val="nil"/>
          <w:between w:val="nil"/>
        </w:pBdr>
        <w:spacing w:before="120" w:after="120"/>
        <w:rPr>
          <w:rFonts w:eastAsia="Arial" w:cs="Arial"/>
          <w:color w:val="000000"/>
          <w:szCs w:val="22"/>
        </w:rPr>
      </w:pPr>
    </w:p>
    <w:p w:rsidR="006050BE" w:rsidRDefault="00A45393">
      <w:pPr>
        <w:pStyle w:val="Heading1"/>
        <w:numPr>
          <w:ilvl w:val="0"/>
          <w:numId w:val="4"/>
        </w:numPr>
        <w:tabs>
          <w:tab w:val="left" w:pos="7320"/>
        </w:tabs>
      </w:pPr>
      <w:r>
        <w:t>REAGENTS/SUPPLIES:</w:t>
      </w:r>
    </w:p>
    <w:p w:rsidR="006050BE" w:rsidRDefault="00A45393">
      <w:pPr>
        <w:pBdr>
          <w:top w:val="nil"/>
          <w:left w:val="nil"/>
          <w:bottom w:val="nil"/>
          <w:right w:val="nil"/>
          <w:between w:val="nil"/>
        </w:pBdr>
        <w:spacing w:before="120" w:after="120"/>
        <w:rPr>
          <w:rFonts w:eastAsia="Arial" w:cs="Arial"/>
          <w:color w:val="000000"/>
          <w:sz w:val="24"/>
        </w:rPr>
      </w:pPr>
      <w:r>
        <w:rPr>
          <w:rFonts w:eastAsia="Arial" w:cs="Arial"/>
          <w:color w:val="000000"/>
          <w:szCs w:val="22"/>
        </w:rPr>
        <w:t>Iris 16x100 round bottom tubes</w:t>
      </w:r>
    </w:p>
    <w:p w:rsidR="006050BE" w:rsidRDefault="00A45393">
      <w:pPr>
        <w:ind w:left="-504" w:firstLine="864"/>
        <w:rPr>
          <w:sz w:val="24"/>
        </w:rPr>
      </w:pPr>
      <w:r>
        <w:rPr>
          <w:color w:val="000000"/>
        </w:rPr>
        <w:t>Dilution barcoded labels</w:t>
      </w:r>
    </w:p>
    <w:p w:rsidR="006050BE" w:rsidRDefault="00A45393">
      <w:pPr>
        <w:ind w:left="-504" w:firstLine="864"/>
        <w:rPr>
          <w:sz w:val="24"/>
        </w:rPr>
      </w:pPr>
      <w:r>
        <w:rPr>
          <w:color w:val="000000"/>
        </w:rPr>
        <w:t>Patient barcoded label</w:t>
      </w:r>
    </w:p>
    <w:p w:rsidR="006050BE" w:rsidRDefault="00A45393">
      <w:pPr>
        <w:ind w:left="-504" w:firstLine="864"/>
        <w:rPr>
          <w:color w:val="000000"/>
        </w:rPr>
      </w:pPr>
      <w:r>
        <w:rPr>
          <w:color w:val="000000"/>
        </w:rPr>
        <w:t>Dilution Rack #23</w:t>
      </w:r>
    </w:p>
    <w:p w:rsidR="006050BE" w:rsidRDefault="00A45393">
      <w:pPr>
        <w:ind w:left="-504" w:firstLine="864"/>
        <w:rPr>
          <w:sz w:val="24"/>
        </w:rPr>
      </w:pPr>
      <w:r>
        <w:rPr>
          <w:color w:val="000000"/>
        </w:rPr>
        <w:t>Patient Racks</w:t>
      </w:r>
    </w:p>
    <w:p w:rsidR="006050BE" w:rsidRDefault="006050BE">
      <w:pPr>
        <w:pBdr>
          <w:top w:val="nil"/>
          <w:left w:val="nil"/>
          <w:bottom w:val="nil"/>
          <w:right w:val="nil"/>
          <w:between w:val="nil"/>
        </w:pBdr>
        <w:spacing w:before="120" w:after="120"/>
        <w:ind w:left="0"/>
        <w:rPr>
          <w:rFonts w:eastAsia="Arial" w:cs="Arial"/>
          <w:color w:val="000000"/>
          <w:szCs w:val="22"/>
        </w:rPr>
      </w:pPr>
    </w:p>
    <w:p w:rsidR="006050BE" w:rsidRDefault="00A45393">
      <w:pPr>
        <w:pStyle w:val="Heading1"/>
        <w:numPr>
          <w:ilvl w:val="0"/>
          <w:numId w:val="4"/>
        </w:numPr>
        <w:tabs>
          <w:tab w:val="left" w:pos="7320"/>
        </w:tabs>
      </w:pPr>
      <w:r>
        <w:t>QUALITY CONTROL:</w:t>
      </w:r>
    </w:p>
    <w:p w:rsidR="006050BE" w:rsidRDefault="00A45393">
      <w:pPr>
        <w:pBdr>
          <w:top w:val="nil"/>
          <w:left w:val="nil"/>
          <w:bottom w:val="nil"/>
          <w:right w:val="nil"/>
          <w:between w:val="nil"/>
        </w:pBdr>
        <w:spacing w:before="120" w:after="120"/>
        <w:rPr>
          <w:rFonts w:eastAsia="Arial" w:cs="Arial"/>
          <w:color w:val="000000"/>
          <w:szCs w:val="22"/>
        </w:rPr>
      </w:pPr>
      <w:r>
        <w:rPr>
          <w:rFonts w:eastAsia="Arial" w:cs="Arial"/>
          <w:color w:val="000000"/>
          <w:szCs w:val="22"/>
        </w:rPr>
        <w:t>Quality Control is performed every 24 hours using iQ200 Focus, iQ Positive Control and iQ Negative Control.</w:t>
      </w:r>
    </w:p>
    <w:p w:rsidR="006050BE" w:rsidRDefault="006050BE">
      <w:pPr>
        <w:pBdr>
          <w:top w:val="nil"/>
          <w:left w:val="nil"/>
          <w:bottom w:val="nil"/>
          <w:right w:val="nil"/>
          <w:between w:val="nil"/>
        </w:pBdr>
        <w:spacing w:before="120" w:after="120"/>
        <w:rPr>
          <w:rFonts w:eastAsia="Arial" w:cs="Arial"/>
          <w:color w:val="000000"/>
          <w:szCs w:val="22"/>
        </w:rPr>
      </w:pPr>
    </w:p>
    <w:p w:rsidR="006050BE" w:rsidRDefault="00A45393">
      <w:pPr>
        <w:pStyle w:val="Heading1"/>
        <w:numPr>
          <w:ilvl w:val="0"/>
          <w:numId w:val="4"/>
        </w:numPr>
        <w:tabs>
          <w:tab w:val="left" w:pos="7320"/>
        </w:tabs>
      </w:pPr>
      <w:r>
        <w:t>SPECIMEN REQUIREMENTS:</w:t>
      </w:r>
    </w:p>
    <w:p w:rsidR="006050BE" w:rsidRDefault="00A45393">
      <w:pPr>
        <w:pStyle w:val="Heading3"/>
        <w:numPr>
          <w:ilvl w:val="2"/>
          <w:numId w:val="3"/>
        </w:numPr>
      </w:pPr>
      <w:r>
        <w:t>Fresh “clean catch” urine specimens are the specimen of choice. Fresh urine samples should be delivered to the laboratory f</w:t>
      </w:r>
      <w:r>
        <w:t>or analysis within 1 hour or be refrigerated at 2-8°C.  Refrigerated specimens must be brought to room temperature before analysis. All primary urine containers and urine tubes submitted to the laboratory for testing are properly labeled at the time of col</w:t>
      </w:r>
      <w:r>
        <w:t>lection with a minimum of the patient’s first and last names as well as the patient’s date of birth.  The collection date/time, receipt date/time, and collector’s information are documented in the laboratory information system.</w:t>
      </w:r>
    </w:p>
    <w:p w:rsidR="006050BE" w:rsidRDefault="00A45393">
      <w:pPr>
        <w:pStyle w:val="Heading3"/>
        <w:numPr>
          <w:ilvl w:val="2"/>
          <w:numId w:val="3"/>
        </w:numPr>
      </w:pPr>
      <w:r>
        <w:t>Stability:</w:t>
      </w:r>
    </w:p>
    <w:p w:rsidR="006050BE" w:rsidRDefault="00A45393">
      <w:pPr>
        <w:pStyle w:val="Heading6"/>
        <w:numPr>
          <w:ilvl w:val="5"/>
          <w:numId w:val="3"/>
        </w:numPr>
      </w:pPr>
      <w:r>
        <w:t>Unpreserved urine</w:t>
      </w:r>
      <w:r>
        <w:t xml:space="preserve"> samples for urinalysis or urine culture are stable for 2 hours at 18-25 °C (room temperature) and up to 24 hours refrigerated at 2-8 °C.</w:t>
      </w:r>
    </w:p>
    <w:p w:rsidR="006050BE" w:rsidRDefault="00A45393">
      <w:pPr>
        <w:pStyle w:val="Heading6"/>
        <w:numPr>
          <w:ilvl w:val="5"/>
          <w:numId w:val="3"/>
        </w:numPr>
      </w:pPr>
      <w:r>
        <w:lastRenderedPageBreak/>
        <w:t>The stability of unpreserved urine for other laboratory testing varies.  Refer to individual procedures/reference manu</w:t>
      </w:r>
      <w:r>
        <w:t>als for stability requirements of testing other than urinalysis or culture.</w:t>
      </w:r>
    </w:p>
    <w:p w:rsidR="006050BE" w:rsidRDefault="00A45393">
      <w:pPr>
        <w:pStyle w:val="Heading6"/>
        <w:numPr>
          <w:ilvl w:val="5"/>
          <w:numId w:val="3"/>
        </w:numPr>
      </w:pPr>
      <w:r>
        <w:t>Red/Yellow UA preservative tubes are stable for 72 hours at temperatures of 2-25 °C.</w:t>
      </w:r>
    </w:p>
    <w:p w:rsidR="006050BE" w:rsidRDefault="00A45393">
      <w:pPr>
        <w:pStyle w:val="Heading3"/>
        <w:numPr>
          <w:ilvl w:val="2"/>
          <w:numId w:val="3"/>
        </w:numPr>
      </w:pPr>
      <w:r>
        <w:t>Volume:</w:t>
      </w:r>
    </w:p>
    <w:p w:rsidR="006050BE" w:rsidRDefault="00A45393">
      <w:pPr>
        <w:pStyle w:val="Heading6"/>
        <w:numPr>
          <w:ilvl w:val="5"/>
          <w:numId w:val="3"/>
        </w:numPr>
      </w:pPr>
      <w:r>
        <w:t>For chemistry and microscopic analysis, the minimum volume is 4mL. For chemistry analysis only, the minimum is 2mL and for microscopic analysis only, the minimum is 3mL.</w:t>
      </w:r>
    </w:p>
    <w:p w:rsidR="006050BE" w:rsidRDefault="00A45393">
      <w:pPr>
        <w:pStyle w:val="Heading3"/>
        <w:numPr>
          <w:ilvl w:val="2"/>
          <w:numId w:val="3"/>
        </w:numPr>
      </w:pPr>
      <w:r>
        <w:t>Specimen rejection criteria:</w:t>
      </w:r>
    </w:p>
    <w:p w:rsidR="006050BE" w:rsidRDefault="00A45393">
      <w:pPr>
        <w:pStyle w:val="Heading6"/>
        <w:numPr>
          <w:ilvl w:val="5"/>
          <w:numId w:val="3"/>
        </w:numPr>
      </w:pPr>
      <w:r>
        <w:t xml:space="preserve">Grossly hemolyzed or turbid specimens must not be run on </w:t>
      </w:r>
      <w:r>
        <w:t xml:space="preserve">the iQ Workcell. Turbid specimens may be diluted and run on iQ200 for microscopic analysis. See dilution procedure. </w:t>
      </w:r>
    </w:p>
    <w:p w:rsidR="006050BE" w:rsidRDefault="00A45393">
      <w:pPr>
        <w:pStyle w:val="Heading6"/>
        <w:numPr>
          <w:ilvl w:val="5"/>
          <w:numId w:val="3"/>
        </w:numPr>
      </w:pPr>
      <w:r>
        <w:t>Do not run gray top tubes on the iQ Workcell.</w:t>
      </w:r>
    </w:p>
    <w:p w:rsidR="006050BE" w:rsidRDefault="00A45393">
      <w:pPr>
        <w:pStyle w:val="Heading6"/>
        <w:numPr>
          <w:ilvl w:val="5"/>
          <w:numId w:val="3"/>
        </w:numPr>
      </w:pPr>
      <w:r>
        <w:t xml:space="preserve">All improperly labeled specimens other than suprapubic taps and surgically collected samples are rejected.  </w:t>
      </w:r>
    </w:p>
    <w:p w:rsidR="006050BE" w:rsidRDefault="00A45393">
      <w:pPr>
        <w:pStyle w:val="Heading6"/>
        <w:numPr>
          <w:ilvl w:val="5"/>
          <w:numId w:val="3"/>
        </w:numPr>
      </w:pPr>
      <w:r>
        <w:t>Samples submitted to the laboratory which have not been properly preserved, stored, transported, or are outside stated stability are rejected and r</w:t>
      </w:r>
      <w:r>
        <w:t xml:space="preserve">ecollected if possible. </w:t>
      </w:r>
    </w:p>
    <w:p w:rsidR="006050BE" w:rsidRDefault="00A45393">
      <w:pPr>
        <w:pStyle w:val="Heading6"/>
        <w:numPr>
          <w:ilvl w:val="5"/>
          <w:numId w:val="3"/>
        </w:numPr>
      </w:pPr>
      <w:r>
        <w:t>Underfilled/overfilled preservative tubes, samples submitted in improper preservative, specimens collected in non-sterile containers, and specimens submitted with inadequate volume will be rejected and recollected.</w:t>
      </w:r>
    </w:p>
    <w:p w:rsidR="006050BE" w:rsidRDefault="006050BE" w:rsidP="00D35E7B">
      <w:pPr>
        <w:pStyle w:val="Heading6"/>
        <w:numPr>
          <w:ilvl w:val="0"/>
          <w:numId w:val="0"/>
        </w:numPr>
        <w:ind w:left="3600"/>
      </w:pPr>
      <w:bookmarkStart w:id="0" w:name="_heading=h.gjdgxs" w:colFirst="0" w:colLast="0"/>
      <w:bookmarkEnd w:id="0"/>
    </w:p>
    <w:p w:rsidR="006050BE" w:rsidRDefault="00A45393">
      <w:pPr>
        <w:pStyle w:val="Heading1"/>
        <w:numPr>
          <w:ilvl w:val="0"/>
          <w:numId w:val="4"/>
        </w:numPr>
        <w:tabs>
          <w:tab w:val="left" w:pos="7320"/>
        </w:tabs>
      </w:pPr>
      <w:r>
        <w:t>procedure:</w:t>
      </w:r>
    </w:p>
    <w:p w:rsidR="006050BE" w:rsidRPr="00D35E7B" w:rsidRDefault="00A45393">
      <w:pPr>
        <w:pStyle w:val="Heading3"/>
        <w:numPr>
          <w:ilvl w:val="2"/>
          <w:numId w:val="4"/>
        </w:numPr>
      </w:pPr>
      <w:r>
        <w:t>Asc</w:t>
      </w:r>
      <w:r>
        <w:rPr>
          <w:color w:val="000000"/>
        </w:rPr>
        <w:t>e</w:t>
      </w:r>
      <w:r>
        <w:rPr>
          <w:color w:val="000000"/>
        </w:rPr>
        <w:t>rtain the specimen meets the criteria for dilution. If the specimen contains heavy amorphous, rewarm the sample under warm running water.</w:t>
      </w:r>
    </w:p>
    <w:p w:rsidR="00D35E7B" w:rsidRDefault="00D35E7B" w:rsidP="00D35E7B">
      <w:pPr>
        <w:pStyle w:val="Heading3"/>
        <w:numPr>
          <w:ilvl w:val="0"/>
          <w:numId w:val="0"/>
        </w:numPr>
        <w:ind w:left="1080"/>
      </w:pPr>
    </w:p>
    <w:p w:rsidR="006050BE" w:rsidRDefault="00A45393">
      <w:pPr>
        <w:ind w:left="0"/>
        <w:rPr>
          <w:b/>
          <w:i/>
          <w:color w:val="000000"/>
        </w:rPr>
      </w:pPr>
      <w:r>
        <w:rPr>
          <w:b/>
          <w:i/>
          <w:color w:val="000000"/>
        </w:rPr>
        <w:t>Note: Dilutions are only run on the iQ200 analyzer ONLY. Do not perform dilutions</w:t>
      </w:r>
    </w:p>
    <w:p w:rsidR="006050BE" w:rsidRDefault="00A45393">
      <w:pPr>
        <w:ind w:left="0" w:firstLine="720"/>
        <w:rPr>
          <w:b/>
          <w:i/>
          <w:color w:val="000000"/>
        </w:rPr>
      </w:pPr>
      <w:r>
        <w:rPr>
          <w:b/>
          <w:i/>
          <w:color w:val="000000"/>
        </w:rPr>
        <w:t xml:space="preserve">on the AX-4030 Analyzer. </w:t>
      </w:r>
    </w:p>
    <w:p w:rsidR="00D35E7B" w:rsidRDefault="00D35E7B">
      <w:pPr>
        <w:ind w:left="0" w:firstLine="720"/>
        <w:rPr>
          <w:b/>
          <w:i/>
        </w:rPr>
      </w:pPr>
    </w:p>
    <w:p w:rsidR="006050BE" w:rsidRDefault="00A45393">
      <w:pPr>
        <w:ind w:left="0" w:firstLine="720"/>
      </w:pPr>
      <w:r>
        <w:t>2.   If yo</w:t>
      </w:r>
      <w:r>
        <w:t>u have a barcoded specimen:</w:t>
      </w:r>
    </w:p>
    <w:p w:rsidR="006050BE" w:rsidRDefault="00A45393">
      <w:pPr>
        <w:pStyle w:val="Heading6"/>
        <w:numPr>
          <w:ilvl w:val="5"/>
          <w:numId w:val="3"/>
        </w:numPr>
      </w:pPr>
      <w:r>
        <w:t>Obtain a Dilution (YELLOW) rack for the AX-4030.</w:t>
      </w:r>
    </w:p>
    <w:p w:rsidR="006050BE" w:rsidRDefault="00A45393">
      <w:pPr>
        <w:pStyle w:val="Heading6"/>
        <w:numPr>
          <w:ilvl w:val="5"/>
          <w:numId w:val="3"/>
        </w:numPr>
      </w:pPr>
      <w:r>
        <w:t xml:space="preserve">Print identical patient barcodes and place them on two tubes. One for </w:t>
      </w:r>
      <w:r w:rsidR="00D35E7B">
        <w:t xml:space="preserve">the </w:t>
      </w:r>
      <w:r>
        <w:t xml:space="preserve">yellow rack (AX-4030) and one for the </w:t>
      </w:r>
      <w:r w:rsidR="00D35E7B">
        <w:t>grey rack to run dilution to run on the iQ200</w:t>
      </w:r>
      <w:r>
        <w:t>.</w:t>
      </w:r>
    </w:p>
    <w:p w:rsidR="006050BE" w:rsidRDefault="00A45393">
      <w:pPr>
        <w:pStyle w:val="Heading6"/>
        <w:numPr>
          <w:ilvl w:val="5"/>
          <w:numId w:val="3"/>
        </w:numPr>
        <w:rPr>
          <w:color w:val="000000"/>
        </w:rPr>
      </w:pPr>
      <w:r>
        <w:t xml:space="preserve">Pour 3mL </w:t>
      </w:r>
      <w:r>
        <w:rPr>
          <w:color w:val="000000"/>
        </w:rPr>
        <w:t>urine into the first tube and ru</w:t>
      </w:r>
      <w:r>
        <w:rPr>
          <w:color w:val="000000"/>
        </w:rPr>
        <w:t xml:space="preserve">n </w:t>
      </w:r>
      <w:r>
        <w:t>on the YELLOW</w:t>
      </w:r>
      <w:r>
        <w:rPr>
          <w:color w:val="000000"/>
        </w:rPr>
        <w:t xml:space="preserve"> rack on AX-4030.</w:t>
      </w:r>
    </w:p>
    <w:p w:rsidR="006050BE" w:rsidRDefault="00A45393" w:rsidP="00D35E7B">
      <w:pPr>
        <w:pStyle w:val="Heading6"/>
        <w:numPr>
          <w:ilvl w:val="0"/>
          <w:numId w:val="0"/>
        </w:numPr>
        <w:rPr>
          <w:b/>
          <w:i/>
          <w:color w:val="000000"/>
        </w:rPr>
      </w:pPr>
      <w:r>
        <w:rPr>
          <w:b/>
          <w:i/>
          <w:color w:val="000000"/>
        </w:rPr>
        <w:t>Note:  The rack will proceed to the iQ200 but will not sample.</w:t>
      </w:r>
    </w:p>
    <w:p w:rsidR="006050BE" w:rsidRDefault="00A45393">
      <w:pPr>
        <w:pStyle w:val="Heading6"/>
        <w:numPr>
          <w:ilvl w:val="5"/>
          <w:numId w:val="3"/>
        </w:numPr>
      </w:pPr>
      <w:r>
        <w:t>Remov</w:t>
      </w:r>
      <w:r>
        <w:rPr>
          <w:color w:val="000000"/>
        </w:rPr>
        <w:t>e the rack from the AX-4030.</w:t>
      </w:r>
    </w:p>
    <w:p w:rsidR="006050BE" w:rsidRDefault="00A45393">
      <w:pPr>
        <w:pStyle w:val="Heading6"/>
        <w:numPr>
          <w:ilvl w:val="5"/>
          <w:numId w:val="3"/>
        </w:numPr>
      </w:pPr>
      <w:r>
        <w:rPr>
          <w:color w:val="000000"/>
        </w:rPr>
        <w:t xml:space="preserve">Label </w:t>
      </w:r>
      <w:r>
        <w:rPr>
          <w:color w:val="000000"/>
        </w:rPr>
        <w:t xml:space="preserve">second tube </w:t>
      </w:r>
      <w:r w:rsidR="00D35E7B">
        <w:rPr>
          <w:color w:val="000000"/>
        </w:rPr>
        <w:t xml:space="preserve">on the </w:t>
      </w:r>
      <w:bookmarkStart w:id="1" w:name="_GoBack"/>
      <w:bookmarkEnd w:id="1"/>
      <w:r w:rsidR="00D35E7B">
        <w:rPr>
          <w:color w:val="000000"/>
        </w:rPr>
        <w:t xml:space="preserve">grey rack </w:t>
      </w:r>
      <w:r>
        <w:rPr>
          <w:color w:val="000000"/>
        </w:rPr>
        <w:t xml:space="preserve">with the appropriate secondary barcode dilution label (fix label below the patient barcode leaving </w:t>
      </w:r>
      <w:r>
        <w:rPr>
          <w:color w:val="000000"/>
        </w:rPr>
        <w:t xml:space="preserve">a small </w:t>
      </w:r>
      <w:r>
        <w:rPr>
          <w:color w:val="000000"/>
        </w:rPr>
        <w:lastRenderedPageBreak/>
        <w:t>space between the two labels so each barcode can be read by the analyzer). See picture below:</w:t>
      </w:r>
    </w:p>
    <w:p w:rsidR="006050BE" w:rsidRDefault="00A45393">
      <w:pPr>
        <w:ind w:left="-144"/>
        <w:jc w:val="center"/>
        <w:rPr>
          <w:color w:val="000000"/>
        </w:rPr>
      </w:pPr>
      <w:r>
        <w:rPr>
          <w:noProof/>
          <w:color w:val="000000"/>
        </w:rPr>
        <w:drawing>
          <wp:inline distT="0" distB="0" distL="0" distR="0">
            <wp:extent cx="2324100" cy="3228975"/>
            <wp:effectExtent l="0" t="0" r="0" b="0"/>
            <wp:docPr id="2" name="image1.png" descr="https://lh3.googleusercontent.com/9w5D5hgyo59uDkyGHK5aNH3ciarO4TdWhrFe2ok6r-3PjCR4QIFxodUphlEeL7gHxc8OCkPWarNHdlRKi-lVaDA4oNc_ifGraKlDe8Ie30xCPO3oX2QdrW6MOR7wbzC24TXxCPoh"/>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9w5D5hgyo59uDkyGHK5aNH3ciarO4TdWhrFe2ok6r-3PjCR4QIFxodUphlEeL7gHxc8OCkPWarNHdlRKi-lVaDA4oNc_ifGraKlDe8Ie30xCPO3oX2QdrW6MOR7wbzC24TXxCPoh"/>
                    <pic:cNvPicPr preferRelativeResize="0"/>
                  </pic:nvPicPr>
                  <pic:blipFill>
                    <a:blip r:embed="rId8"/>
                    <a:srcRect/>
                    <a:stretch>
                      <a:fillRect/>
                    </a:stretch>
                  </pic:blipFill>
                  <pic:spPr>
                    <a:xfrm>
                      <a:off x="0" y="0"/>
                      <a:ext cx="2324100" cy="3228975"/>
                    </a:xfrm>
                    <a:prstGeom prst="rect">
                      <a:avLst/>
                    </a:prstGeom>
                    <a:ln/>
                  </pic:spPr>
                </pic:pic>
              </a:graphicData>
            </a:graphic>
          </wp:inline>
        </w:drawing>
      </w:r>
    </w:p>
    <w:p w:rsidR="006050BE" w:rsidRDefault="00A45393">
      <w:pPr>
        <w:ind w:left="1296" w:firstLine="864"/>
        <w:rPr>
          <w:sz w:val="24"/>
        </w:rPr>
      </w:pPr>
      <w:r>
        <w:rPr>
          <w:color w:val="000000"/>
        </w:rPr>
        <w:t>Select the Dilution label from the following:</w:t>
      </w:r>
    </w:p>
    <w:p w:rsidR="006050BE" w:rsidRDefault="00A45393">
      <w:pPr>
        <w:ind w:left="-144"/>
        <w:rPr>
          <w:color w:val="000000"/>
        </w:rPr>
      </w:pPr>
      <w:r>
        <w:t xml:space="preserve">                                               </w:t>
      </w:r>
      <w:r>
        <w:rPr>
          <w:color w:val="000000"/>
        </w:rPr>
        <w:t>URN1     1:2 Dilution</w:t>
      </w:r>
    </w:p>
    <w:p w:rsidR="006050BE" w:rsidRDefault="00A45393">
      <w:pPr>
        <w:ind w:left="-144"/>
      </w:pPr>
      <w:r>
        <w:t xml:space="preserve">                                     </w:t>
      </w:r>
      <w:r>
        <w:t xml:space="preserve">          URN2     1:3</w:t>
      </w:r>
    </w:p>
    <w:p w:rsidR="006050BE" w:rsidRDefault="00A45393">
      <w:pPr>
        <w:ind w:left="-144"/>
      </w:pPr>
      <w:r>
        <w:t xml:space="preserve">                                               URN3     1:5</w:t>
      </w:r>
    </w:p>
    <w:p w:rsidR="006050BE" w:rsidRDefault="00A45393">
      <w:pPr>
        <w:ind w:left="-144"/>
      </w:pPr>
      <w:r>
        <w:t xml:space="preserve">                                               URN4     1:10</w:t>
      </w:r>
    </w:p>
    <w:p w:rsidR="006050BE" w:rsidRDefault="00A45393">
      <w:pPr>
        <w:ind w:left="-144"/>
      </w:pPr>
      <w:r>
        <w:t xml:space="preserve">                                               URN5    1:20</w:t>
      </w:r>
    </w:p>
    <w:p w:rsidR="006050BE" w:rsidRDefault="00A45393">
      <w:pPr>
        <w:ind w:left="-144"/>
      </w:pPr>
      <w:r>
        <w:t xml:space="preserve">                                               URN6    1:50</w:t>
      </w:r>
      <w:r>
        <w:tab/>
      </w:r>
      <w:r>
        <w:tab/>
      </w:r>
      <w:r>
        <w:tab/>
      </w:r>
    </w:p>
    <w:p w:rsidR="006050BE" w:rsidRDefault="00A45393">
      <w:pPr>
        <w:ind w:left="-144"/>
      </w:pPr>
      <w:r>
        <w:t xml:space="preserve">                                               URN7    1:100</w:t>
      </w:r>
    </w:p>
    <w:p w:rsidR="006050BE" w:rsidRDefault="00A45393">
      <w:pPr>
        <w:ind w:left="-144"/>
        <w:rPr>
          <w:sz w:val="24"/>
        </w:rPr>
      </w:pPr>
      <w:r>
        <w:t xml:space="preserve">                                               URN8    1:500</w:t>
      </w:r>
    </w:p>
    <w:p w:rsidR="006050BE" w:rsidRDefault="00A45393">
      <w:pPr>
        <w:ind w:left="-144"/>
        <w:rPr>
          <w:color w:val="000000"/>
        </w:rPr>
      </w:pPr>
      <w:r>
        <w:t xml:space="preserve">                                               </w:t>
      </w:r>
      <w:r>
        <w:rPr>
          <w:color w:val="000000"/>
        </w:rPr>
        <w:t>URN9    1:1000</w:t>
      </w:r>
      <w:r>
        <w:rPr>
          <w:color w:val="000000"/>
        </w:rPr>
        <w:tab/>
      </w:r>
      <w:r>
        <w:rPr>
          <w:color w:val="000000"/>
        </w:rPr>
        <w:tab/>
      </w:r>
    </w:p>
    <w:p w:rsidR="006050BE" w:rsidRDefault="006050BE">
      <w:pPr>
        <w:ind w:left="-144"/>
        <w:rPr>
          <w:sz w:val="24"/>
        </w:rPr>
      </w:pPr>
    </w:p>
    <w:p w:rsidR="006050BE" w:rsidRDefault="00A45393">
      <w:pPr>
        <w:pStyle w:val="Heading6"/>
        <w:numPr>
          <w:ilvl w:val="5"/>
          <w:numId w:val="4"/>
        </w:numPr>
      </w:pPr>
      <w:r>
        <w:t>Prepar</w:t>
      </w:r>
      <w:r>
        <w:t>e dilution in this tube, using Iris Diluent according to the information found in SETTINGS and the Dilutions Binder. Each label is assigned a specific dilution. The analyzer makes its calculations based on how that label is read.</w:t>
      </w:r>
    </w:p>
    <w:p w:rsidR="006050BE" w:rsidRDefault="00A45393">
      <w:pPr>
        <w:pStyle w:val="Heading6"/>
        <w:numPr>
          <w:ilvl w:val="5"/>
          <w:numId w:val="4"/>
        </w:numPr>
      </w:pPr>
      <w:r>
        <w:t>Replace the undiluted samp</w:t>
      </w:r>
      <w:r>
        <w:t>le that was used for the Chemistry analyzer with the diluted tube and place the specimen into a patient (GRAY) rack.</w:t>
      </w:r>
    </w:p>
    <w:p w:rsidR="006050BE" w:rsidRDefault="00A45393">
      <w:pPr>
        <w:pStyle w:val="Heading6"/>
        <w:numPr>
          <w:ilvl w:val="5"/>
          <w:numId w:val="3"/>
        </w:numPr>
      </w:pPr>
      <w:r>
        <w:rPr>
          <w:color w:val="000000"/>
        </w:rPr>
        <w:t>Put the rack on the iQ200 analyzer and press START to run the sample.</w:t>
      </w:r>
    </w:p>
    <w:p w:rsidR="006050BE" w:rsidRDefault="00A45393">
      <w:pPr>
        <w:pStyle w:val="Heading6"/>
        <w:numPr>
          <w:ilvl w:val="5"/>
          <w:numId w:val="3"/>
        </w:numPr>
      </w:pPr>
      <w:r>
        <w:rPr>
          <w:color w:val="000000"/>
        </w:rPr>
        <w:t>Results will consolidate with the chemistry results.</w:t>
      </w:r>
    </w:p>
    <w:p w:rsidR="006050BE" w:rsidRDefault="00A45393">
      <w:pPr>
        <w:pStyle w:val="Heading6"/>
        <w:numPr>
          <w:ilvl w:val="5"/>
          <w:numId w:val="3"/>
        </w:numPr>
      </w:pPr>
      <w:r>
        <w:rPr>
          <w:color w:val="000000"/>
        </w:rPr>
        <w:t>If auto-release has been enabled, results will auto-release as the user has defined, unless flagged.</w:t>
      </w:r>
    </w:p>
    <w:p w:rsidR="006050BE" w:rsidRDefault="00A45393">
      <w:pPr>
        <w:pStyle w:val="Heading6"/>
        <w:numPr>
          <w:ilvl w:val="5"/>
          <w:numId w:val="3"/>
        </w:numPr>
      </w:pPr>
      <w:r>
        <w:rPr>
          <w:color w:val="000000"/>
        </w:rPr>
        <w:t>Verify results only for samples that did not auto-release (refer to previous sections of this document).</w:t>
      </w:r>
    </w:p>
    <w:p w:rsidR="006050BE" w:rsidRDefault="00A45393">
      <w:pPr>
        <w:ind w:left="0"/>
        <w:rPr>
          <w:color w:val="000000"/>
        </w:rPr>
      </w:pPr>
      <w:r>
        <w:t xml:space="preserve">3.   </w:t>
      </w:r>
      <w:r>
        <w:rPr>
          <w:color w:val="000000"/>
        </w:rPr>
        <w:t>If you are not using barcodes:</w:t>
      </w:r>
    </w:p>
    <w:p w:rsidR="006050BE" w:rsidRDefault="00A45393">
      <w:pPr>
        <w:numPr>
          <w:ilvl w:val="1"/>
          <w:numId w:val="1"/>
        </w:numPr>
        <w:pBdr>
          <w:top w:val="nil"/>
          <w:left w:val="nil"/>
          <w:bottom w:val="nil"/>
          <w:right w:val="nil"/>
          <w:between w:val="nil"/>
        </w:pBdr>
        <w:rPr>
          <w:rFonts w:eastAsia="Arial" w:cs="Arial"/>
          <w:color w:val="000000"/>
          <w:szCs w:val="22"/>
        </w:rPr>
      </w:pPr>
      <w:r>
        <w:rPr>
          <w:rFonts w:eastAsia="Arial" w:cs="Arial"/>
          <w:color w:val="000000"/>
          <w:szCs w:val="22"/>
        </w:rPr>
        <w:t>Obtain a Dilut</w:t>
      </w:r>
      <w:r>
        <w:rPr>
          <w:rFonts w:eastAsia="Arial" w:cs="Arial"/>
          <w:color w:val="000000"/>
          <w:szCs w:val="22"/>
        </w:rPr>
        <w:t>ion (YELLOW) rack.</w:t>
      </w:r>
    </w:p>
    <w:p w:rsidR="006050BE" w:rsidRDefault="00A45393">
      <w:pPr>
        <w:numPr>
          <w:ilvl w:val="1"/>
          <w:numId w:val="1"/>
        </w:numPr>
        <w:pBdr>
          <w:top w:val="nil"/>
          <w:left w:val="nil"/>
          <w:bottom w:val="nil"/>
          <w:right w:val="nil"/>
          <w:between w:val="nil"/>
        </w:pBdr>
        <w:rPr>
          <w:rFonts w:eastAsia="Arial" w:cs="Arial"/>
          <w:color w:val="000000"/>
          <w:szCs w:val="22"/>
        </w:rPr>
      </w:pPr>
      <w:r>
        <w:rPr>
          <w:rFonts w:eastAsia="Arial" w:cs="Arial"/>
          <w:color w:val="000000"/>
          <w:szCs w:val="22"/>
        </w:rPr>
        <w:t>Click on Manual Orders and choose the patient rack and position number that will be used to run the assay.</w:t>
      </w:r>
    </w:p>
    <w:p w:rsidR="006050BE" w:rsidRDefault="00A45393">
      <w:pPr>
        <w:numPr>
          <w:ilvl w:val="1"/>
          <w:numId w:val="1"/>
        </w:numPr>
        <w:pBdr>
          <w:top w:val="nil"/>
          <w:left w:val="nil"/>
          <w:bottom w:val="nil"/>
          <w:right w:val="nil"/>
          <w:between w:val="nil"/>
        </w:pBdr>
        <w:rPr>
          <w:rFonts w:eastAsia="Arial" w:cs="Arial"/>
          <w:color w:val="000000"/>
          <w:szCs w:val="22"/>
        </w:rPr>
      </w:pPr>
      <w:r>
        <w:rPr>
          <w:rFonts w:eastAsia="Arial" w:cs="Arial"/>
          <w:color w:val="000000"/>
          <w:szCs w:val="22"/>
        </w:rPr>
        <w:lastRenderedPageBreak/>
        <w:t>Identify the specimen ID, select URN, Dilution code and Work order = run.</w:t>
      </w:r>
    </w:p>
    <w:p w:rsidR="006050BE" w:rsidRDefault="00A45393">
      <w:pPr>
        <w:numPr>
          <w:ilvl w:val="1"/>
          <w:numId w:val="1"/>
        </w:numPr>
        <w:pBdr>
          <w:top w:val="nil"/>
          <w:left w:val="nil"/>
          <w:bottom w:val="nil"/>
          <w:right w:val="nil"/>
          <w:between w:val="nil"/>
        </w:pBdr>
        <w:rPr>
          <w:rFonts w:eastAsia="Arial" w:cs="Arial"/>
          <w:color w:val="000000"/>
          <w:szCs w:val="22"/>
        </w:rPr>
      </w:pPr>
      <w:r>
        <w:rPr>
          <w:rFonts w:eastAsia="Arial" w:cs="Arial"/>
          <w:color w:val="000000"/>
          <w:szCs w:val="22"/>
        </w:rPr>
        <w:t>Put the sample into the correct position in Dilution (YE</w:t>
      </w:r>
      <w:r>
        <w:rPr>
          <w:rFonts w:eastAsia="Arial" w:cs="Arial"/>
          <w:color w:val="000000"/>
          <w:szCs w:val="22"/>
        </w:rPr>
        <w:t>LLOW) rack number 23.</w:t>
      </w:r>
    </w:p>
    <w:p w:rsidR="006050BE" w:rsidRDefault="00A45393">
      <w:pPr>
        <w:numPr>
          <w:ilvl w:val="1"/>
          <w:numId w:val="1"/>
        </w:numPr>
        <w:pBdr>
          <w:top w:val="nil"/>
          <w:left w:val="nil"/>
          <w:bottom w:val="nil"/>
          <w:right w:val="nil"/>
          <w:between w:val="nil"/>
        </w:pBdr>
        <w:rPr>
          <w:rFonts w:eastAsia="Arial" w:cs="Arial"/>
          <w:color w:val="000000"/>
          <w:szCs w:val="22"/>
        </w:rPr>
      </w:pPr>
      <w:r>
        <w:rPr>
          <w:rFonts w:eastAsia="Arial" w:cs="Arial"/>
          <w:color w:val="000000"/>
          <w:szCs w:val="22"/>
        </w:rPr>
        <w:t>Pour 3 ml urine into the corresponding unlabeled tube.</w:t>
      </w:r>
    </w:p>
    <w:p w:rsidR="006050BE" w:rsidRDefault="00A45393">
      <w:pPr>
        <w:numPr>
          <w:ilvl w:val="1"/>
          <w:numId w:val="1"/>
        </w:numPr>
        <w:pBdr>
          <w:top w:val="nil"/>
          <w:left w:val="nil"/>
          <w:bottom w:val="nil"/>
          <w:right w:val="nil"/>
          <w:between w:val="nil"/>
        </w:pBdr>
        <w:rPr>
          <w:rFonts w:eastAsia="Arial" w:cs="Arial"/>
          <w:color w:val="000000"/>
          <w:szCs w:val="22"/>
        </w:rPr>
      </w:pPr>
      <w:r>
        <w:rPr>
          <w:rFonts w:eastAsia="Arial" w:cs="Arial"/>
          <w:color w:val="000000"/>
          <w:szCs w:val="22"/>
        </w:rPr>
        <w:t>Place the rack on the right hand side of the Chemistry analyzer and run.</w:t>
      </w:r>
    </w:p>
    <w:p w:rsidR="006050BE" w:rsidRDefault="00A45393">
      <w:pPr>
        <w:ind w:left="0"/>
        <w:rPr>
          <w:b/>
          <w:i/>
          <w:color w:val="000000"/>
        </w:rPr>
      </w:pPr>
      <w:r>
        <w:rPr>
          <w:b/>
          <w:i/>
          <w:color w:val="000000"/>
        </w:rPr>
        <w:t>Note: the Dilution rack will not be aspirated by the iQ200.</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The Chemistry Result will be displayed as ID_ERROR.</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 xml:space="preserve">After Chemistry has completed, </w:t>
      </w:r>
      <w:r>
        <w:t>remove the rack</w:t>
      </w:r>
      <w:r>
        <w:rPr>
          <w:rFonts w:eastAsia="Arial" w:cs="Arial"/>
          <w:color w:val="000000"/>
          <w:szCs w:val="22"/>
        </w:rPr>
        <w:t>.</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 xml:space="preserve">Perform appropriate dilution according to the dilution protocol in SETTINGS and Dilution Binder. </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 xml:space="preserve">Place the diluted sample in the patient rack and position </w:t>
      </w:r>
      <w:r>
        <w:rPr>
          <w:rFonts w:eastAsia="Arial" w:cs="Arial"/>
          <w:color w:val="000000"/>
          <w:szCs w:val="22"/>
        </w:rPr>
        <w:t>number that was programmed manually.</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Place the rack on the iQ200 analyzer and press START to run the sample.</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Consolidate results with Chemistry manually by following prompts.</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If auto-release has been enabled, results will auto-release, as the user has defi</w:t>
      </w:r>
      <w:r>
        <w:rPr>
          <w:rFonts w:eastAsia="Arial" w:cs="Arial"/>
          <w:color w:val="000000"/>
          <w:szCs w:val="22"/>
        </w:rPr>
        <w:t>ned, unless flagged.</w:t>
      </w:r>
    </w:p>
    <w:p w:rsidR="006050BE" w:rsidRDefault="00A45393">
      <w:pPr>
        <w:numPr>
          <w:ilvl w:val="0"/>
          <w:numId w:val="2"/>
        </w:numPr>
        <w:pBdr>
          <w:top w:val="nil"/>
          <w:left w:val="nil"/>
          <w:bottom w:val="nil"/>
          <w:right w:val="nil"/>
          <w:between w:val="nil"/>
        </w:pBdr>
        <w:rPr>
          <w:color w:val="000000"/>
          <w:szCs w:val="22"/>
        </w:rPr>
      </w:pPr>
      <w:r>
        <w:rPr>
          <w:rFonts w:eastAsia="Arial" w:cs="Arial"/>
          <w:color w:val="000000"/>
          <w:szCs w:val="22"/>
        </w:rPr>
        <w:t>Verify results only for samples that did not auto-release (refer to previous sections of this document).</w:t>
      </w:r>
    </w:p>
    <w:p w:rsidR="006050BE" w:rsidRDefault="00A45393">
      <w:pPr>
        <w:ind w:left="0"/>
        <w:rPr>
          <w:color w:val="000000"/>
        </w:rPr>
      </w:pPr>
      <w:r>
        <w:rPr>
          <w:color w:val="000000"/>
        </w:rPr>
        <w:tab/>
      </w:r>
      <w:r>
        <w:rPr>
          <w:color w:val="000000"/>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rsidR="006050BE" w:rsidRDefault="00A45393">
      <w:pPr>
        <w:pStyle w:val="Heading1"/>
        <w:numPr>
          <w:ilvl w:val="0"/>
          <w:numId w:val="4"/>
        </w:numPr>
        <w:tabs>
          <w:tab w:val="left" w:pos="7320"/>
        </w:tabs>
      </w:pPr>
      <w:r>
        <w:t>LIMITATIONS:</w:t>
      </w:r>
    </w:p>
    <w:p w:rsidR="006050BE" w:rsidRDefault="00A45393">
      <w:pPr>
        <w:pBdr>
          <w:top w:val="nil"/>
          <w:left w:val="nil"/>
          <w:bottom w:val="nil"/>
          <w:right w:val="nil"/>
          <w:between w:val="nil"/>
        </w:pBdr>
        <w:spacing w:before="120" w:after="120"/>
        <w:rPr>
          <w:rFonts w:eastAsia="Arial" w:cs="Arial"/>
          <w:color w:val="000000"/>
          <w:szCs w:val="22"/>
        </w:rPr>
      </w:pPr>
      <w:r>
        <w:rPr>
          <w:rFonts w:eastAsia="Arial" w:cs="Arial"/>
          <w:color w:val="000000"/>
          <w:szCs w:val="22"/>
        </w:rPr>
        <w:t>Never try to run a diluted specimen on the AX-4030. The diluted sample will not provide accurate patient che</w:t>
      </w:r>
      <w:r>
        <w:rPr>
          <w:rFonts w:eastAsia="Arial" w:cs="Arial"/>
          <w:color w:val="000000"/>
          <w:szCs w:val="22"/>
        </w:rPr>
        <w:t xml:space="preserve">mistry results. </w:t>
      </w:r>
    </w:p>
    <w:p w:rsidR="006050BE" w:rsidRDefault="006050BE">
      <w:pPr>
        <w:pBdr>
          <w:top w:val="nil"/>
          <w:left w:val="nil"/>
          <w:bottom w:val="nil"/>
          <w:right w:val="nil"/>
          <w:between w:val="nil"/>
        </w:pBdr>
        <w:spacing w:before="120" w:after="120"/>
        <w:rPr>
          <w:rFonts w:eastAsia="Arial" w:cs="Arial"/>
          <w:color w:val="000000"/>
          <w:szCs w:val="22"/>
        </w:rPr>
      </w:pPr>
    </w:p>
    <w:p w:rsidR="006050BE" w:rsidRDefault="00A45393">
      <w:pPr>
        <w:pStyle w:val="Heading1"/>
        <w:numPr>
          <w:ilvl w:val="0"/>
          <w:numId w:val="4"/>
        </w:numPr>
        <w:tabs>
          <w:tab w:val="left" w:pos="7320"/>
        </w:tabs>
      </w:pPr>
      <w:r>
        <w:t>references:</w:t>
      </w:r>
    </w:p>
    <w:p w:rsidR="006050BE" w:rsidRDefault="00A45393">
      <w:pPr>
        <w:pBdr>
          <w:top w:val="nil"/>
          <w:left w:val="nil"/>
          <w:bottom w:val="nil"/>
          <w:right w:val="nil"/>
          <w:between w:val="nil"/>
        </w:pBdr>
        <w:rPr>
          <w:rFonts w:eastAsia="Arial" w:cs="Arial"/>
          <w:color w:val="000000"/>
          <w:szCs w:val="22"/>
        </w:rPr>
      </w:pPr>
      <w:r>
        <w:rPr>
          <w:rFonts w:eastAsia="Arial" w:cs="Arial"/>
          <w:color w:val="000000"/>
          <w:szCs w:val="22"/>
        </w:rPr>
        <w:t xml:space="preserve">Iris Operator’s Manual 301-4760. Sample Preparation 3. </w:t>
      </w:r>
    </w:p>
    <w:sectPr w:rsidR="006050BE">
      <w:headerReference w:type="default" r:id="rId9"/>
      <w:footerReference w:type="default" r:id="rId10"/>
      <w:pgSz w:w="12240" w:h="15840"/>
      <w:pgMar w:top="72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93" w:rsidRDefault="00A45393">
      <w:r>
        <w:separator/>
      </w:r>
    </w:p>
  </w:endnote>
  <w:endnote w:type="continuationSeparator" w:id="0">
    <w:p w:rsidR="00A45393" w:rsidRDefault="00A4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default"/>
  </w:font>
  <w:font w:name="Consolas">
    <w:panose1 w:val="020B0609020204030204"/>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BE" w:rsidRDefault="00A45393">
    <w:pPr>
      <w:ind w:left="0"/>
    </w:pPr>
    <w:r>
      <w:rPr>
        <w:sz w:val="20"/>
        <w:szCs w:val="20"/>
      </w:rPr>
      <w:t>Subject:</w:t>
    </w:r>
    <w:r>
      <w:t xml:space="preserve"> </w:t>
    </w:r>
    <w:r>
      <w:rPr>
        <w:rFonts w:eastAsia="Arial" w:cs="Arial"/>
        <w:sz w:val="20"/>
        <w:szCs w:val="20"/>
      </w:rPr>
      <w:t>iQ200 Dilutions</w:t>
    </w:r>
    <w:r>
      <w:t xml:space="preserve"> </w:t>
    </w:r>
    <w:r>
      <w:tab/>
    </w:r>
    <w:r>
      <w:tab/>
    </w:r>
    <w:r>
      <w:rPr>
        <w:sz w:val="20"/>
        <w:szCs w:val="20"/>
      </w:rPr>
      <w:t xml:space="preserve">Page </w:t>
    </w:r>
    <w:r>
      <w:rPr>
        <w:sz w:val="20"/>
        <w:szCs w:val="20"/>
      </w:rPr>
      <w:fldChar w:fldCharType="begin"/>
    </w:r>
    <w:r>
      <w:rPr>
        <w:sz w:val="20"/>
        <w:szCs w:val="20"/>
      </w:rPr>
      <w:instrText>PAGE</w:instrText>
    </w:r>
    <w:r w:rsidR="00D35E7B">
      <w:rPr>
        <w:sz w:val="20"/>
        <w:szCs w:val="20"/>
      </w:rPr>
      <w:fldChar w:fldCharType="separate"/>
    </w:r>
    <w:r w:rsidR="00D35E7B">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D35E7B">
      <w:rPr>
        <w:sz w:val="20"/>
        <w:szCs w:val="20"/>
      </w:rPr>
      <w:fldChar w:fldCharType="separate"/>
    </w:r>
    <w:r w:rsidR="00D35E7B">
      <w:rPr>
        <w:noProof/>
        <w:sz w:val="20"/>
        <w:szCs w:val="20"/>
      </w:rPr>
      <w:t>4</w:t>
    </w:r>
    <w:r>
      <w:rPr>
        <w:sz w:val="20"/>
        <w:szCs w:val="20"/>
      </w:rPr>
      <w:fldChar w:fldCharType="end"/>
    </w:r>
  </w:p>
  <w:p w:rsidR="006050BE" w:rsidRDefault="00A45393">
    <w:pPr>
      <w:tabs>
        <w:tab w:val="left" w:pos="7380"/>
      </w:tabs>
      <w:ind w:left="0"/>
    </w:pPr>
    <w:r>
      <w:rPr>
        <w:sz w:val="18"/>
        <w:szCs w:val="18"/>
      </w:rPr>
      <w:t>Date Reviewed/Revised/Effective:</w:t>
    </w:r>
    <w:r>
      <w:t xml:space="preserve"> </w:t>
    </w:r>
    <w:r>
      <w:rPr>
        <w:rFonts w:eastAsia="Arial" w:cs="Arial"/>
        <w:sz w:val="18"/>
        <w:szCs w:val="18"/>
      </w:rPr>
      <w:t>12/13, 3/14, 1/22, 1/24</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93" w:rsidRDefault="00A45393">
      <w:r>
        <w:separator/>
      </w:r>
    </w:p>
  </w:footnote>
  <w:footnote w:type="continuationSeparator" w:id="0">
    <w:p w:rsidR="00A45393" w:rsidRDefault="00A4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BE" w:rsidRDefault="006050BE">
    <w:pPr>
      <w:pBdr>
        <w:top w:val="nil"/>
        <w:left w:val="nil"/>
        <w:bottom w:val="nil"/>
        <w:right w:val="nil"/>
        <w:between w:val="nil"/>
      </w:pBdr>
      <w:tabs>
        <w:tab w:val="center" w:pos="4680"/>
        <w:tab w:val="right" w:pos="9360"/>
      </w:tabs>
      <w:jc w:val="right"/>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F0217"/>
    <w:multiLevelType w:val="multilevel"/>
    <w:tmpl w:val="C478C876"/>
    <w:lvl w:ilvl="0">
      <w:start w:val="7"/>
      <w:numFmt w:val="lowerLetter"/>
      <w:pStyle w:val="Heading1"/>
      <w:lvlText w:val="%1."/>
      <w:lvlJc w:val="left"/>
      <w:pPr>
        <w:ind w:left="2160" w:hanging="360"/>
      </w:pPr>
      <w:rPr>
        <w:b w:val="0"/>
        <w:i w:val="0"/>
      </w:rPr>
    </w:lvl>
    <w:lvl w:ilvl="1">
      <w:start w:val="1"/>
      <w:numFmt w:val="decimal"/>
      <w:pStyle w:val="Heading2"/>
      <w:lvlText w:val="%2."/>
      <w:lvlJc w:val="left"/>
      <w:pPr>
        <w:ind w:left="2880" w:hanging="360"/>
      </w:pPr>
    </w:lvl>
    <w:lvl w:ilvl="2">
      <w:start w:val="1"/>
      <w:numFmt w:val="decimal"/>
      <w:pStyle w:val="Heading3"/>
      <w:lvlText w:val="%3."/>
      <w:lvlJc w:val="left"/>
      <w:pPr>
        <w:ind w:left="3600" w:hanging="360"/>
      </w:pPr>
    </w:lvl>
    <w:lvl w:ilvl="3">
      <w:start w:val="1"/>
      <w:numFmt w:val="decimal"/>
      <w:pStyle w:val="Heading4"/>
      <w:lvlText w:val="%4."/>
      <w:lvlJc w:val="left"/>
      <w:pPr>
        <w:ind w:left="4320" w:hanging="360"/>
      </w:pPr>
    </w:lvl>
    <w:lvl w:ilvl="4">
      <w:start w:val="1"/>
      <w:numFmt w:val="decimal"/>
      <w:pStyle w:val="Heading5"/>
      <w:lvlText w:val="%5."/>
      <w:lvlJc w:val="left"/>
      <w:pPr>
        <w:ind w:left="5040" w:hanging="360"/>
      </w:pPr>
    </w:lvl>
    <w:lvl w:ilvl="5">
      <w:start w:val="1"/>
      <w:numFmt w:val="decimal"/>
      <w:pStyle w:val="Heading6"/>
      <w:lvlText w:val="%6."/>
      <w:lvlJc w:val="left"/>
      <w:pPr>
        <w:ind w:left="5760" w:hanging="360"/>
      </w:pPr>
    </w:lvl>
    <w:lvl w:ilvl="6">
      <w:start w:val="1"/>
      <w:numFmt w:val="decimal"/>
      <w:pStyle w:val="Heading7"/>
      <w:lvlText w:val="%7."/>
      <w:lvlJc w:val="left"/>
      <w:pPr>
        <w:ind w:left="6480" w:hanging="360"/>
      </w:pPr>
    </w:lvl>
    <w:lvl w:ilvl="7">
      <w:start w:val="1"/>
      <w:numFmt w:val="decimal"/>
      <w:pStyle w:val="Heading8"/>
      <w:lvlText w:val="%8."/>
      <w:lvlJc w:val="left"/>
      <w:pPr>
        <w:ind w:left="7200" w:hanging="360"/>
      </w:pPr>
    </w:lvl>
    <w:lvl w:ilvl="8">
      <w:start w:val="1"/>
      <w:numFmt w:val="decimal"/>
      <w:lvlText w:val="%9."/>
      <w:lvlJc w:val="left"/>
      <w:pPr>
        <w:ind w:left="7920" w:hanging="360"/>
      </w:pPr>
    </w:lvl>
  </w:abstractNum>
  <w:abstractNum w:abstractNumId="1" w15:restartNumberingAfterBreak="0">
    <w:nsid w:val="5D3C03B0"/>
    <w:multiLevelType w:val="multilevel"/>
    <w:tmpl w:val="2AA8FE82"/>
    <w:lvl w:ilvl="0">
      <w:start w:val="1"/>
      <w:numFmt w:val="decimal"/>
      <w:lvlText w:val="%1."/>
      <w:lvlJc w:val="left"/>
      <w:pPr>
        <w:ind w:left="720" w:hanging="360"/>
      </w:pPr>
    </w:lvl>
    <w:lvl w:ilvl="1">
      <w:start w:val="1"/>
      <w:numFmt w:val="lowerLetter"/>
      <w:lvlText w:val="%2."/>
      <w:lvlJc w:val="left"/>
      <w:pPr>
        <w:ind w:left="21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pStyle w:val="Heading9"/>
      <w:lvlText w:val="%9."/>
      <w:lvlJc w:val="left"/>
      <w:pPr>
        <w:ind w:left="6480" w:hanging="360"/>
      </w:pPr>
    </w:lvl>
  </w:abstractNum>
  <w:abstractNum w:abstractNumId="2" w15:restartNumberingAfterBreak="0">
    <w:nsid w:val="65912CE2"/>
    <w:multiLevelType w:val="multilevel"/>
    <w:tmpl w:val="211690FC"/>
    <w:lvl w:ilvl="0">
      <w:start w:val="1"/>
      <w:numFmt w:val="upperRoman"/>
      <w:lvlText w:val="%1."/>
      <w:lvlJc w:val="left"/>
      <w:pPr>
        <w:ind w:left="360" w:hanging="360"/>
      </w:pPr>
      <w:rPr>
        <w:rFonts w:ascii="Arial" w:eastAsia="Arial" w:hAnsi="Arial" w:cs="Arial"/>
        <w:b/>
        <w:i w:val="0"/>
        <w:sz w:val="22"/>
        <w:szCs w:val="22"/>
      </w:rPr>
    </w:lvl>
    <w:lvl w:ilvl="1">
      <w:start w:val="1"/>
      <w:numFmt w:val="upperLetter"/>
      <w:lvlText w:val="%2."/>
      <w:lvlJc w:val="left"/>
      <w:pPr>
        <w:ind w:left="720" w:hanging="360"/>
      </w:pPr>
      <w:rPr>
        <w:rFonts w:ascii="Arial" w:eastAsia="Arial" w:hAnsi="Arial" w:cs="Arial"/>
        <w:sz w:val="22"/>
        <w:szCs w:val="22"/>
      </w:rPr>
    </w:lvl>
    <w:lvl w:ilvl="2">
      <w:start w:val="1"/>
      <w:numFmt w:val="decimal"/>
      <w:lvlText w:val="%3."/>
      <w:lvlJc w:val="left"/>
      <w:pPr>
        <w:ind w:left="1080" w:hanging="360"/>
      </w:pPr>
      <w:rPr>
        <w:rFonts w:ascii="Arial" w:eastAsia="Arial" w:hAnsi="Arial" w:cs="Arial"/>
        <w:sz w:val="22"/>
        <w:szCs w:val="22"/>
      </w:rPr>
    </w:lvl>
    <w:lvl w:ilvl="3">
      <w:start w:val="1"/>
      <w:numFmt w:val="lowerLetter"/>
      <w:lvlText w:val="%4)"/>
      <w:lvlJc w:val="left"/>
      <w:pPr>
        <w:ind w:left="1440" w:hanging="360"/>
      </w:pPr>
      <w:rPr>
        <w:rFonts w:ascii="Arial" w:eastAsia="Arial" w:hAnsi="Arial" w:cs="Arial"/>
        <w:sz w:val="22"/>
        <w:szCs w:val="22"/>
      </w:rPr>
    </w:lvl>
    <w:lvl w:ilvl="4">
      <w:start w:val="1"/>
      <w:numFmt w:val="decimal"/>
      <w:lvlText w:val="%5)"/>
      <w:lvlJc w:val="left"/>
      <w:pPr>
        <w:ind w:left="1800" w:hanging="360"/>
      </w:pPr>
      <w:rPr>
        <w:rFonts w:ascii="Arial" w:eastAsia="Arial" w:hAnsi="Arial" w:cs="Arial"/>
        <w:sz w:val="22"/>
        <w:szCs w:val="22"/>
      </w:rPr>
    </w:lvl>
    <w:lvl w:ilvl="5">
      <w:start w:val="1"/>
      <w:numFmt w:val="lowerLetter"/>
      <w:lvlText w:val="%6."/>
      <w:lvlJc w:val="left"/>
      <w:pPr>
        <w:ind w:left="2160" w:hanging="360"/>
      </w:pPr>
      <w:rPr>
        <w:rFonts w:ascii="Arial" w:eastAsia="Arial" w:hAnsi="Arial" w:cs="Arial"/>
        <w:sz w:val="22"/>
        <w:szCs w:val="22"/>
      </w:rPr>
    </w:lvl>
    <w:lvl w:ilvl="6">
      <w:start w:val="1"/>
      <w:numFmt w:val="lowerRoman"/>
      <w:lvlText w:val="%7."/>
      <w:lvlJc w:val="left"/>
      <w:pPr>
        <w:ind w:left="2520" w:hanging="360"/>
      </w:pPr>
      <w:rPr>
        <w:rFonts w:ascii="Arial" w:eastAsia="Arial" w:hAnsi="Arial" w:cs="Arial"/>
        <w:sz w:val="22"/>
        <w:szCs w:val="22"/>
      </w:rPr>
    </w:lvl>
    <w:lvl w:ilvl="7">
      <w:start w:val="1"/>
      <w:numFmt w:val="decimal"/>
      <w:lvlText w:val="%8."/>
      <w:lvlJc w:val="left"/>
      <w:pPr>
        <w:ind w:left="720" w:hanging="360"/>
      </w:pPr>
      <w:rPr>
        <w:rFonts w:ascii="Arial" w:eastAsia="Arial" w:hAnsi="Arial" w:cs="Arial"/>
        <w:sz w:val="22"/>
        <w:szCs w:val="22"/>
      </w:rPr>
    </w:lvl>
    <w:lvl w:ilvl="8">
      <w:start w:val="1"/>
      <w:numFmt w:val="upperLetter"/>
      <w:lvlText w:val="%9."/>
      <w:lvlJc w:val="left"/>
      <w:pPr>
        <w:ind w:left="1080" w:hanging="360"/>
      </w:pPr>
      <w:rPr>
        <w:rFonts w:ascii="Arial" w:eastAsia="Arial" w:hAnsi="Arial" w:cs="Arial"/>
        <w:sz w:val="22"/>
        <w:szCs w:val="22"/>
      </w:rPr>
    </w:lvl>
  </w:abstractNum>
  <w:abstractNum w:abstractNumId="3" w15:restartNumberingAfterBreak="0">
    <w:nsid w:val="7B6C3449"/>
    <w:multiLevelType w:val="multilevel"/>
    <w:tmpl w:val="1A327130"/>
    <w:lvl w:ilvl="0">
      <w:start w:val="1"/>
      <w:numFmt w:val="upperRoman"/>
      <w:lvlText w:val="%1."/>
      <w:lvlJc w:val="left"/>
      <w:pPr>
        <w:ind w:left="360" w:hanging="360"/>
      </w:pPr>
      <w:rPr>
        <w:rFonts w:ascii="Arial" w:eastAsia="Arial" w:hAnsi="Arial" w:cs="Arial"/>
        <w:b/>
        <w:i w:val="0"/>
        <w:sz w:val="22"/>
        <w:szCs w:val="22"/>
      </w:rPr>
    </w:lvl>
    <w:lvl w:ilvl="1">
      <w:start w:val="1"/>
      <w:numFmt w:val="upperLetter"/>
      <w:lvlText w:val="%2."/>
      <w:lvlJc w:val="left"/>
      <w:pPr>
        <w:ind w:left="720" w:hanging="360"/>
      </w:pPr>
      <w:rPr>
        <w:rFonts w:ascii="Arial" w:eastAsia="Arial" w:hAnsi="Arial" w:cs="Arial"/>
        <w:sz w:val="22"/>
        <w:szCs w:val="22"/>
      </w:rPr>
    </w:lvl>
    <w:lvl w:ilvl="2">
      <w:start w:val="1"/>
      <w:numFmt w:val="decimal"/>
      <w:lvlText w:val="%3."/>
      <w:lvlJc w:val="left"/>
      <w:pPr>
        <w:ind w:left="1080" w:hanging="360"/>
      </w:pPr>
      <w:rPr>
        <w:rFonts w:ascii="Arial" w:eastAsia="Arial" w:hAnsi="Arial" w:cs="Arial"/>
        <w:sz w:val="22"/>
        <w:szCs w:val="22"/>
      </w:rPr>
    </w:lvl>
    <w:lvl w:ilvl="3">
      <w:start w:val="1"/>
      <w:numFmt w:val="lowerLetter"/>
      <w:lvlText w:val="%4)"/>
      <w:lvlJc w:val="left"/>
      <w:pPr>
        <w:ind w:left="1440" w:hanging="360"/>
      </w:pPr>
      <w:rPr>
        <w:rFonts w:ascii="Arial" w:eastAsia="Arial" w:hAnsi="Arial" w:cs="Arial"/>
        <w:sz w:val="22"/>
        <w:szCs w:val="22"/>
      </w:rPr>
    </w:lvl>
    <w:lvl w:ilvl="4">
      <w:start w:val="1"/>
      <w:numFmt w:val="decimal"/>
      <w:lvlText w:val="%5)"/>
      <w:lvlJc w:val="left"/>
      <w:pPr>
        <w:ind w:left="1800" w:hanging="360"/>
      </w:pPr>
      <w:rPr>
        <w:rFonts w:ascii="Arial" w:eastAsia="Arial" w:hAnsi="Arial" w:cs="Arial"/>
        <w:sz w:val="22"/>
        <w:szCs w:val="22"/>
      </w:rPr>
    </w:lvl>
    <w:lvl w:ilvl="5">
      <w:start w:val="1"/>
      <w:numFmt w:val="lowerLetter"/>
      <w:lvlText w:val="%6."/>
      <w:lvlJc w:val="left"/>
      <w:pPr>
        <w:ind w:left="2160" w:hanging="360"/>
      </w:pPr>
      <w:rPr>
        <w:rFonts w:ascii="Arial" w:eastAsia="Arial" w:hAnsi="Arial" w:cs="Arial"/>
        <w:sz w:val="22"/>
        <w:szCs w:val="22"/>
      </w:rPr>
    </w:lvl>
    <w:lvl w:ilvl="6">
      <w:start w:val="1"/>
      <w:numFmt w:val="lowerRoman"/>
      <w:lvlText w:val="%7."/>
      <w:lvlJc w:val="left"/>
      <w:pPr>
        <w:ind w:left="2520" w:hanging="360"/>
      </w:pPr>
      <w:rPr>
        <w:rFonts w:ascii="Arial" w:eastAsia="Arial" w:hAnsi="Arial" w:cs="Arial"/>
        <w:sz w:val="22"/>
        <w:szCs w:val="22"/>
      </w:rPr>
    </w:lvl>
    <w:lvl w:ilvl="7">
      <w:start w:val="1"/>
      <w:numFmt w:val="decimal"/>
      <w:lvlText w:val="%8."/>
      <w:lvlJc w:val="left"/>
      <w:pPr>
        <w:ind w:left="720" w:hanging="360"/>
      </w:pPr>
      <w:rPr>
        <w:rFonts w:ascii="Arial" w:eastAsia="Arial" w:hAnsi="Arial" w:cs="Arial"/>
        <w:sz w:val="22"/>
        <w:szCs w:val="22"/>
      </w:rPr>
    </w:lvl>
    <w:lvl w:ilvl="8">
      <w:start w:val="1"/>
      <w:numFmt w:val="upperLetter"/>
      <w:lvlText w:val="%9."/>
      <w:lvlJc w:val="left"/>
      <w:pPr>
        <w:ind w:left="1080" w:hanging="360"/>
      </w:pPr>
      <w:rPr>
        <w:rFonts w:ascii="Arial" w:eastAsia="Arial" w:hAnsi="Arial" w:cs="Arial"/>
        <w:sz w:val="22"/>
        <w:szCs w:val="22"/>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BE"/>
    <w:rsid w:val="006050BE"/>
    <w:rsid w:val="00A45393"/>
    <w:rsid w:val="00D3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8E17"/>
  <w15:docId w15:val="{8B4BBBF7-4543-4AAB-B808-84AE6EEB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tabs>
          <w:tab w:val="left" w:pos="7320"/>
        </w:tabs>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2F"/>
    <w:rPr>
      <w:rFonts w:eastAsia="Times New Roman" w:cs="Times New Roman"/>
      <w:szCs w:val="24"/>
    </w:rPr>
  </w:style>
  <w:style w:type="paragraph" w:styleId="Heading1">
    <w:name w:val="heading 1"/>
    <w:basedOn w:val="Normal"/>
    <w:next w:val="BodyText"/>
    <w:link w:val="Heading1Char"/>
    <w:qFormat/>
    <w:rsid w:val="00030E50"/>
    <w:pPr>
      <w:numPr>
        <w:numId w:val="2"/>
      </w:numPr>
      <w:tabs>
        <w:tab w:val="clear" w:pos="7320"/>
      </w:tabs>
      <w:spacing w:after="120"/>
      <w:outlineLvl w:val="0"/>
    </w:pPr>
    <w:rPr>
      <w:b/>
      <w:caps/>
    </w:rPr>
  </w:style>
  <w:style w:type="paragraph" w:styleId="Heading2">
    <w:name w:val="heading 2"/>
    <w:basedOn w:val="Normal"/>
    <w:link w:val="Heading2Char"/>
    <w:uiPriority w:val="2"/>
    <w:qFormat/>
    <w:rsid w:val="00EE302F"/>
    <w:pPr>
      <w:numPr>
        <w:ilvl w:val="1"/>
        <w:numId w:val="2"/>
      </w:numPr>
      <w:spacing w:before="120" w:after="120"/>
      <w:outlineLvl w:val="1"/>
    </w:pPr>
  </w:style>
  <w:style w:type="paragraph" w:styleId="Heading3">
    <w:name w:val="heading 3"/>
    <w:basedOn w:val="Normal"/>
    <w:link w:val="Heading3Char"/>
    <w:uiPriority w:val="4"/>
    <w:qFormat/>
    <w:rsid w:val="00EE302F"/>
    <w:pPr>
      <w:numPr>
        <w:ilvl w:val="2"/>
        <w:numId w:val="2"/>
      </w:numPr>
      <w:spacing w:before="120" w:after="120"/>
      <w:outlineLvl w:val="2"/>
    </w:pPr>
  </w:style>
  <w:style w:type="paragraph" w:styleId="Heading4">
    <w:name w:val="heading 4"/>
    <w:basedOn w:val="Normal"/>
    <w:link w:val="Heading4Char"/>
    <w:uiPriority w:val="6"/>
    <w:qFormat/>
    <w:rsid w:val="00EE302F"/>
    <w:pPr>
      <w:numPr>
        <w:ilvl w:val="3"/>
        <w:numId w:val="2"/>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EE302F"/>
    <w:pPr>
      <w:numPr>
        <w:ilvl w:val="4"/>
        <w:numId w:val="2"/>
      </w:numPr>
      <w:spacing w:before="120" w:after="120"/>
      <w:outlineLvl w:val="4"/>
    </w:pPr>
    <w:rPr>
      <w:rFonts w:eastAsiaTheme="majorEastAsia" w:cstheme="majorBidi"/>
    </w:rPr>
  </w:style>
  <w:style w:type="paragraph" w:styleId="Heading6">
    <w:name w:val="heading 6"/>
    <w:basedOn w:val="Normal"/>
    <w:link w:val="Heading6Char"/>
    <w:uiPriority w:val="10"/>
    <w:qFormat/>
    <w:rsid w:val="00EE302F"/>
    <w:pPr>
      <w:numPr>
        <w:ilvl w:val="5"/>
        <w:numId w:val="2"/>
      </w:numPr>
      <w:spacing w:before="120" w:after="120"/>
      <w:outlineLvl w:val="5"/>
    </w:pPr>
    <w:rPr>
      <w:rFonts w:eastAsiaTheme="majorEastAsia" w:cstheme="majorBidi"/>
    </w:rPr>
  </w:style>
  <w:style w:type="paragraph" w:styleId="Heading7">
    <w:name w:val="heading 7"/>
    <w:basedOn w:val="Normal"/>
    <w:link w:val="Heading7Char"/>
    <w:uiPriority w:val="12"/>
    <w:qFormat/>
    <w:rsid w:val="00EE302F"/>
    <w:pPr>
      <w:numPr>
        <w:ilvl w:val="6"/>
        <w:numId w:val="2"/>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2"/>
      </w:numPr>
      <w:spacing w:after="120"/>
      <w:outlineLvl w:val="7"/>
    </w:pPr>
    <w:rPr>
      <w:rFonts w:eastAsiaTheme="majorEastAsia" w:cstheme="majorBidi"/>
      <w:szCs w:val="21"/>
    </w:rPr>
  </w:style>
  <w:style w:type="paragraph" w:styleId="Heading9">
    <w:name w:val="heading 9"/>
    <w:basedOn w:val="Normal"/>
    <w:link w:val="Heading9Char"/>
    <w:uiPriority w:val="16"/>
    <w:qFormat/>
    <w:rsid w:val="00EE302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3E9"/>
    <w:pPr>
      <w:tabs>
        <w:tab w:val="clear" w:pos="7320"/>
      </w:tabs>
      <w:ind w:left="0"/>
      <w:jc w:val="center"/>
    </w:pPr>
    <w:rPr>
      <w:b/>
    </w:rPr>
  </w:style>
  <w:style w:type="character" w:customStyle="1" w:styleId="Heading1Char">
    <w:name w:val="Heading 1 Char"/>
    <w:basedOn w:val="DefaultParagraphFont"/>
    <w:link w:val="Heading1"/>
    <w:rsid w:val="00030E50"/>
    <w:rPr>
      <w:rFonts w:ascii="Arial" w:eastAsia="Times New Roman" w:hAnsi="Arial" w:cs="Times New Roman"/>
      <w:b/>
      <w:caps/>
      <w:szCs w:val="24"/>
    </w:rPr>
  </w:style>
  <w:style w:type="paragraph" w:styleId="Header">
    <w:name w:val="header"/>
    <w:basedOn w:val="Normal"/>
    <w:link w:val="HeaderChar"/>
    <w:semiHidden/>
    <w:qFormat/>
    <w:rsid w:val="00EE302F"/>
    <w:pPr>
      <w:tabs>
        <w:tab w:val="center" w:pos="4680"/>
        <w:tab w:val="right" w:pos="9360"/>
      </w:tabs>
    </w:pPr>
  </w:style>
  <w:style w:type="character" w:customStyle="1" w:styleId="HeaderChar">
    <w:name w:val="Header Char"/>
    <w:basedOn w:val="DefaultParagraphFont"/>
    <w:link w:val="Header"/>
    <w:semiHidden/>
    <w:rsid w:val="00EE302F"/>
    <w:rPr>
      <w:rFonts w:ascii="Arial" w:eastAsia="Times New Roman" w:hAnsi="Arial" w:cs="Times New Roman"/>
      <w:szCs w:val="24"/>
    </w:rPr>
  </w:style>
  <w:style w:type="character" w:customStyle="1" w:styleId="TitleChar">
    <w:name w:val="Title Char"/>
    <w:basedOn w:val="DefaultParagraphFont"/>
    <w:link w:val="Title"/>
    <w:rsid w:val="004843E9"/>
    <w:rPr>
      <w:rFonts w:ascii="Arial" w:eastAsia="Times New Roman" w:hAnsi="Arial" w:cs="Times New Roman"/>
      <w:b/>
      <w:szCs w:val="24"/>
    </w:rPr>
  </w:style>
  <w:style w:type="paragraph" w:styleId="ListParagraph">
    <w:name w:val="List Paragraph"/>
    <w:basedOn w:val="Normal"/>
    <w:uiPriority w:val="99"/>
    <w:qFormat/>
    <w:rsid w:val="00EE302F"/>
    <w:pPr>
      <w:contextualSpacing/>
    </w:pPr>
  </w:style>
  <w:style w:type="table" w:styleId="TableGrid">
    <w:name w:val="Table Grid"/>
    <w:basedOn w:val="TableNormal"/>
    <w:uiPriority w:val="59"/>
    <w:rsid w:val="001A2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EE302F"/>
    <w:rPr>
      <w:rFonts w:ascii="Arial" w:eastAsia="Times New Roman" w:hAnsi="Arial" w:cs="Times New Roman"/>
      <w:szCs w:val="24"/>
    </w:rPr>
  </w:style>
  <w:style w:type="character" w:customStyle="1" w:styleId="Heading3Char">
    <w:name w:val="Heading 3 Char"/>
    <w:basedOn w:val="DefaultParagraphFont"/>
    <w:link w:val="Heading3"/>
    <w:uiPriority w:val="4"/>
    <w:rsid w:val="00EE302F"/>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EE302F"/>
    <w:rPr>
      <w:b/>
      <w:bCs/>
    </w:rPr>
  </w:style>
  <w:style w:type="character" w:customStyle="1" w:styleId="Heading4Char">
    <w:name w:val="Heading 4 Char"/>
    <w:basedOn w:val="DefaultParagraphFont"/>
    <w:link w:val="Heading4"/>
    <w:uiPriority w:val="6"/>
    <w:rsid w:val="00EE302F"/>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EE302F"/>
    <w:rPr>
      <w:rFonts w:ascii="Arial" w:eastAsiaTheme="majorEastAsia" w:hAnsi="Arial" w:cstheme="majorBidi"/>
      <w:szCs w:val="24"/>
    </w:rPr>
  </w:style>
  <w:style w:type="character" w:customStyle="1" w:styleId="Heading5Char">
    <w:name w:val="Heading 5 Char"/>
    <w:basedOn w:val="DefaultParagraphFont"/>
    <w:link w:val="Heading5"/>
    <w:uiPriority w:val="8"/>
    <w:rsid w:val="00EE302F"/>
    <w:rPr>
      <w:rFonts w:ascii="Arial" w:eastAsiaTheme="majorEastAsia" w:hAnsi="Arial" w:cstheme="majorBidi"/>
      <w:szCs w:val="24"/>
    </w:rPr>
  </w:style>
  <w:style w:type="character" w:customStyle="1" w:styleId="Heading7Char">
    <w:name w:val="Heading 7 Char"/>
    <w:basedOn w:val="DefaultParagraphFont"/>
    <w:link w:val="Heading7"/>
    <w:uiPriority w:val="12"/>
    <w:rsid w:val="00EE302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404EF9"/>
    <w:pPr>
      <w:ind w:left="720"/>
    </w:pPr>
  </w:style>
  <w:style w:type="character" w:customStyle="1" w:styleId="BodyText2Char">
    <w:name w:val="Body Text 2 Char"/>
    <w:basedOn w:val="DefaultParagraphFont"/>
    <w:link w:val="BodyText2"/>
    <w:uiPriority w:val="3"/>
    <w:rsid w:val="003F11F2"/>
    <w:rPr>
      <w:rFonts w:ascii="Arial" w:eastAsia="Times New Roman" w:hAnsi="Arial" w:cs="Times New Roman"/>
      <w:szCs w:val="24"/>
    </w:rPr>
  </w:style>
  <w:style w:type="paragraph" w:styleId="BodyText3">
    <w:name w:val="Body Text 3"/>
    <w:basedOn w:val="Normal"/>
    <w:link w:val="BodyText3Char"/>
    <w:uiPriority w:val="5"/>
    <w:rsid w:val="00404EF9"/>
    <w:pPr>
      <w:spacing w:after="120"/>
      <w:ind w:left="1080"/>
    </w:pPr>
    <w:rPr>
      <w:szCs w:val="16"/>
    </w:rPr>
  </w:style>
  <w:style w:type="character" w:customStyle="1" w:styleId="BodyText3Char">
    <w:name w:val="Body Text 3 Char"/>
    <w:basedOn w:val="DefaultParagraphFont"/>
    <w:link w:val="BodyText3"/>
    <w:uiPriority w:val="5"/>
    <w:rsid w:val="00404EF9"/>
    <w:rPr>
      <w:rFonts w:ascii="Arial" w:eastAsia="Times New Roman" w:hAnsi="Arial" w:cs="Times New Roman"/>
      <w:szCs w:val="16"/>
    </w:rPr>
  </w:style>
  <w:style w:type="paragraph" w:customStyle="1" w:styleId="BodyText4">
    <w:name w:val="Body Text 4"/>
    <w:basedOn w:val="Normal"/>
    <w:uiPriority w:val="7"/>
    <w:qFormat/>
    <w:rsid w:val="00EE302F"/>
    <w:pPr>
      <w:spacing w:after="120"/>
      <w:ind w:left="1440"/>
    </w:pPr>
  </w:style>
  <w:style w:type="paragraph" w:customStyle="1" w:styleId="BodyText5">
    <w:name w:val="Body Text 5"/>
    <w:basedOn w:val="Normal"/>
    <w:uiPriority w:val="9"/>
    <w:qFormat/>
    <w:rsid w:val="00EE302F"/>
    <w:pPr>
      <w:spacing w:after="120"/>
      <w:ind w:left="1800"/>
    </w:pPr>
  </w:style>
  <w:style w:type="paragraph" w:customStyle="1" w:styleId="BodyText6">
    <w:name w:val="Body Text 6"/>
    <w:basedOn w:val="Normal"/>
    <w:uiPriority w:val="11"/>
    <w:qFormat/>
    <w:rsid w:val="00EE302F"/>
    <w:pPr>
      <w:spacing w:after="120"/>
      <w:ind w:left="2160"/>
    </w:pPr>
  </w:style>
  <w:style w:type="paragraph" w:customStyle="1" w:styleId="BodyText7">
    <w:name w:val="Body Text 7"/>
    <w:basedOn w:val="Heading7"/>
    <w:uiPriority w:val="13"/>
    <w:qFormat/>
    <w:rsid w:val="00EE302F"/>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EE302F"/>
    <w:rPr>
      <w:rFonts w:ascii="Arial" w:eastAsia="Times New Roman" w:hAnsi="Arial" w:cs="Times New Roman"/>
      <w:szCs w:val="24"/>
    </w:rPr>
  </w:style>
  <w:style w:type="character" w:styleId="SubtleReference">
    <w:name w:val="Subtle Reference"/>
    <w:basedOn w:val="DefaultParagraphFont"/>
    <w:uiPriority w:val="31"/>
    <w:semiHidden/>
    <w:qFormat/>
    <w:rsid w:val="00EE302F"/>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EE302F"/>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EE302F"/>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6D5207"/>
    <w:rPr>
      <w:rFonts w:ascii="Arial" w:hAnsi="Arial"/>
      <w:sz w:val="22"/>
    </w:rPr>
  </w:style>
  <w:style w:type="character" w:customStyle="1" w:styleId="ZF1">
    <w:name w:val="ZF1"/>
    <w:basedOn w:val="DefaultParagraphFont"/>
    <w:uiPriority w:val="1"/>
    <w:rsid w:val="006D5207"/>
    <w:rPr>
      <w:rFonts w:ascii="Arial" w:hAnsi="Arial"/>
      <w:sz w:val="20"/>
    </w:rPr>
  </w:style>
  <w:style w:type="character" w:customStyle="1" w:styleId="ZF2">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unhideWhenUsed/>
    <w:rsid w:val="00AA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E8"/>
    <w:rPr>
      <w:rFonts w:ascii="Segoe UI" w:eastAsia="Times New Roman" w:hAnsi="Segoe UI" w:cs="Segoe UI"/>
      <w:sz w:val="18"/>
      <w:szCs w:val="18"/>
    </w:rPr>
  </w:style>
  <w:style w:type="character" w:customStyle="1" w:styleId="apple-tab-span">
    <w:name w:val="apple-tab-span"/>
    <w:basedOn w:val="DefaultParagraphFont"/>
    <w:rsid w:val="00EB04F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RBBDZToZNPIx90Ti7VqwtUxZg==">CgMxLjAyCGguZ2pkZ3hzOAByITFJNlE4OEt6bzVVRjU5bWlUSHpPeTVFODVuaEZBWkkwdw==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957</Words>
  <Characters>5457</Characters>
  <Application>Microsoft Office Word</Application>
  <DocSecurity>0</DocSecurity>
  <Lines>45</Lines>
  <Paragraphs>12</Paragraphs>
  <ScaleCrop>false</ScaleCrop>
  <Company>Dignity Health</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Guthrie, Kendra - FHMC</cp:lastModifiedBy>
  <cp:revision>2</cp:revision>
  <dcterms:created xsi:type="dcterms:W3CDTF">2022-01-19T01:11:00Z</dcterms:created>
  <dcterms:modified xsi:type="dcterms:W3CDTF">2024-02-27T23:51:00Z</dcterms:modified>
</cp:coreProperties>
</file>