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A" w:rsidRPr="00C043FA" w:rsidRDefault="0028291A" w:rsidP="0028291A">
      <w:pPr>
        <w:rPr>
          <w:rFonts w:ascii="Arial" w:hAnsi="Arial" w:cs="Arial"/>
          <w:b/>
          <w:sz w:val="24"/>
        </w:rPr>
      </w:pPr>
      <w:r w:rsidRPr="00C043FA">
        <w:rPr>
          <w:rFonts w:ascii="Arial" w:hAnsi="Arial" w:cs="Arial"/>
          <w:b/>
          <w:sz w:val="24"/>
        </w:rPr>
        <w:t>NOTES:</w:t>
      </w:r>
    </w:p>
    <w:p w:rsidR="0028291A" w:rsidRDefault="0028291A" w:rsidP="002829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process will not be used for blood requested to be issued to OR, PACU, ONC, </w:t>
      </w:r>
      <w:r w:rsidR="00C043FA">
        <w:rPr>
          <w:rFonts w:ascii="Arial" w:hAnsi="Arial" w:cs="Arial"/>
          <w:sz w:val="24"/>
        </w:rPr>
        <w:t>“Specials” (i.e. GI Services, Cardiac Cath, etc.)</w:t>
      </w:r>
      <w:r>
        <w:rPr>
          <w:rFonts w:ascii="Arial" w:hAnsi="Arial" w:cs="Arial"/>
          <w:sz w:val="24"/>
        </w:rPr>
        <w:t xml:space="preserve">, </w:t>
      </w:r>
      <w:r w:rsidR="00C043FA">
        <w:rPr>
          <w:rFonts w:ascii="Arial" w:hAnsi="Arial" w:cs="Arial"/>
          <w:sz w:val="24"/>
        </w:rPr>
        <w:t>or in the event of any sort of acute bleeding scenario or massive hemo</w:t>
      </w:r>
      <w:r w:rsidR="00E50F09">
        <w:rPr>
          <w:rFonts w:ascii="Arial" w:hAnsi="Arial" w:cs="Arial"/>
          <w:sz w:val="24"/>
        </w:rPr>
        <w:t>rrhage. Use your best judgment.</w:t>
      </w:r>
      <w:r w:rsidR="00313C6C">
        <w:rPr>
          <w:rFonts w:ascii="Arial" w:hAnsi="Arial" w:cs="Arial"/>
          <w:sz w:val="24"/>
        </w:rPr>
        <w:t xml:space="preserve"> If there are any </w:t>
      </w:r>
      <w:r w:rsidR="006C4222">
        <w:rPr>
          <w:rFonts w:ascii="Arial" w:hAnsi="Arial" w:cs="Arial"/>
          <w:sz w:val="24"/>
        </w:rPr>
        <w:t>problems</w:t>
      </w:r>
      <w:r w:rsidR="00313C6C">
        <w:rPr>
          <w:rFonts w:ascii="Arial" w:hAnsi="Arial" w:cs="Arial"/>
          <w:sz w:val="24"/>
        </w:rPr>
        <w:t xml:space="preserve">, </w:t>
      </w:r>
      <w:r w:rsidR="006C4222">
        <w:rPr>
          <w:rFonts w:ascii="Arial" w:hAnsi="Arial" w:cs="Arial"/>
          <w:sz w:val="24"/>
        </w:rPr>
        <w:t>complaints or discrepancies</w:t>
      </w:r>
      <w:r w:rsidR="00313C6C">
        <w:rPr>
          <w:rFonts w:ascii="Arial" w:hAnsi="Arial" w:cs="Arial"/>
          <w:sz w:val="24"/>
        </w:rPr>
        <w:t xml:space="preserve"> while using this process</w:t>
      </w:r>
      <w:r w:rsidR="00C84B06">
        <w:rPr>
          <w:rFonts w:ascii="Arial" w:hAnsi="Arial" w:cs="Arial"/>
          <w:sz w:val="24"/>
        </w:rPr>
        <w:t>,</w:t>
      </w:r>
      <w:r w:rsidR="00313C6C">
        <w:rPr>
          <w:rFonts w:ascii="Arial" w:hAnsi="Arial" w:cs="Arial"/>
          <w:sz w:val="24"/>
        </w:rPr>
        <w:t xml:space="preserve"> document with an occurrence report form (ORF).</w:t>
      </w:r>
    </w:p>
    <w:p w:rsidR="00C043FA" w:rsidRDefault="00C043FA" w:rsidP="002829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using this process reveals that there is no order for transfusion of a patient</w:t>
      </w:r>
      <w:r w:rsidR="00B122C9">
        <w:rPr>
          <w:rFonts w:ascii="Arial" w:hAnsi="Arial" w:cs="Arial"/>
          <w:sz w:val="24"/>
        </w:rPr>
        <w:t xml:space="preserve"> or if the order is cancelled (the order would be in red text on the status board and the status would be CNC)</w:t>
      </w:r>
      <w:r w:rsidR="00BF3365">
        <w:rPr>
          <w:rFonts w:ascii="Arial" w:hAnsi="Arial" w:cs="Arial"/>
          <w:sz w:val="24"/>
        </w:rPr>
        <w:t>, call the patient’s nurse and verify the order.</w:t>
      </w:r>
    </w:p>
    <w:p w:rsidR="00C043FA" w:rsidRPr="00C043FA" w:rsidRDefault="00D77754" w:rsidP="00C043F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C043FA">
        <w:rPr>
          <w:rFonts w:ascii="Arial" w:hAnsi="Arial" w:cs="Arial"/>
          <w:sz w:val="24"/>
        </w:rPr>
        <w:t>old off on releasing the blood products un</w:t>
      </w:r>
      <w:r w:rsidR="004A2FB8">
        <w:rPr>
          <w:rFonts w:ascii="Arial" w:hAnsi="Arial" w:cs="Arial"/>
          <w:sz w:val="24"/>
        </w:rPr>
        <w:t>til it is resolved (except in the case of</w:t>
      </w:r>
      <w:r w:rsidR="00C043FA">
        <w:rPr>
          <w:rFonts w:ascii="Arial" w:hAnsi="Arial" w:cs="Arial"/>
          <w:sz w:val="24"/>
        </w:rPr>
        <w:t xml:space="preserve"> emergencies)</w:t>
      </w:r>
      <w:r w:rsidR="008B47F3">
        <w:rPr>
          <w:rFonts w:ascii="Arial" w:hAnsi="Arial" w:cs="Arial"/>
          <w:sz w:val="24"/>
        </w:rPr>
        <w:t>.</w:t>
      </w:r>
    </w:p>
    <w:p w:rsidR="00C043FA" w:rsidRDefault="00C043FA" w:rsidP="00C043F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 the date, time, and name of RN you spoke with</w:t>
      </w:r>
      <w:r w:rsidR="008B47F3">
        <w:rPr>
          <w:rFonts w:ascii="Arial" w:hAnsi="Arial" w:cs="Arial"/>
          <w:sz w:val="24"/>
        </w:rPr>
        <w:t>.</w:t>
      </w:r>
    </w:p>
    <w:p w:rsidR="00C043FA" w:rsidRDefault="00C043FA" w:rsidP="00C043F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Ask the nurse to verify the order for transfusion</w:t>
      </w:r>
      <w:r w:rsidR="008B47F3">
        <w:rPr>
          <w:rFonts w:ascii="Arial" w:hAnsi="Arial" w:cs="Arial"/>
          <w:sz w:val="24"/>
        </w:rPr>
        <w:t>.</w:t>
      </w:r>
    </w:p>
    <w:p w:rsidR="00C043FA" w:rsidRDefault="006A60F8" w:rsidP="00C043FA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During downtime or i</w:t>
      </w:r>
      <w:r w:rsidR="00C043FA">
        <w:rPr>
          <w:rFonts w:ascii="Arial" w:hAnsi="Arial" w:cs="Arial"/>
          <w:sz w:val="24"/>
        </w:rPr>
        <w:t xml:space="preserve">f the nurse has the order for transfusion but it is not filed electronically, </w:t>
      </w:r>
      <w:r w:rsidR="00BF3365">
        <w:rPr>
          <w:rFonts w:ascii="Arial" w:hAnsi="Arial" w:cs="Arial"/>
          <w:sz w:val="24"/>
        </w:rPr>
        <w:t>seeing a copy of the written order is acceptable (faxed or tubed to the blood bank).</w:t>
      </w:r>
    </w:p>
    <w:p w:rsidR="000A4AFC" w:rsidRPr="00BE1927" w:rsidRDefault="000A4AFC" w:rsidP="00BE19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</w:t>
      </w:r>
      <w:r w:rsidR="00ED06B2">
        <w:rPr>
          <w:rFonts w:ascii="Arial" w:hAnsi="Arial" w:cs="Arial"/>
          <w:sz w:val="24"/>
        </w:rPr>
        <w:t xml:space="preserve">same </w:t>
      </w:r>
      <w:r>
        <w:rPr>
          <w:rFonts w:ascii="Arial" w:hAnsi="Arial" w:cs="Arial"/>
          <w:sz w:val="24"/>
        </w:rPr>
        <w:t>process can also be used to verify the specific information on the request to blood to determine if special transfusion requirements were ordered.</w:t>
      </w:r>
    </w:p>
    <w:p w:rsidR="00C043FA" w:rsidRPr="003A4CEA" w:rsidRDefault="008B47F3" w:rsidP="0028291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PROCEDURE </w:t>
      </w:r>
    </w:p>
    <w:p w:rsidR="002D3015" w:rsidRPr="00BF3365" w:rsidRDefault="002D3015" w:rsidP="002D301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D3015">
        <w:rPr>
          <w:rFonts w:ascii="Arial" w:hAnsi="Arial" w:cs="Arial"/>
          <w:sz w:val="24"/>
        </w:rPr>
        <w:t>To load the status board, navigate to:</w:t>
      </w:r>
      <w:r>
        <w:rPr>
          <w:rFonts w:ascii="Arial" w:hAnsi="Arial" w:cs="Arial"/>
          <w:sz w:val="24"/>
        </w:rPr>
        <w:t xml:space="preserve"> </w:t>
      </w:r>
      <w:r w:rsidRPr="002D3015">
        <w:rPr>
          <w:rFonts w:ascii="Arial" w:hAnsi="Arial" w:cs="Arial"/>
          <w:b/>
          <w:sz w:val="24"/>
        </w:rPr>
        <w:t>ORDER ENTRY – Saint Agnes Hospital – Process Orders</w:t>
      </w:r>
      <w:r w:rsidR="00966A6D">
        <w:rPr>
          <w:rFonts w:ascii="Arial" w:hAnsi="Arial" w:cs="Arial"/>
          <w:b/>
          <w:sz w:val="24"/>
        </w:rPr>
        <w:t>.</w:t>
      </w:r>
    </w:p>
    <w:p w:rsidR="00BF3365" w:rsidRDefault="00BF3365" w:rsidP="002D301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2305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65" w:rsidRPr="00BF3365" w:rsidRDefault="00BF3365" w:rsidP="00BF3365">
      <w:pPr>
        <w:rPr>
          <w:rFonts w:ascii="Arial" w:hAnsi="Arial" w:cs="Arial"/>
          <w:sz w:val="24"/>
        </w:rPr>
      </w:pPr>
    </w:p>
    <w:p w:rsidR="002D3015" w:rsidRDefault="002D3015" w:rsidP="002D3015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orders desktop will load, navigate to </w:t>
      </w:r>
      <w:r w:rsidRPr="002D3015">
        <w:rPr>
          <w:rFonts w:ascii="Arial" w:hAnsi="Arial" w:cs="Arial"/>
          <w:b/>
          <w:sz w:val="24"/>
        </w:rPr>
        <w:t>Process by Location</w:t>
      </w:r>
      <w:r>
        <w:rPr>
          <w:rFonts w:ascii="Arial" w:hAnsi="Arial" w:cs="Arial"/>
          <w:sz w:val="24"/>
        </w:rPr>
        <w:t xml:space="preserve"> via the button at the bottom of the screen</w:t>
      </w:r>
      <w:r w:rsidR="00966A6D">
        <w:rPr>
          <w:rFonts w:ascii="Arial" w:hAnsi="Arial" w:cs="Arial"/>
          <w:sz w:val="24"/>
        </w:rPr>
        <w:t>.</w:t>
      </w:r>
    </w:p>
    <w:p w:rsidR="002D3015" w:rsidRDefault="002D3015" w:rsidP="002D301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486150" cy="5143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3AA" w:rsidRDefault="002D3015" w:rsidP="00B633A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011D7">
        <w:rPr>
          <w:rFonts w:ascii="Arial" w:hAnsi="Arial" w:cs="Arial"/>
          <w:sz w:val="24"/>
        </w:rPr>
        <w:t>The Process</w:t>
      </w:r>
      <w:r w:rsidR="00A011D7">
        <w:rPr>
          <w:rFonts w:ascii="Arial" w:hAnsi="Arial" w:cs="Arial"/>
          <w:sz w:val="24"/>
        </w:rPr>
        <w:t xml:space="preserve"> by Location interface will lo</w:t>
      </w:r>
      <w:r w:rsidR="00B633AA">
        <w:rPr>
          <w:rFonts w:ascii="Arial" w:hAnsi="Arial" w:cs="Arial"/>
          <w:sz w:val="24"/>
        </w:rPr>
        <w:t>ad</w:t>
      </w:r>
      <w:r w:rsidR="00966A6D">
        <w:rPr>
          <w:rFonts w:ascii="Arial" w:hAnsi="Arial" w:cs="Arial"/>
          <w:sz w:val="24"/>
        </w:rPr>
        <w:t>.</w:t>
      </w:r>
    </w:p>
    <w:p w:rsidR="00B633AA" w:rsidRDefault="00B633AA" w:rsidP="00B633AA">
      <w:pPr>
        <w:pStyle w:val="ListParagraph"/>
        <w:ind w:left="0"/>
        <w:rPr>
          <w:rFonts w:ascii="Arial" w:hAnsi="Arial" w:cs="Arial"/>
          <w:sz w:val="24"/>
        </w:rPr>
      </w:pPr>
    </w:p>
    <w:p w:rsidR="00B633AA" w:rsidRDefault="00B633AA" w:rsidP="00B633AA">
      <w:pPr>
        <w:pStyle w:val="ListParagraph"/>
        <w:ind w:left="0"/>
        <w:rPr>
          <w:rFonts w:ascii="Arial" w:hAnsi="Arial" w:cs="Arial"/>
          <w:sz w:val="24"/>
        </w:rPr>
      </w:pPr>
      <w:r w:rsidRPr="00B633AA">
        <w:rPr>
          <w:noProof/>
        </w:rPr>
        <w:drawing>
          <wp:inline distT="0" distB="0" distL="0" distR="0">
            <wp:extent cx="4040000" cy="4035353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00" cy="403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3AA" w:rsidRDefault="00B633AA" w:rsidP="00B633AA">
      <w:pPr>
        <w:pStyle w:val="ListParagraph"/>
        <w:rPr>
          <w:rFonts w:ascii="Arial" w:hAnsi="Arial" w:cs="Arial"/>
          <w:sz w:val="24"/>
        </w:rPr>
      </w:pPr>
    </w:p>
    <w:p w:rsidR="00B633AA" w:rsidRDefault="00B633AA" w:rsidP="00B633A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Enter the selection Profile, “zTEST”</w:t>
      </w:r>
      <w:r w:rsidR="00966A6D">
        <w:rPr>
          <w:rFonts w:ascii="Arial" w:hAnsi="Arial" w:cs="Arial"/>
          <w:sz w:val="24"/>
        </w:rPr>
        <w:t>.</w:t>
      </w:r>
    </w:p>
    <w:p w:rsidR="007119FC" w:rsidRDefault="00B633AA" w:rsidP="00B633A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562350" cy="94297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65" w:rsidRPr="00B633AA" w:rsidRDefault="00BF3365" w:rsidP="00B633AA">
      <w:pPr>
        <w:rPr>
          <w:rFonts w:ascii="Arial" w:hAnsi="Arial" w:cs="Arial"/>
          <w:sz w:val="24"/>
        </w:rPr>
      </w:pPr>
    </w:p>
    <w:p w:rsidR="007119FC" w:rsidRDefault="007119FC" w:rsidP="00B633A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Enter (Scan) the patient’s account number into the Patient field</w:t>
      </w:r>
      <w:r w:rsidR="00966A6D">
        <w:rPr>
          <w:rFonts w:ascii="Arial" w:hAnsi="Arial" w:cs="Arial"/>
          <w:sz w:val="24"/>
        </w:rPr>
        <w:t>.</w:t>
      </w:r>
    </w:p>
    <w:p w:rsidR="00AA2111" w:rsidRPr="007119FC" w:rsidRDefault="00AA2111" w:rsidP="007119F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5048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11" w:rsidRDefault="00AA2111" w:rsidP="00B633A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confirmation window will appear, if the patient information is correct, click Yes.</w:t>
      </w:r>
    </w:p>
    <w:p w:rsidR="002D3015" w:rsidRDefault="00AA2111" w:rsidP="00B633A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an option to determine what time period the interface will load. The default is today’s date. Entering “T-3” will into “From Service Date” will pull all orders from the last 3 days.</w:t>
      </w:r>
    </w:p>
    <w:p w:rsidR="00B633AA" w:rsidRDefault="007119FC" w:rsidP="00B633A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324225" cy="80010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15" w:rsidRDefault="00AA2111" w:rsidP="00582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interface defaults with BBK orders, EDNUR, and NUR orders showing.</w:t>
      </w:r>
    </w:p>
    <w:p w:rsidR="005823F7" w:rsidRPr="005823F7" w:rsidRDefault="005823F7" w:rsidP="005823F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34075" cy="13144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15" w:rsidRDefault="005823F7" w:rsidP="00582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OK or hit F12</w:t>
      </w:r>
      <w:r w:rsidR="00966A6D">
        <w:rPr>
          <w:rFonts w:ascii="Arial" w:hAnsi="Arial" w:cs="Arial"/>
          <w:sz w:val="24"/>
        </w:rPr>
        <w:t>.</w:t>
      </w:r>
    </w:p>
    <w:p w:rsidR="005823F7" w:rsidRDefault="005823F7" w:rsidP="005823F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571625" cy="53340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F7" w:rsidRDefault="005823F7" w:rsidP="00582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desktop will take several seconds to load</w:t>
      </w:r>
      <w:r w:rsidR="00966A6D">
        <w:rPr>
          <w:rFonts w:ascii="Arial" w:hAnsi="Arial" w:cs="Arial"/>
          <w:sz w:val="24"/>
        </w:rPr>
        <w:t>.</w:t>
      </w:r>
    </w:p>
    <w:p w:rsidR="005823F7" w:rsidRDefault="005823F7" w:rsidP="005823F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914525" cy="53340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F7" w:rsidRDefault="005823F7" w:rsidP="005823F7">
      <w:pPr>
        <w:pStyle w:val="ListParagraph"/>
        <w:rPr>
          <w:rFonts w:ascii="Arial" w:hAnsi="Arial" w:cs="Arial"/>
          <w:sz w:val="24"/>
        </w:rPr>
      </w:pPr>
    </w:p>
    <w:p w:rsidR="005823F7" w:rsidRDefault="005823F7" w:rsidP="00582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desktop</w:t>
      </w:r>
      <w:r w:rsidR="00C52F56">
        <w:rPr>
          <w:rFonts w:ascii="Arial" w:hAnsi="Arial" w:cs="Arial"/>
          <w:sz w:val="24"/>
        </w:rPr>
        <w:t xml:space="preserve"> appears as below.</w:t>
      </w:r>
    </w:p>
    <w:p w:rsidR="00AA2111" w:rsidRPr="00AA2111" w:rsidRDefault="00AA2111" w:rsidP="00AA2111">
      <w:pPr>
        <w:rPr>
          <w:rFonts w:ascii="Arial" w:hAnsi="Arial" w:cs="Arial"/>
          <w:sz w:val="24"/>
        </w:rPr>
      </w:pPr>
    </w:p>
    <w:p w:rsidR="005823F7" w:rsidRDefault="00E31A2E" w:rsidP="005823F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34075" cy="4714875"/>
            <wp:effectExtent l="19050" t="0" r="952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11" w:rsidRPr="00AA2111" w:rsidRDefault="00AA2111" w:rsidP="00AA2111">
      <w:pPr>
        <w:rPr>
          <w:rFonts w:ascii="Arial" w:hAnsi="Arial" w:cs="Arial"/>
          <w:b/>
          <w:sz w:val="24"/>
        </w:rPr>
      </w:pPr>
      <w:r w:rsidRPr="00AA2111">
        <w:rPr>
          <w:rFonts w:ascii="Arial" w:hAnsi="Arial" w:cs="Arial"/>
          <w:b/>
          <w:sz w:val="24"/>
        </w:rPr>
        <w:t>Verifying Transfusion Orders</w:t>
      </w:r>
      <w:r>
        <w:rPr>
          <w:rFonts w:ascii="Arial" w:hAnsi="Arial" w:cs="Arial"/>
          <w:b/>
          <w:sz w:val="24"/>
        </w:rPr>
        <w:t xml:space="preserve"> (NUR, EDNUR orders)</w:t>
      </w:r>
    </w:p>
    <w:p w:rsidR="00E31A2E" w:rsidRDefault="00E31A2E" w:rsidP="00C52F5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process board loads with the most recent order at the top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column in the desktop is sortable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Status column indicates that an order is either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CMP “Complete”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IPR “In progress”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CNC “Cancelled”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view the information for an order, highlight </w:t>
      </w:r>
      <w:r w:rsidR="00E31A2E">
        <w:rPr>
          <w:rFonts w:ascii="Arial" w:hAnsi="Arial" w:cs="Arial"/>
          <w:sz w:val="24"/>
        </w:rPr>
        <w:t xml:space="preserve">the order and </w:t>
      </w:r>
      <w:r>
        <w:rPr>
          <w:rFonts w:ascii="Arial" w:hAnsi="Arial" w:cs="Arial"/>
          <w:sz w:val="24"/>
        </w:rPr>
        <w:t>click the More Information button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This will indicate the number and type of products requested in that </w:t>
      </w:r>
      <w:r w:rsidR="00AB2311">
        <w:rPr>
          <w:rFonts w:ascii="Arial" w:hAnsi="Arial" w:cs="Arial"/>
          <w:sz w:val="24"/>
        </w:rPr>
        <w:t>order;</w:t>
      </w:r>
      <w:r>
        <w:rPr>
          <w:rFonts w:ascii="Arial" w:hAnsi="Arial" w:cs="Arial"/>
          <w:sz w:val="24"/>
        </w:rPr>
        <w:t xml:space="preserve"> you may have to click the arrows to go to the next page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the example order shown below, </w:t>
      </w:r>
      <w:r w:rsidR="0028291A">
        <w:rPr>
          <w:rFonts w:ascii="Arial" w:hAnsi="Arial" w:cs="Arial"/>
          <w:sz w:val="24"/>
        </w:rPr>
        <w:t>3 units of RBCs were ordered for transfusion 11/26/12 at 2125</w:t>
      </w:r>
      <w:r w:rsidR="00966A6D">
        <w:rPr>
          <w:rFonts w:ascii="Arial" w:hAnsi="Arial" w:cs="Arial"/>
          <w:sz w:val="24"/>
        </w:rPr>
        <w:t>.</w:t>
      </w:r>
    </w:p>
    <w:p w:rsidR="00C52F56" w:rsidRDefault="00C52F56" w:rsidP="00C52F56">
      <w:pPr>
        <w:ind w:left="360"/>
        <w:rPr>
          <w:rFonts w:ascii="Arial" w:hAnsi="Arial" w:cs="Arial"/>
          <w:sz w:val="24"/>
        </w:rPr>
      </w:pPr>
    </w:p>
    <w:p w:rsidR="0028291A" w:rsidRDefault="0028291A" w:rsidP="00D7775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4695825"/>
            <wp:effectExtent l="1905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1A" w:rsidRDefault="0028291A" w:rsidP="00D7775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1095375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56" w:rsidRDefault="00C52F56" w:rsidP="00C52F5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To verify whether this transfusion order has been filled or not, click on the EMR button in the bottom right</w:t>
      </w:r>
      <w:r w:rsidR="00966A6D">
        <w:rPr>
          <w:rFonts w:ascii="Arial" w:hAnsi="Arial" w:cs="Arial"/>
          <w:sz w:val="24"/>
        </w:rPr>
        <w:t>.</w:t>
      </w:r>
    </w:p>
    <w:p w:rsidR="0028291A" w:rsidRPr="0028291A" w:rsidRDefault="0028291A" w:rsidP="0028291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34075" cy="4162425"/>
            <wp:effectExtent l="19050" t="0" r="9525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56" w:rsidRDefault="00C52F56" w:rsidP="00C52F5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on the blood bank tab in the middle right</w:t>
      </w:r>
      <w:r w:rsidR="00966A6D">
        <w:rPr>
          <w:rFonts w:ascii="Arial" w:hAnsi="Arial" w:cs="Arial"/>
          <w:sz w:val="24"/>
        </w:rPr>
        <w:t>.</w:t>
      </w:r>
    </w:p>
    <w:p w:rsidR="0028291A" w:rsidRPr="0028291A" w:rsidRDefault="0028291A" w:rsidP="0028291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934075" cy="4143375"/>
            <wp:effectExtent l="1905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0" w:rsidRDefault="00BF3190" w:rsidP="00BF319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BF3190">
        <w:rPr>
          <w:rFonts w:ascii="Arial" w:hAnsi="Arial" w:cs="Arial"/>
          <w:sz w:val="24"/>
        </w:rPr>
        <w:t>In this example</w:t>
      </w:r>
      <w:r w:rsidR="0028291A">
        <w:rPr>
          <w:rFonts w:ascii="Arial" w:hAnsi="Arial" w:cs="Arial"/>
          <w:sz w:val="24"/>
        </w:rPr>
        <w:t xml:space="preserve">, we can see there were 3 RBCs ordered for the patient in the blood bank, 1 is </w:t>
      </w:r>
      <w:r w:rsidR="00AB2311">
        <w:rPr>
          <w:rFonts w:ascii="Arial" w:hAnsi="Arial" w:cs="Arial"/>
          <w:sz w:val="24"/>
        </w:rPr>
        <w:t>ready</w:t>
      </w:r>
      <w:r w:rsidR="0028291A">
        <w:rPr>
          <w:rFonts w:ascii="Arial" w:hAnsi="Arial" w:cs="Arial"/>
          <w:sz w:val="24"/>
        </w:rPr>
        <w:t xml:space="preserve"> and 2 have been </w:t>
      </w:r>
      <w:r w:rsidR="00AB2311">
        <w:rPr>
          <w:rFonts w:ascii="Arial" w:hAnsi="Arial" w:cs="Arial"/>
          <w:sz w:val="24"/>
        </w:rPr>
        <w:t>transfused</w:t>
      </w:r>
      <w:r w:rsidR="00966A6D">
        <w:rPr>
          <w:rFonts w:ascii="Arial" w:hAnsi="Arial" w:cs="Arial"/>
          <w:sz w:val="24"/>
        </w:rPr>
        <w:t>.</w:t>
      </w:r>
    </w:p>
    <w:p w:rsidR="0028291A" w:rsidRDefault="0028291A" w:rsidP="00BF319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Also you can see the patient had 2 FFP ordered in the blood bank and 2 thawed plasma transfused</w:t>
      </w:r>
      <w:r w:rsidR="00966A6D">
        <w:rPr>
          <w:rFonts w:ascii="Arial" w:hAnsi="Arial" w:cs="Arial"/>
          <w:sz w:val="24"/>
        </w:rPr>
        <w:t>.</w:t>
      </w:r>
    </w:p>
    <w:p w:rsidR="00BF3190" w:rsidRDefault="0028291A" w:rsidP="00BF319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on the “</w:t>
      </w:r>
      <w:r w:rsidR="00AB2311">
        <w:rPr>
          <w:rFonts w:ascii="Arial" w:hAnsi="Arial" w:cs="Arial"/>
          <w:sz w:val="24"/>
        </w:rPr>
        <w:t>Leuko</w:t>
      </w:r>
      <w:r>
        <w:rPr>
          <w:rFonts w:ascii="Arial" w:hAnsi="Arial" w:cs="Arial"/>
          <w:sz w:val="24"/>
        </w:rPr>
        <w:t>-reduced RBC” field and it loads the time/date that the products were issued for transfusion</w:t>
      </w:r>
      <w:r w:rsidR="00966A6D">
        <w:rPr>
          <w:rFonts w:ascii="Arial" w:hAnsi="Arial" w:cs="Arial"/>
          <w:sz w:val="24"/>
        </w:rPr>
        <w:t>.</w:t>
      </w:r>
    </w:p>
    <w:p w:rsidR="0028291A" w:rsidRPr="0028291A" w:rsidRDefault="0028291A" w:rsidP="0028291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4486275" cy="752475"/>
            <wp:effectExtent l="19050" t="0" r="9525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1A" w:rsidRDefault="0028291A" w:rsidP="00C043FA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this example scenario, if an additional RBC was requested by nursing staff it would be acceptable for issue</w:t>
      </w:r>
      <w:r w:rsidR="00966A6D">
        <w:rPr>
          <w:rFonts w:ascii="Arial" w:hAnsi="Arial" w:cs="Arial"/>
          <w:sz w:val="24"/>
        </w:rPr>
        <w:t>.</w:t>
      </w:r>
    </w:p>
    <w:p w:rsidR="00AA2111" w:rsidRDefault="00AA2111" w:rsidP="00AA2111">
      <w:pPr>
        <w:rPr>
          <w:rFonts w:ascii="Arial" w:hAnsi="Arial" w:cs="Arial"/>
          <w:b/>
          <w:sz w:val="24"/>
        </w:rPr>
      </w:pPr>
      <w:r w:rsidRPr="00AA2111">
        <w:rPr>
          <w:rFonts w:ascii="Arial" w:hAnsi="Arial" w:cs="Arial"/>
          <w:b/>
          <w:sz w:val="24"/>
        </w:rPr>
        <w:t>Verifying Requests for Blood (BBK orders)</w:t>
      </w:r>
    </w:p>
    <w:p w:rsidR="00AA2111" w:rsidRDefault="00AA2111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With the interface loaded, select the appropriate Request for Blood from the list to match the blood product and click More Information.</w:t>
      </w:r>
    </w:p>
    <w:p w:rsidR="00AA2111" w:rsidRDefault="00AA2111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4733925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D" w:rsidRDefault="00B35EED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will load a display of the query responses from the blood request.</w:t>
      </w:r>
    </w:p>
    <w:p w:rsidR="00B35EED" w:rsidRDefault="00B35EED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111442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D" w:rsidRDefault="00B35EED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Click the right and left arrow to navigate through the entire order.</w:t>
      </w:r>
    </w:p>
    <w:p w:rsidR="00B35EED" w:rsidRDefault="00B35EED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943600" cy="1114425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D" w:rsidRPr="00AA2111" w:rsidRDefault="00B35EED" w:rsidP="00AA21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page will clearly indicate scenarios where the patient’s transfusion was ordered with a special transfusion requirement.</w:t>
      </w:r>
    </w:p>
    <w:sectPr w:rsidR="00B35EED" w:rsidRPr="00AA2111" w:rsidSect="00DD4DC3">
      <w:headerReference w:type="default" r:id="rId26"/>
      <w:footerReference w:type="default" r:id="rId2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3B" w:rsidRDefault="0035243B" w:rsidP="00000437">
      <w:pPr>
        <w:spacing w:after="0" w:line="240" w:lineRule="auto"/>
      </w:pPr>
      <w:r>
        <w:separator/>
      </w:r>
    </w:p>
  </w:endnote>
  <w:endnote w:type="continuationSeparator" w:id="0">
    <w:p w:rsidR="0035243B" w:rsidRDefault="0035243B" w:rsidP="0000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3B" w:rsidRDefault="0035243B" w:rsidP="0040195C">
    <w:pPr>
      <w:pStyle w:val="Footer"/>
      <w:spacing w:after="120"/>
      <w:jc w:val="center"/>
      <w:rPr>
        <w:rFonts w:ascii="Arial" w:hAnsi="Arial" w:cs="Arial"/>
        <w:b/>
        <w:sz w:val="20"/>
        <w:szCs w:val="20"/>
      </w:rPr>
    </w:pPr>
    <w:r w:rsidRPr="0040195C">
      <w:rPr>
        <w:rFonts w:ascii="Arial" w:hAnsi="Arial" w:cs="Arial"/>
        <w:b/>
        <w:sz w:val="20"/>
        <w:szCs w:val="20"/>
      </w:rPr>
      <w:t>Saint Agnes Hospital 900 S. Caton Avenue Baltimore, MD  21229</w:t>
    </w:r>
  </w:p>
  <w:p w:rsidR="0035243B" w:rsidRPr="0040195C" w:rsidRDefault="0040195C" w:rsidP="0040195C">
    <w:pPr>
      <w:pStyle w:val="Footer"/>
      <w:jc w:val="center"/>
      <w:rPr>
        <w:rFonts w:ascii="Arial" w:hAnsi="Arial" w:cs="Arial"/>
        <w:b/>
        <w:sz w:val="20"/>
        <w:szCs w:val="20"/>
      </w:rPr>
    </w:pPr>
    <w:fldSimple w:instr=" FILENAME  \p  \* MERGEFORMAT ">
      <w:r>
        <w:rPr>
          <w:rFonts w:ascii="Arial" w:hAnsi="Arial" w:cs="Arial"/>
          <w:b/>
          <w:noProof/>
          <w:sz w:val="20"/>
          <w:szCs w:val="20"/>
        </w:rPr>
        <w:t>P:\labadmin\Quality Management\TRAN\TRAN QSE 6-Process Control\TRAN 6009 Jc Issue of Blood And Blood Components Transfusion Order Verification.docx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3B" w:rsidRDefault="0035243B" w:rsidP="00000437">
      <w:pPr>
        <w:spacing w:after="0" w:line="240" w:lineRule="auto"/>
      </w:pPr>
      <w:r>
        <w:separator/>
      </w:r>
    </w:p>
  </w:footnote>
  <w:footnote w:type="continuationSeparator" w:id="0">
    <w:p w:rsidR="0035243B" w:rsidRDefault="0035243B" w:rsidP="0000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5418"/>
      <w:gridCol w:w="4548"/>
    </w:tblGrid>
    <w:tr w:rsidR="0035243B" w:rsidRPr="008B47F3" w:rsidTr="00AB2311">
      <w:trPr>
        <w:trHeight w:hRule="exact" w:val="781"/>
      </w:trPr>
      <w:tc>
        <w:tcPr>
          <w:tcW w:w="5418" w:type="dxa"/>
          <w:vAlign w:val="center"/>
        </w:tcPr>
        <w:p w:rsidR="0035243B" w:rsidRPr="008B47F3" w:rsidRDefault="0035243B" w:rsidP="00AA2111">
          <w:pPr>
            <w:pStyle w:val="Header"/>
            <w:spacing w:before="120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</w:rPr>
            <w:t xml:space="preserve">Blood Bank Manual </w:t>
          </w:r>
        </w:p>
        <w:p w:rsidR="0035243B" w:rsidRPr="008B47F3" w:rsidRDefault="0035243B" w:rsidP="00AA2111">
          <w:pPr>
            <w:pStyle w:val="Header"/>
            <w:spacing w:after="120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</w:rPr>
            <w:t>Department of Pathology</w:t>
          </w:r>
        </w:p>
      </w:tc>
      <w:tc>
        <w:tcPr>
          <w:tcW w:w="4548" w:type="dxa"/>
          <w:vAlign w:val="center"/>
        </w:tcPr>
        <w:p w:rsidR="0035243B" w:rsidRPr="008B47F3" w:rsidRDefault="0035243B" w:rsidP="00AA2111">
          <w:pPr>
            <w:pStyle w:val="Header"/>
            <w:spacing w:before="120"/>
            <w:rPr>
              <w:rFonts w:ascii="Arial" w:hAnsi="Arial" w:cs="Arial"/>
              <w:b/>
              <w:bCs/>
              <w:sz w:val="24"/>
              <w:lang w:val="fr-FR"/>
            </w:rPr>
          </w:pPr>
          <w:r>
            <w:rPr>
              <w:rFonts w:ascii="Arial" w:hAnsi="Arial" w:cs="Arial"/>
              <w:b/>
              <w:bCs/>
              <w:sz w:val="24"/>
              <w:lang w:val="fr-FR"/>
            </w:rPr>
            <w:t>Document No.  TRAN 6009</w:t>
          </w:r>
          <w:r w:rsidRPr="008B47F3">
            <w:rPr>
              <w:rFonts w:ascii="Arial" w:hAnsi="Arial" w:cs="Arial"/>
              <w:b/>
              <w:bCs/>
              <w:sz w:val="24"/>
              <w:lang w:val="fr-FR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lang w:val="fr-FR"/>
            </w:rPr>
            <w:t>Jc</w:t>
          </w:r>
        </w:p>
        <w:p w:rsidR="0035243B" w:rsidRPr="008B47F3" w:rsidRDefault="0035243B" w:rsidP="00AA2111">
          <w:pPr>
            <w:pStyle w:val="Header"/>
            <w:spacing w:after="120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  <w:lang w:val="fr-FR"/>
            </w:rPr>
            <w:t xml:space="preserve">Page </w: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8B47F3">
            <w:rPr>
              <w:rFonts w:ascii="Arial" w:hAnsi="Arial" w:cs="Arial"/>
              <w:b/>
              <w:bCs/>
              <w:sz w:val="24"/>
            </w:rPr>
            <w:instrText xml:space="preserve"> PAGE </w:instrTex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40195C"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8B47F3">
            <w:rPr>
              <w:rFonts w:ascii="Arial" w:hAnsi="Arial" w:cs="Arial"/>
              <w:b/>
              <w:bCs/>
              <w:sz w:val="24"/>
            </w:rPr>
            <w:t xml:space="preserve"> of </w: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8B47F3">
            <w:rPr>
              <w:rFonts w:ascii="Arial" w:hAnsi="Arial" w:cs="Arial"/>
              <w:b/>
              <w:bCs/>
              <w:sz w:val="24"/>
            </w:rPr>
            <w:instrText xml:space="preserve"> NUMPAGES </w:instrTex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40195C">
            <w:rPr>
              <w:rFonts w:ascii="Arial" w:hAnsi="Arial" w:cs="Arial"/>
              <w:b/>
              <w:bCs/>
              <w:noProof/>
              <w:sz w:val="24"/>
            </w:rPr>
            <w:t>9</w:t>
          </w:r>
          <w:r w:rsidRPr="008B47F3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  <w:tr w:rsidR="0035243B" w:rsidRPr="008B47F3" w:rsidTr="00AB2311">
      <w:trPr>
        <w:trHeight w:val="735"/>
      </w:trPr>
      <w:tc>
        <w:tcPr>
          <w:tcW w:w="5418" w:type="dxa"/>
        </w:tcPr>
        <w:p w:rsidR="0035243B" w:rsidRPr="008B47F3" w:rsidRDefault="0035243B" w:rsidP="00AA2111">
          <w:pPr>
            <w:pStyle w:val="Header"/>
            <w:spacing w:before="120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</w:rPr>
            <w:t>Transfusion Services</w:t>
          </w:r>
        </w:p>
        <w:p w:rsidR="0035243B" w:rsidRPr="008B47F3" w:rsidRDefault="0035243B" w:rsidP="00AA2111">
          <w:pPr>
            <w:pStyle w:val="Header"/>
            <w:spacing w:after="120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Issue of Blood and Blood Components: Transfusion Order Verification</w:t>
          </w:r>
        </w:p>
      </w:tc>
      <w:tc>
        <w:tcPr>
          <w:tcW w:w="4548" w:type="dxa"/>
        </w:tcPr>
        <w:p w:rsidR="0035243B" w:rsidRPr="008B47F3" w:rsidRDefault="0035243B" w:rsidP="00AA2111">
          <w:pPr>
            <w:pStyle w:val="Header"/>
            <w:spacing w:before="120"/>
            <w:ind w:left="2419" w:hanging="2419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</w:rPr>
            <w:t xml:space="preserve">Effective:  </w:t>
          </w:r>
          <w:r>
            <w:rPr>
              <w:rFonts w:ascii="Arial" w:hAnsi="Arial" w:cs="Arial"/>
              <w:b/>
              <w:bCs/>
              <w:sz w:val="24"/>
            </w:rPr>
            <w:t>03</w:t>
          </w:r>
          <w:r w:rsidRPr="008B47F3">
            <w:rPr>
              <w:rFonts w:ascii="Arial" w:hAnsi="Arial" w:cs="Arial"/>
              <w:b/>
              <w:bCs/>
              <w:sz w:val="24"/>
            </w:rPr>
            <w:t>/20</w:t>
          </w:r>
          <w:r>
            <w:rPr>
              <w:rFonts w:ascii="Arial" w:hAnsi="Arial" w:cs="Arial"/>
              <w:b/>
              <w:bCs/>
              <w:sz w:val="24"/>
            </w:rPr>
            <w:t>13</w:t>
          </w:r>
        </w:p>
        <w:p w:rsidR="0035243B" w:rsidRPr="008B47F3" w:rsidRDefault="0035243B" w:rsidP="008B47F3">
          <w:pPr>
            <w:pStyle w:val="Header"/>
            <w:spacing w:after="120"/>
            <w:ind w:left="2419" w:hanging="2419"/>
            <w:rPr>
              <w:rFonts w:ascii="Arial" w:hAnsi="Arial" w:cs="Arial"/>
              <w:b/>
              <w:bCs/>
              <w:sz w:val="24"/>
            </w:rPr>
          </w:pPr>
          <w:r w:rsidRPr="008B47F3">
            <w:rPr>
              <w:rFonts w:ascii="Arial" w:hAnsi="Arial" w:cs="Arial"/>
              <w:b/>
              <w:bCs/>
              <w:sz w:val="24"/>
            </w:rPr>
            <w:t xml:space="preserve">                                                      Version: </w:t>
          </w:r>
          <w:r>
            <w:rPr>
              <w:rFonts w:ascii="Arial" w:hAnsi="Arial" w:cs="Arial"/>
              <w:b/>
              <w:bCs/>
              <w:sz w:val="24"/>
            </w:rPr>
            <w:t>0</w:t>
          </w:r>
        </w:p>
      </w:tc>
    </w:tr>
  </w:tbl>
  <w:p w:rsidR="0035243B" w:rsidRPr="008B47F3" w:rsidRDefault="0035243B" w:rsidP="008B47F3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5F4"/>
    <w:multiLevelType w:val="hybridMultilevel"/>
    <w:tmpl w:val="87F69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2E6A"/>
    <w:multiLevelType w:val="hybridMultilevel"/>
    <w:tmpl w:val="93D01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651"/>
    <w:multiLevelType w:val="hybridMultilevel"/>
    <w:tmpl w:val="CE38C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E520A"/>
    <w:multiLevelType w:val="hybridMultilevel"/>
    <w:tmpl w:val="1D64DA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C2FD4"/>
    <w:multiLevelType w:val="hybridMultilevel"/>
    <w:tmpl w:val="BE0C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0B0E"/>
    <w:multiLevelType w:val="hybridMultilevel"/>
    <w:tmpl w:val="8C3A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D3015"/>
    <w:rsid w:val="00000437"/>
    <w:rsid w:val="00031F22"/>
    <w:rsid w:val="000A4AFC"/>
    <w:rsid w:val="000B1B3E"/>
    <w:rsid w:val="000D5740"/>
    <w:rsid w:val="000F00C9"/>
    <w:rsid w:val="0017117B"/>
    <w:rsid w:val="0028291A"/>
    <w:rsid w:val="002D3015"/>
    <w:rsid w:val="002E7F26"/>
    <w:rsid w:val="00313C6C"/>
    <w:rsid w:val="00351391"/>
    <w:rsid w:val="0035243B"/>
    <w:rsid w:val="003A4CEA"/>
    <w:rsid w:val="003C7F4F"/>
    <w:rsid w:val="0040195C"/>
    <w:rsid w:val="00482E70"/>
    <w:rsid w:val="004A2FB8"/>
    <w:rsid w:val="004C0E39"/>
    <w:rsid w:val="004F785C"/>
    <w:rsid w:val="005823F7"/>
    <w:rsid w:val="00595DFD"/>
    <w:rsid w:val="006157C2"/>
    <w:rsid w:val="00646686"/>
    <w:rsid w:val="006A60F8"/>
    <w:rsid w:val="006C4222"/>
    <w:rsid w:val="0070081C"/>
    <w:rsid w:val="007119FC"/>
    <w:rsid w:val="0073315C"/>
    <w:rsid w:val="007914FC"/>
    <w:rsid w:val="007D69F3"/>
    <w:rsid w:val="008B47F3"/>
    <w:rsid w:val="00966A6D"/>
    <w:rsid w:val="00A011D7"/>
    <w:rsid w:val="00A74293"/>
    <w:rsid w:val="00AA2111"/>
    <w:rsid w:val="00AB2311"/>
    <w:rsid w:val="00B122C9"/>
    <w:rsid w:val="00B27C65"/>
    <w:rsid w:val="00B35EED"/>
    <w:rsid w:val="00B633AA"/>
    <w:rsid w:val="00BE1927"/>
    <w:rsid w:val="00BF3190"/>
    <w:rsid w:val="00BF3365"/>
    <w:rsid w:val="00C043FA"/>
    <w:rsid w:val="00C52F56"/>
    <w:rsid w:val="00C84B06"/>
    <w:rsid w:val="00D23CBE"/>
    <w:rsid w:val="00D77754"/>
    <w:rsid w:val="00DD4DC3"/>
    <w:rsid w:val="00E31A2E"/>
    <w:rsid w:val="00E50F09"/>
    <w:rsid w:val="00EB5E83"/>
    <w:rsid w:val="00ED06B2"/>
    <w:rsid w:val="00F85A57"/>
    <w:rsid w:val="00F9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01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0437"/>
  </w:style>
  <w:style w:type="paragraph" w:styleId="Footer">
    <w:name w:val="footer"/>
    <w:basedOn w:val="Normal"/>
    <w:link w:val="FooterChar"/>
    <w:uiPriority w:val="99"/>
    <w:semiHidden/>
    <w:unhideWhenUsed/>
    <w:rsid w:val="0000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CC0B93-DD84-41E0-90D4-513A82E0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 User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jhession</cp:lastModifiedBy>
  <cp:revision>18</cp:revision>
  <cp:lastPrinted>2013-05-24T16:18:00Z</cp:lastPrinted>
  <dcterms:created xsi:type="dcterms:W3CDTF">2013-03-11T16:14:00Z</dcterms:created>
  <dcterms:modified xsi:type="dcterms:W3CDTF">2013-05-24T16:18:00Z</dcterms:modified>
</cp:coreProperties>
</file>