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5748"/>
      </w:tblGrid>
      <w:tr w:rsidR="00970F2C" w:rsidRPr="0074117E">
        <w:tc>
          <w:tcPr>
            <w:tcW w:w="3828" w:type="dxa"/>
          </w:tcPr>
          <w:p w:rsidR="00970F2C" w:rsidRPr="0074117E" w:rsidRDefault="00970F2C">
            <w:pPr>
              <w:pStyle w:val="Heading2"/>
              <w:keepNext w:val="0"/>
              <w:widowControl w:val="0"/>
              <w:spacing w:before="120" w:after="120"/>
              <w:ind w:right="72"/>
              <w:rPr>
                <w:rFonts w:eastAsia="Arial Unicode MS"/>
                <w:b w:val="0"/>
              </w:rPr>
            </w:pPr>
            <w:r w:rsidRPr="0074117E">
              <w:rPr>
                <w:b w:val="0"/>
              </w:rPr>
              <w:t>Policy Statement</w:t>
            </w:r>
          </w:p>
        </w:tc>
        <w:tc>
          <w:tcPr>
            <w:tcW w:w="5748" w:type="dxa"/>
          </w:tcPr>
          <w:p w:rsidR="00970F2C" w:rsidRPr="0074117E" w:rsidRDefault="00970F2C">
            <w:pPr>
              <w:pStyle w:val="Header"/>
              <w:tabs>
                <w:tab w:val="clear" w:pos="4320"/>
                <w:tab w:val="clear" w:pos="8640"/>
              </w:tabs>
              <w:spacing w:before="120" w:after="120"/>
            </w:pPr>
            <w:r w:rsidRPr="0074117E">
              <w:t xml:space="preserve">The laboratory will provide this test to detect fetal bleeds in </w:t>
            </w:r>
            <w:r w:rsidR="00376327" w:rsidRPr="0074117E">
              <w:t>D (</w:t>
            </w:r>
            <w:smartTag w:uri="urn:schemas-microsoft-com:office:smarttags" w:element="City">
              <w:smartTag w:uri="urn:schemas-microsoft-com:office:smarttags" w:element="place">
                <w:r w:rsidR="00376327" w:rsidRPr="0074117E">
                  <w:t>Rh</w:t>
                </w:r>
                <w:r w:rsidR="00376327" w:rsidRPr="0074117E">
                  <w:rPr>
                    <w:szCs w:val="24"/>
                    <w:vertAlign w:val="subscript"/>
                  </w:rPr>
                  <w:t>o</w:t>
                </w:r>
              </w:smartTag>
            </w:smartTag>
            <w:r w:rsidR="00376327" w:rsidRPr="0074117E">
              <w:t>)</w:t>
            </w:r>
            <w:r w:rsidRPr="0074117E">
              <w:t xml:space="preserve"> negative pregnant patients as required in AABB Standards for Blood Banks and Transfusion Services.</w:t>
            </w:r>
          </w:p>
        </w:tc>
      </w:tr>
      <w:tr w:rsidR="00970F2C" w:rsidRPr="0074117E">
        <w:tc>
          <w:tcPr>
            <w:tcW w:w="3828" w:type="dxa"/>
          </w:tcPr>
          <w:p w:rsidR="00970F2C" w:rsidRPr="0074117E" w:rsidRDefault="00970F2C">
            <w:pPr>
              <w:pStyle w:val="Heading2"/>
              <w:keepNext w:val="0"/>
              <w:widowControl w:val="0"/>
              <w:spacing w:before="120" w:after="120"/>
              <w:ind w:right="72"/>
              <w:rPr>
                <w:rFonts w:eastAsia="Arial Unicode MS"/>
                <w:b w:val="0"/>
              </w:rPr>
            </w:pPr>
            <w:r w:rsidRPr="0074117E">
              <w:rPr>
                <w:b w:val="0"/>
              </w:rPr>
              <w:t>Purpose</w:t>
            </w:r>
          </w:p>
        </w:tc>
        <w:tc>
          <w:tcPr>
            <w:tcW w:w="5748" w:type="dxa"/>
          </w:tcPr>
          <w:p w:rsidR="00970F2C" w:rsidRPr="0074117E" w:rsidRDefault="00970F2C">
            <w:pPr>
              <w:pStyle w:val="Header"/>
              <w:tabs>
                <w:tab w:val="clear" w:pos="4320"/>
                <w:tab w:val="clear" w:pos="8640"/>
              </w:tabs>
              <w:spacing w:before="120" w:after="120"/>
            </w:pPr>
            <w:r w:rsidRPr="0074117E">
              <w:t>To detect fetal maternal hemorrhage and to determine the correct dosage of Rh Immune Globulin.</w:t>
            </w:r>
          </w:p>
        </w:tc>
      </w:tr>
      <w:tr w:rsidR="00970F2C" w:rsidRPr="0074117E">
        <w:tc>
          <w:tcPr>
            <w:tcW w:w="3828" w:type="dxa"/>
          </w:tcPr>
          <w:p w:rsidR="00970F2C" w:rsidRPr="0074117E" w:rsidRDefault="00970F2C">
            <w:pPr>
              <w:pStyle w:val="Heading2"/>
              <w:keepNext w:val="0"/>
              <w:widowControl w:val="0"/>
              <w:spacing w:before="120" w:after="120"/>
              <w:ind w:right="72"/>
              <w:rPr>
                <w:rFonts w:eastAsia="Arial Unicode MS"/>
                <w:b w:val="0"/>
              </w:rPr>
            </w:pPr>
            <w:r w:rsidRPr="0074117E">
              <w:rPr>
                <w:b w:val="0"/>
              </w:rPr>
              <w:t>Scope</w:t>
            </w:r>
          </w:p>
        </w:tc>
        <w:tc>
          <w:tcPr>
            <w:tcW w:w="5748" w:type="dxa"/>
          </w:tcPr>
          <w:p w:rsidR="00970F2C" w:rsidRPr="0074117E" w:rsidRDefault="00970F2C">
            <w:pPr>
              <w:pStyle w:val="Header"/>
              <w:tabs>
                <w:tab w:val="clear" w:pos="4320"/>
                <w:tab w:val="clear" w:pos="8640"/>
              </w:tabs>
              <w:spacing w:before="120" w:after="120"/>
            </w:pPr>
            <w:r w:rsidRPr="0074117E">
              <w:t xml:space="preserve">Obstetric Patients, </w:t>
            </w:r>
            <w:r w:rsidR="00376327" w:rsidRPr="0074117E">
              <w:t>D (</w:t>
            </w:r>
            <w:smartTag w:uri="urn:schemas-microsoft-com:office:smarttags" w:element="City">
              <w:smartTag w:uri="urn:schemas-microsoft-com:office:smarttags" w:element="place">
                <w:r w:rsidR="00376327" w:rsidRPr="0074117E">
                  <w:t>Rh</w:t>
                </w:r>
                <w:r w:rsidR="00376327" w:rsidRPr="0074117E">
                  <w:rPr>
                    <w:szCs w:val="24"/>
                    <w:vertAlign w:val="subscript"/>
                  </w:rPr>
                  <w:t>o</w:t>
                </w:r>
              </w:smartTag>
            </w:smartTag>
            <w:r w:rsidR="00376327" w:rsidRPr="0074117E">
              <w:t>)</w:t>
            </w:r>
            <w:r w:rsidRPr="0074117E">
              <w:t xml:space="preserve"> Negative</w:t>
            </w:r>
            <w:r w:rsidR="003A0FC8">
              <w:t xml:space="preserve"> who have delivered Rh positive babies.</w:t>
            </w:r>
          </w:p>
        </w:tc>
      </w:tr>
      <w:tr w:rsidR="00970F2C" w:rsidRPr="0074117E">
        <w:tc>
          <w:tcPr>
            <w:tcW w:w="3828" w:type="dxa"/>
          </w:tcPr>
          <w:p w:rsidR="00970F2C" w:rsidRPr="0074117E" w:rsidRDefault="00970F2C">
            <w:pPr>
              <w:widowControl w:val="0"/>
              <w:spacing w:before="120" w:after="120"/>
              <w:ind w:right="72"/>
            </w:pPr>
            <w:r w:rsidRPr="0074117E">
              <w:t>Responsibility</w:t>
            </w:r>
          </w:p>
        </w:tc>
        <w:tc>
          <w:tcPr>
            <w:tcW w:w="5748" w:type="dxa"/>
          </w:tcPr>
          <w:p w:rsidR="00970F2C" w:rsidRPr="0074117E" w:rsidRDefault="00970F2C">
            <w:pPr>
              <w:pStyle w:val="Header"/>
              <w:tabs>
                <w:tab w:val="clear" w:pos="4320"/>
                <w:tab w:val="clear" w:pos="8640"/>
              </w:tabs>
              <w:spacing w:before="120" w:after="120"/>
            </w:pPr>
            <w:r w:rsidRPr="0074117E">
              <w:t>The laboratory responds to requests as generated by the appropriate primary caregiver who identifies patients meeting criteria for testing.</w:t>
            </w:r>
          </w:p>
        </w:tc>
      </w:tr>
      <w:tr w:rsidR="00970F2C" w:rsidRPr="0074117E" w:rsidTr="00C0130E">
        <w:trPr>
          <w:trHeight w:val="2798"/>
        </w:trPr>
        <w:tc>
          <w:tcPr>
            <w:tcW w:w="3828" w:type="dxa"/>
          </w:tcPr>
          <w:p w:rsidR="00970F2C" w:rsidRPr="0074117E" w:rsidRDefault="00970F2C">
            <w:pPr>
              <w:widowControl w:val="0"/>
              <w:spacing w:before="120" w:after="120"/>
              <w:ind w:right="72"/>
            </w:pPr>
            <w:r w:rsidRPr="0074117E">
              <w:t>Related Documents</w:t>
            </w:r>
          </w:p>
        </w:tc>
        <w:tc>
          <w:tcPr>
            <w:tcW w:w="5748" w:type="dxa"/>
          </w:tcPr>
          <w:p w:rsidR="00C0130E" w:rsidRPr="003A0FC8" w:rsidRDefault="00C0130E" w:rsidP="00C0130E">
            <w:pPr>
              <w:pStyle w:val="Header"/>
              <w:numPr>
                <w:ilvl w:val="0"/>
                <w:numId w:val="16"/>
              </w:numPr>
              <w:tabs>
                <w:tab w:val="clear" w:pos="720"/>
                <w:tab w:val="clear" w:pos="4320"/>
                <w:tab w:val="clear" w:pos="8640"/>
                <w:tab w:val="num" w:pos="492"/>
                <w:tab w:val="left" w:pos="1080"/>
              </w:tabs>
              <w:spacing w:before="120" w:after="120"/>
              <w:ind w:left="492" w:hanging="492"/>
              <w:rPr>
                <w:lang w:val="en-AU"/>
              </w:rPr>
            </w:pPr>
            <w:r w:rsidRPr="0074117E">
              <w:t>Immucor, Fetal Bleeding Screen package insert.</w:t>
            </w:r>
          </w:p>
          <w:p w:rsidR="000938B2" w:rsidRDefault="000938B2" w:rsidP="00C0130E">
            <w:pPr>
              <w:pStyle w:val="Header"/>
              <w:numPr>
                <w:ilvl w:val="0"/>
                <w:numId w:val="16"/>
              </w:numPr>
              <w:tabs>
                <w:tab w:val="clear" w:pos="720"/>
                <w:tab w:val="clear" w:pos="4320"/>
                <w:tab w:val="clear" w:pos="8640"/>
                <w:tab w:val="num" w:pos="492"/>
                <w:tab w:val="left" w:pos="1080"/>
              </w:tabs>
              <w:spacing w:before="120" w:after="120"/>
              <w:ind w:left="492" w:hanging="492"/>
            </w:pPr>
            <w:r w:rsidRPr="0074117E">
              <w:t>AABB Standards for Blood Bank and Transfu</w:t>
            </w:r>
            <w:r>
              <w:t>sion Services, current edition.</w:t>
            </w:r>
          </w:p>
          <w:p w:rsidR="00970F2C" w:rsidRPr="003649DB" w:rsidRDefault="000938B2" w:rsidP="00C0130E">
            <w:pPr>
              <w:pStyle w:val="Header"/>
              <w:numPr>
                <w:ilvl w:val="0"/>
                <w:numId w:val="16"/>
              </w:numPr>
              <w:tabs>
                <w:tab w:val="clear" w:pos="720"/>
                <w:tab w:val="clear" w:pos="4320"/>
                <w:tab w:val="clear" w:pos="8640"/>
                <w:tab w:val="num" w:pos="492"/>
                <w:tab w:val="left" w:pos="1080"/>
              </w:tabs>
              <w:spacing w:before="120" w:after="120"/>
              <w:ind w:left="492" w:hanging="492"/>
              <w:rPr>
                <w:lang w:val="en-AU"/>
              </w:rPr>
            </w:pPr>
            <w:r w:rsidRPr="0074117E">
              <w:t>AABB Technical Manual, current edition, Bethesda, MD.</w:t>
            </w:r>
          </w:p>
          <w:p w:rsidR="003649DB" w:rsidRPr="00897E05" w:rsidRDefault="003649DB" w:rsidP="00C0130E">
            <w:pPr>
              <w:pStyle w:val="Header"/>
              <w:numPr>
                <w:ilvl w:val="0"/>
                <w:numId w:val="16"/>
              </w:numPr>
              <w:tabs>
                <w:tab w:val="clear" w:pos="720"/>
                <w:tab w:val="clear" w:pos="4320"/>
                <w:tab w:val="clear" w:pos="8640"/>
                <w:tab w:val="num" w:pos="492"/>
                <w:tab w:val="left" w:pos="1080"/>
              </w:tabs>
              <w:spacing w:before="120" w:after="120"/>
              <w:ind w:left="492" w:hanging="492"/>
              <w:rPr>
                <w:lang w:val="en-AU"/>
              </w:rPr>
            </w:pPr>
            <w:r>
              <w:t>TRAN 6024 R Cord Hold and Cord Blood Evaluation Procedure</w:t>
            </w:r>
          </w:p>
          <w:p w:rsidR="00897E05" w:rsidRPr="00C0130E" w:rsidRDefault="00897E05" w:rsidP="00C0130E">
            <w:pPr>
              <w:pStyle w:val="Header"/>
              <w:numPr>
                <w:ilvl w:val="0"/>
                <w:numId w:val="16"/>
              </w:numPr>
              <w:tabs>
                <w:tab w:val="clear" w:pos="720"/>
                <w:tab w:val="clear" w:pos="4320"/>
                <w:tab w:val="clear" w:pos="8640"/>
                <w:tab w:val="num" w:pos="492"/>
                <w:tab w:val="left" w:pos="1080"/>
              </w:tabs>
              <w:spacing w:before="120" w:after="120"/>
              <w:ind w:left="492" w:hanging="492"/>
              <w:rPr>
                <w:lang w:val="en-AU"/>
              </w:rPr>
            </w:pPr>
            <w:r w:rsidRPr="00897E05">
              <w:t>TRAN 6004 P Weak D Testing Process</w:t>
            </w:r>
          </w:p>
        </w:tc>
      </w:tr>
    </w:tbl>
    <w:p w:rsidR="00970F2C" w:rsidRDefault="00970F2C" w:rsidP="003B234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szCs w:val="24"/>
        </w:rPr>
      </w:pPr>
    </w:p>
    <w:p w:rsidR="003B2342" w:rsidRPr="003B2342" w:rsidRDefault="003B2342" w:rsidP="003B2342">
      <w:pPr>
        <w:rPr>
          <w:b/>
        </w:rPr>
      </w:pPr>
      <w:r w:rsidRPr="003B2342">
        <w:rPr>
          <w:b/>
        </w:rPr>
        <w:t>Principle</w:t>
      </w:r>
    </w:p>
    <w:p w:rsidR="003B2342" w:rsidRDefault="003B2342" w:rsidP="003B2342">
      <w:pPr>
        <w:autoSpaceDE w:val="0"/>
        <w:autoSpaceDN w:val="0"/>
        <w:adjustRightInd w:val="0"/>
        <w:jc w:val="both"/>
        <w:rPr>
          <w:szCs w:val="24"/>
        </w:rPr>
      </w:pPr>
    </w:p>
    <w:p w:rsidR="003B2342" w:rsidRPr="00E4191D" w:rsidRDefault="003B2342" w:rsidP="003B2342">
      <w:pPr>
        <w:autoSpaceDE w:val="0"/>
        <w:autoSpaceDN w:val="0"/>
        <w:adjustRightInd w:val="0"/>
        <w:jc w:val="both"/>
        <w:rPr>
          <w:szCs w:val="24"/>
        </w:rPr>
      </w:pPr>
      <w:r w:rsidRPr="00E4191D">
        <w:rPr>
          <w:szCs w:val="24"/>
        </w:rPr>
        <w:t xml:space="preserve">A red blood cell suspension from the D-negative mother is first incubated for </w:t>
      </w:r>
      <w:r w:rsidRPr="00E4191D">
        <w:rPr>
          <w:b/>
          <w:bCs/>
          <w:szCs w:val="24"/>
        </w:rPr>
        <w:t xml:space="preserve">5 minutes at room temperature </w:t>
      </w:r>
      <w:r w:rsidRPr="00E4191D">
        <w:rPr>
          <w:szCs w:val="24"/>
        </w:rPr>
        <w:t xml:space="preserve">with a reagent containing anti-D and then washed to remove all unbound antibody. A weak suspension of D-positive red blood cells is added. The red blood cell mixture is centrifuged and examined microscopically for mixed-field agglutination. Since any minor population of D-positive red blood cells will have become coated with anti-D during the incubation phase, the D-positive indicator cells added after washing form rosettes around the individual cells of the minor population, leading to larger and readily detected agglutinates. In most cases the </w:t>
      </w:r>
      <w:proofErr w:type="spellStart"/>
      <w:r w:rsidRPr="00E4191D">
        <w:rPr>
          <w:szCs w:val="24"/>
        </w:rPr>
        <w:t>feto</w:t>
      </w:r>
      <w:proofErr w:type="spellEnd"/>
      <w:r w:rsidRPr="00E4191D">
        <w:rPr>
          <w:szCs w:val="24"/>
        </w:rPr>
        <w:t xml:space="preserve">-maternal hemorrhage is not sufficient to cause a positive test, but in those cases where a significant volume of fetal blood has entered the maternal circulation, the test provides an indication that a quantitative test is required to determine whether the bleed was sufficient to warrant a larger dose of Rh-Immune Globulin to the mother. </w:t>
      </w:r>
    </w:p>
    <w:p w:rsidR="00CD7C02" w:rsidRPr="003649DB" w:rsidRDefault="00970F2C">
      <w:pPr>
        <w:rPr>
          <w:b/>
          <w:bCs/>
          <w:szCs w:val="24"/>
        </w:rPr>
      </w:pPr>
      <w:r w:rsidRPr="003649DB">
        <w:rPr>
          <w:b/>
          <w:bCs/>
          <w:szCs w:val="24"/>
        </w:rPr>
        <w:lastRenderedPageBreak/>
        <w:t>S</w:t>
      </w:r>
      <w:r w:rsidR="003649DB" w:rsidRPr="003649DB">
        <w:rPr>
          <w:b/>
          <w:bCs/>
          <w:szCs w:val="24"/>
        </w:rPr>
        <w:t>pecimen</w:t>
      </w:r>
    </w:p>
    <w:p w:rsidR="0074117E" w:rsidRPr="0074117E" w:rsidRDefault="0074117E">
      <w:pPr>
        <w:rPr>
          <w:bCs/>
        </w:rPr>
      </w:pPr>
    </w:p>
    <w:p w:rsidR="00CD7C02" w:rsidRDefault="00CD7C02" w:rsidP="00CD7C02">
      <w:pPr>
        <w:pStyle w:val="ListParagraph"/>
        <w:numPr>
          <w:ilvl w:val="0"/>
          <w:numId w:val="25"/>
        </w:numPr>
        <w:rPr>
          <w:bCs/>
        </w:rPr>
      </w:pPr>
      <w:r w:rsidRPr="00CD7C02">
        <w:rPr>
          <w:bCs/>
        </w:rPr>
        <w:t>Collect o</w:t>
      </w:r>
      <w:r w:rsidR="00970F2C" w:rsidRPr="00CD7C02">
        <w:rPr>
          <w:bCs/>
        </w:rPr>
        <w:t>ne 6 ml pink top</w:t>
      </w:r>
      <w:r w:rsidR="00B877D2" w:rsidRPr="00CD7C02">
        <w:rPr>
          <w:bCs/>
        </w:rPr>
        <w:t xml:space="preserve"> tube</w:t>
      </w:r>
      <w:r w:rsidRPr="00CD7C02">
        <w:rPr>
          <w:bCs/>
        </w:rPr>
        <w:t xml:space="preserve"> from mother after the delivery of all products of conception, preferably one hour following delivery.  </w:t>
      </w:r>
    </w:p>
    <w:p w:rsidR="00CD7C02" w:rsidRDefault="00CD7C02" w:rsidP="00CD7C02">
      <w:pPr>
        <w:pStyle w:val="ListParagraph"/>
        <w:numPr>
          <w:ilvl w:val="0"/>
          <w:numId w:val="25"/>
        </w:numPr>
        <w:rPr>
          <w:bCs/>
        </w:rPr>
      </w:pPr>
      <w:r w:rsidRPr="00CD7C02">
        <w:rPr>
          <w:bCs/>
        </w:rPr>
        <w:t>Refrigerate at 1</w:t>
      </w:r>
      <w:r>
        <w:sym w:font="Symbol" w:char="F0B0"/>
      </w:r>
      <w:r w:rsidRPr="00CD7C02">
        <w:rPr>
          <w:bCs/>
        </w:rPr>
        <w:t xml:space="preserve"> to 10</w:t>
      </w:r>
      <w:r>
        <w:sym w:font="Symbol" w:char="F0B0"/>
      </w:r>
      <w:r w:rsidRPr="00CD7C02">
        <w:rPr>
          <w:bCs/>
        </w:rPr>
        <w:t xml:space="preserve"> C if delay in testing occurs</w:t>
      </w:r>
      <w:r>
        <w:rPr>
          <w:bCs/>
        </w:rPr>
        <w:t xml:space="preserve">.  </w:t>
      </w:r>
      <w:r w:rsidRPr="00CD7C02">
        <w:rPr>
          <w:bCs/>
        </w:rPr>
        <w:t xml:space="preserve">Do not store longer than two days.  </w:t>
      </w:r>
    </w:p>
    <w:p w:rsidR="00CD7C02" w:rsidRDefault="00CD7C02" w:rsidP="00CD7C02">
      <w:pPr>
        <w:pStyle w:val="ListParagraph"/>
        <w:numPr>
          <w:ilvl w:val="0"/>
          <w:numId w:val="25"/>
        </w:numPr>
        <w:rPr>
          <w:bCs/>
        </w:rPr>
      </w:pPr>
      <w:r w:rsidRPr="00CD7C02">
        <w:rPr>
          <w:bCs/>
        </w:rPr>
        <w:t xml:space="preserve">Do not use if grossly hemolyzed.  </w:t>
      </w:r>
    </w:p>
    <w:p w:rsidR="00970F2C" w:rsidRPr="00CD7C02" w:rsidRDefault="00CD7C02" w:rsidP="00CD7C02">
      <w:pPr>
        <w:pStyle w:val="ListParagraph"/>
        <w:numPr>
          <w:ilvl w:val="0"/>
          <w:numId w:val="25"/>
        </w:numPr>
        <w:rPr>
          <w:bCs/>
        </w:rPr>
      </w:pPr>
      <w:r w:rsidRPr="00CD7C02">
        <w:rPr>
          <w:bCs/>
        </w:rPr>
        <w:t>D</w:t>
      </w:r>
      <w:r w:rsidR="008F6B69" w:rsidRPr="00CD7C02">
        <w:rPr>
          <w:bCs/>
        </w:rPr>
        <w:t>o not centrifuge</w:t>
      </w:r>
      <w:r w:rsidRPr="00CD7C02">
        <w:rPr>
          <w:bCs/>
        </w:rPr>
        <w:t xml:space="preserve"> specimen tube</w:t>
      </w:r>
      <w:r w:rsidR="008F6B69" w:rsidRPr="00CD7C02">
        <w:rPr>
          <w:bCs/>
        </w:rPr>
        <w:t>.</w:t>
      </w:r>
    </w:p>
    <w:p w:rsidR="00970F2C" w:rsidRDefault="00970F2C">
      <w:pPr>
        <w:rPr>
          <w:bCs/>
        </w:rPr>
      </w:pPr>
    </w:p>
    <w:p w:rsidR="00970F2C" w:rsidRPr="00B877D2" w:rsidRDefault="00B877D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szCs w:val="24"/>
        </w:rPr>
      </w:pPr>
      <w:r w:rsidRPr="00B877D2">
        <w:rPr>
          <w:bCs/>
          <w:szCs w:val="24"/>
        </w:rPr>
        <w:t>Reagents</w:t>
      </w:r>
    </w:p>
    <w:p w:rsidR="0074117E" w:rsidRPr="0074117E" w:rsidRDefault="0074117E" w:rsidP="0074117E"/>
    <w:p w:rsidR="00B877D2" w:rsidRDefault="00970F2C" w:rsidP="00B877D2">
      <w:pPr>
        <w:pStyle w:val="ListParagraph"/>
        <w:numPr>
          <w:ilvl w:val="0"/>
          <w:numId w:val="18"/>
        </w:numPr>
      </w:pPr>
      <w:r w:rsidRPr="0074117E">
        <w:t>Fetal Bleed Screening Test Kit</w:t>
      </w:r>
      <w:r w:rsidR="000938B2">
        <w:t>:</w:t>
      </w:r>
    </w:p>
    <w:p w:rsidR="00B877D2" w:rsidRDefault="00970F2C" w:rsidP="00B877D2">
      <w:pPr>
        <w:pStyle w:val="ListParagraph"/>
        <w:numPr>
          <w:ilvl w:val="1"/>
          <w:numId w:val="18"/>
        </w:numPr>
      </w:pPr>
      <w:r w:rsidRPr="0074117E">
        <w:t>Anti-D serum (chemically modified)</w:t>
      </w:r>
      <w:r w:rsidR="000938B2">
        <w:t>.</w:t>
      </w:r>
    </w:p>
    <w:p w:rsidR="00B877D2" w:rsidRDefault="00970F2C" w:rsidP="00B877D2">
      <w:pPr>
        <w:pStyle w:val="ListParagraph"/>
        <w:numPr>
          <w:ilvl w:val="1"/>
          <w:numId w:val="18"/>
        </w:numPr>
      </w:pPr>
      <w:r w:rsidRPr="0074117E">
        <w:t>Indicator Cells</w:t>
      </w:r>
      <w:r w:rsidR="000938B2">
        <w:t>.</w:t>
      </w:r>
    </w:p>
    <w:p w:rsidR="00B877D2" w:rsidRDefault="00970F2C" w:rsidP="00B877D2">
      <w:pPr>
        <w:pStyle w:val="ListParagraph"/>
        <w:numPr>
          <w:ilvl w:val="1"/>
          <w:numId w:val="18"/>
        </w:numPr>
      </w:pPr>
      <w:r w:rsidRPr="0074117E">
        <w:t>Positive Control</w:t>
      </w:r>
      <w:r w:rsidR="000938B2">
        <w:t>.</w:t>
      </w:r>
    </w:p>
    <w:p w:rsidR="00970F2C" w:rsidRPr="0074117E" w:rsidRDefault="00970F2C" w:rsidP="00B877D2">
      <w:pPr>
        <w:pStyle w:val="ListParagraph"/>
        <w:numPr>
          <w:ilvl w:val="1"/>
          <w:numId w:val="18"/>
        </w:numPr>
      </w:pPr>
      <w:r w:rsidRPr="0074117E">
        <w:t>Negative Control</w:t>
      </w:r>
      <w:r w:rsidR="000938B2">
        <w:t>.</w:t>
      </w:r>
    </w:p>
    <w:p w:rsidR="00B877D2" w:rsidRDefault="00970F2C" w:rsidP="00B877D2">
      <w:pPr>
        <w:pStyle w:val="ListParagraph"/>
        <w:numPr>
          <w:ilvl w:val="0"/>
          <w:numId w:val="20"/>
        </w:numPr>
        <w:ind w:left="720"/>
      </w:pPr>
      <w:r w:rsidRPr="0074117E">
        <w:t>Test tubes</w:t>
      </w:r>
      <w:r w:rsidR="000938B2">
        <w:t>.</w:t>
      </w:r>
      <w:r w:rsidR="003A0FC8">
        <w:t xml:space="preserve"> 12 x 75 mm</w:t>
      </w:r>
    </w:p>
    <w:p w:rsidR="00B877D2" w:rsidRDefault="00970F2C" w:rsidP="00B877D2">
      <w:pPr>
        <w:pStyle w:val="ListParagraph"/>
        <w:numPr>
          <w:ilvl w:val="0"/>
          <w:numId w:val="20"/>
        </w:numPr>
        <w:ind w:left="720"/>
      </w:pPr>
      <w:r w:rsidRPr="0074117E">
        <w:t>Pipettes</w:t>
      </w:r>
      <w:r w:rsidR="00B877D2">
        <w:t xml:space="preserve"> (plastic, disposable blood bank style</w:t>
      </w:r>
      <w:r w:rsidR="003A0FC8">
        <w:t>)</w:t>
      </w:r>
    </w:p>
    <w:p w:rsidR="00B877D2" w:rsidRDefault="00970F2C" w:rsidP="00B877D2">
      <w:pPr>
        <w:pStyle w:val="ListParagraph"/>
        <w:numPr>
          <w:ilvl w:val="0"/>
          <w:numId w:val="20"/>
        </w:numPr>
        <w:ind w:left="720"/>
      </w:pPr>
      <w:r w:rsidRPr="0074117E">
        <w:t>M</w:t>
      </w:r>
      <w:r w:rsidR="005F2421" w:rsidRPr="0074117E">
        <w:t>icroscope with low power (</w:t>
      </w:r>
      <w:r w:rsidRPr="0074117E">
        <w:t>50X</w:t>
      </w:r>
      <w:r w:rsidR="005F2421" w:rsidRPr="0074117E">
        <w:t xml:space="preserve"> to 100X</w:t>
      </w:r>
      <w:r w:rsidRPr="0074117E">
        <w:t>) capability</w:t>
      </w:r>
    </w:p>
    <w:p w:rsidR="00B877D2" w:rsidRDefault="00B877D2" w:rsidP="00B877D2">
      <w:pPr>
        <w:pStyle w:val="ListParagraph"/>
        <w:numPr>
          <w:ilvl w:val="0"/>
          <w:numId w:val="20"/>
        </w:numPr>
        <w:ind w:left="720"/>
      </w:pPr>
      <w:r>
        <w:t>Microscope slides</w:t>
      </w:r>
    </w:p>
    <w:p w:rsidR="00B877D2" w:rsidRDefault="003A0FC8" w:rsidP="00B877D2">
      <w:pPr>
        <w:pStyle w:val="ListParagraph"/>
        <w:numPr>
          <w:ilvl w:val="0"/>
          <w:numId w:val="20"/>
        </w:numPr>
        <w:ind w:left="720"/>
      </w:pPr>
      <w:r>
        <w:t xml:space="preserve">Test tube </w:t>
      </w:r>
      <w:r w:rsidR="00970F2C" w:rsidRPr="0074117E">
        <w:t>Centrifuge</w:t>
      </w:r>
      <w:r w:rsidR="000938B2">
        <w:t>.</w:t>
      </w:r>
    </w:p>
    <w:p w:rsidR="00970F2C" w:rsidRPr="0074117E" w:rsidRDefault="003A0FC8" w:rsidP="00B877D2">
      <w:pPr>
        <w:pStyle w:val="ListParagraph"/>
        <w:numPr>
          <w:ilvl w:val="0"/>
          <w:numId w:val="20"/>
        </w:numPr>
        <w:ind w:left="720"/>
      </w:pPr>
      <w:r>
        <w:t xml:space="preserve">0.9% </w:t>
      </w:r>
      <w:r w:rsidR="00B877D2">
        <w:t>saline, preferably phosphate buffered</w:t>
      </w:r>
    </w:p>
    <w:p w:rsidR="0074117E" w:rsidRPr="0074117E" w:rsidRDefault="0074117E">
      <w:pPr>
        <w:pStyle w:val="Heading2"/>
      </w:pPr>
    </w:p>
    <w:p w:rsidR="00970F2C" w:rsidRPr="00B877D2" w:rsidRDefault="00970F2C">
      <w:pPr>
        <w:pStyle w:val="Heading2"/>
        <w:rPr>
          <w:szCs w:val="24"/>
        </w:rPr>
      </w:pPr>
      <w:r w:rsidRPr="00B877D2">
        <w:rPr>
          <w:szCs w:val="24"/>
        </w:rPr>
        <w:t>P</w:t>
      </w:r>
      <w:r w:rsidR="00B877D2" w:rsidRPr="00B877D2">
        <w:rPr>
          <w:szCs w:val="24"/>
        </w:rPr>
        <w:t>rocedure</w:t>
      </w:r>
    </w:p>
    <w:p w:rsidR="00897E05" w:rsidRDefault="00897E05" w:rsidP="00897E05">
      <w:pPr>
        <w:autoSpaceDE w:val="0"/>
        <w:autoSpaceDN w:val="0"/>
        <w:adjustRightInd w:val="0"/>
        <w:jc w:val="both"/>
      </w:pPr>
    </w:p>
    <w:p w:rsidR="00897E05" w:rsidRDefault="00897E05" w:rsidP="00897E05">
      <w:pPr>
        <w:pStyle w:val="ListParagraph"/>
        <w:numPr>
          <w:ilvl w:val="0"/>
          <w:numId w:val="22"/>
        </w:numPr>
        <w:autoSpaceDE w:val="0"/>
        <w:autoSpaceDN w:val="0"/>
        <w:adjustRightInd w:val="0"/>
        <w:jc w:val="both"/>
        <w:rPr>
          <w:szCs w:val="24"/>
        </w:rPr>
      </w:pPr>
      <w:r w:rsidRPr="00897E05">
        <w:rPr>
          <w:szCs w:val="24"/>
        </w:rPr>
        <w:t xml:space="preserve">Make a 2-4% suspension of the well-mixed maternal red blood cells to be tested in isotonic saline. </w:t>
      </w:r>
    </w:p>
    <w:p w:rsidR="00897E05" w:rsidRDefault="00897E05" w:rsidP="00897E05">
      <w:pPr>
        <w:pStyle w:val="ListParagraph"/>
        <w:numPr>
          <w:ilvl w:val="0"/>
          <w:numId w:val="22"/>
        </w:numPr>
        <w:autoSpaceDE w:val="0"/>
        <w:autoSpaceDN w:val="0"/>
        <w:adjustRightInd w:val="0"/>
        <w:jc w:val="both"/>
        <w:rPr>
          <w:szCs w:val="24"/>
        </w:rPr>
      </w:pPr>
      <w:r>
        <w:rPr>
          <w:szCs w:val="24"/>
        </w:rPr>
        <w:t xml:space="preserve">Place one </w:t>
      </w:r>
      <w:r w:rsidRPr="00897E05">
        <w:rPr>
          <w:szCs w:val="24"/>
        </w:rPr>
        <w:t xml:space="preserve">drop of the prepared maternal red blood cell suspension in a properly labeled test tube. </w:t>
      </w:r>
    </w:p>
    <w:p w:rsidR="00897E05" w:rsidRDefault="00897E05" w:rsidP="00897E05">
      <w:pPr>
        <w:pStyle w:val="ListParagraph"/>
        <w:numPr>
          <w:ilvl w:val="0"/>
          <w:numId w:val="22"/>
        </w:numPr>
        <w:autoSpaceDE w:val="0"/>
        <w:autoSpaceDN w:val="0"/>
        <w:adjustRightInd w:val="0"/>
        <w:jc w:val="both"/>
        <w:rPr>
          <w:szCs w:val="24"/>
        </w:rPr>
      </w:pPr>
      <w:r w:rsidRPr="00897E05">
        <w:rPr>
          <w:szCs w:val="24"/>
        </w:rPr>
        <w:t xml:space="preserve">Add one drop of the Anti-D Reagent. Note: Steps 2 and 3 may be reversed, if desired. </w:t>
      </w:r>
    </w:p>
    <w:p w:rsidR="00897E05" w:rsidRDefault="00897E05" w:rsidP="00897E05">
      <w:pPr>
        <w:pStyle w:val="ListParagraph"/>
        <w:numPr>
          <w:ilvl w:val="0"/>
          <w:numId w:val="22"/>
        </w:numPr>
        <w:autoSpaceDE w:val="0"/>
        <w:autoSpaceDN w:val="0"/>
        <w:adjustRightInd w:val="0"/>
        <w:jc w:val="both"/>
        <w:rPr>
          <w:szCs w:val="24"/>
        </w:rPr>
      </w:pPr>
      <w:r w:rsidRPr="00897E05">
        <w:rPr>
          <w:szCs w:val="24"/>
        </w:rPr>
        <w:t xml:space="preserve">Mix well and incubate for 5 minutes (± 1 minute) at room temperature (18°C to 30°C). </w:t>
      </w:r>
    </w:p>
    <w:p w:rsidR="00897E05" w:rsidRDefault="00897E05" w:rsidP="00897E05">
      <w:pPr>
        <w:pStyle w:val="ListParagraph"/>
        <w:numPr>
          <w:ilvl w:val="0"/>
          <w:numId w:val="22"/>
        </w:numPr>
        <w:autoSpaceDE w:val="0"/>
        <w:autoSpaceDN w:val="0"/>
        <w:adjustRightInd w:val="0"/>
        <w:jc w:val="both"/>
        <w:rPr>
          <w:szCs w:val="24"/>
        </w:rPr>
      </w:pPr>
      <w:r w:rsidRPr="00897E05">
        <w:rPr>
          <w:szCs w:val="24"/>
        </w:rPr>
        <w:t>Wash the red blood cells four times with the tubes filled with saline, being careful to decant the saline completely between washes and to re</w:t>
      </w:r>
      <w:r>
        <w:rPr>
          <w:szCs w:val="24"/>
        </w:rPr>
        <w:t>-</w:t>
      </w:r>
      <w:r w:rsidRPr="00897E05">
        <w:rPr>
          <w:szCs w:val="24"/>
        </w:rPr>
        <w:t>suspend the red blood cells thoroughly when adding saline for the next wash. Note: More than four washes may be required if the test is carried out in a smaller test tube than that recommended.</w:t>
      </w:r>
    </w:p>
    <w:p w:rsidR="00897E05" w:rsidRDefault="00897E05" w:rsidP="00897E05">
      <w:pPr>
        <w:pStyle w:val="ListParagraph"/>
        <w:numPr>
          <w:ilvl w:val="0"/>
          <w:numId w:val="22"/>
        </w:numPr>
        <w:autoSpaceDE w:val="0"/>
        <w:autoSpaceDN w:val="0"/>
        <w:adjustRightInd w:val="0"/>
        <w:jc w:val="both"/>
        <w:rPr>
          <w:szCs w:val="24"/>
        </w:rPr>
      </w:pPr>
      <w:r w:rsidRPr="00897E05">
        <w:rPr>
          <w:szCs w:val="24"/>
        </w:rPr>
        <w:t xml:space="preserve">Decant the saline completely after the last wash. </w:t>
      </w:r>
    </w:p>
    <w:p w:rsidR="00897E05" w:rsidRDefault="00897E05" w:rsidP="00897E05">
      <w:pPr>
        <w:pStyle w:val="ListParagraph"/>
        <w:numPr>
          <w:ilvl w:val="0"/>
          <w:numId w:val="22"/>
        </w:numPr>
        <w:autoSpaceDE w:val="0"/>
        <w:autoSpaceDN w:val="0"/>
        <w:adjustRightInd w:val="0"/>
        <w:jc w:val="both"/>
        <w:rPr>
          <w:szCs w:val="24"/>
        </w:rPr>
      </w:pPr>
      <w:r w:rsidRPr="00897E05">
        <w:rPr>
          <w:szCs w:val="24"/>
        </w:rPr>
        <w:t xml:space="preserve">Add one drop of Indicator Cells and mix well by gently shaking the tube. </w:t>
      </w:r>
    </w:p>
    <w:p w:rsidR="00897E05" w:rsidRPr="003837DA" w:rsidRDefault="00897E05" w:rsidP="003837DA">
      <w:pPr>
        <w:pStyle w:val="ListParagraph"/>
        <w:numPr>
          <w:ilvl w:val="0"/>
          <w:numId w:val="22"/>
        </w:numPr>
        <w:autoSpaceDE w:val="0"/>
        <w:autoSpaceDN w:val="0"/>
        <w:adjustRightInd w:val="0"/>
        <w:jc w:val="both"/>
        <w:rPr>
          <w:szCs w:val="24"/>
        </w:rPr>
      </w:pPr>
      <w:r w:rsidRPr="00897E05">
        <w:rPr>
          <w:szCs w:val="24"/>
        </w:rPr>
        <w:t xml:space="preserve">Centrifuge immediately </w:t>
      </w:r>
      <w:r w:rsidR="003837DA">
        <w:rPr>
          <w:szCs w:val="24"/>
        </w:rPr>
        <w:t>at a</w:t>
      </w:r>
      <w:r w:rsidRPr="003837DA">
        <w:rPr>
          <w:szCs w:val="24"/>
        </w:rPr>
        <w:t xml:space="preserve"> time appropriate to the calibration of the centrifuge. </w:t>
      </w:r>
    </w:p>
    <w:p w:rsidR="002E47AF" w:rsidRDefault="00897E05" w:rsidP="00897E05">
      <w:pPr>
        <w:pStyle w:val="ListParagraph"/>
        <w:numPr>
          <w:ilvl w:val="0"/>
          <w:numId w:val="24"/>
        </w:numPr>
        <w:autoSpaceDE w:val="0"/>
        <w:autoSpaceDN w:val="0"/>
        <w:adjustRightInd w:val="0"/>
        <w:ind w:left="720"/>
        <w:jc w:val="both"/>
        <w:rPr>
          <w:szCs w:val="24"/>
        </w:rPr>
      </w:pPr>
      <w:r w:rsidRPr="00897E05">
        <w:rPr>
          <w:szCs w:val="24"/>
        </w:rPr>
        <w:t>Re</w:t>
      </w:r>
      <w:r>
        <w:rPr>
          <w:szCs w:val="24"/>
        </w:rPr>
        <w:t>-</w:t>
      </w:r>
      <w:r w:rsidRPr="00897E05">
        <w:rPr>
          <w:szCs w:val="24"/>
        </w:rPr>
        <w:t xml:space="preserve">suspend the red blood cell button completely and examine five (5) low-power fields microscopically for mixed-field agglutination using approximately 100× </w:t>
      </w:r>
      <w:r w:rsidRPr="00897E05">
        <w:rPr>
          <w:szCs w:val="24"/>
        </w:rPr>
        <w:lastRenderedPageBreak/>
        <w:t xml:space="preserve">magnification. </w:t>
      </w:r>
      <w:r w:rsidRPr="00897E05">
        <w:rPr>
          <w:szCs w:val="24"/>
          <w:u w:val="single"/>
        </w:rPr>
        <w:t>Note</w:t>
      </w:r>
      <w:r w:rsidRPr="00897E05">
        <w:rPr>
          <w:szCs w:val="24"/>
        </w:rPr>
        <w:t>: Microscopic examination can be carried out either in the tube or on a microscope slide. If agglutinates are seen in the tube, the contents should be transferred to a microscope slide so that the number of agglutinates per low-power field can be evaluated.</w:t>
      </w:r>
    </w:p>
    <w:p w:rsidR="00897E05" w:rsidRPr="00897E05" w:rsidRDefault="002E47AF" w:rsidP="00897E05">
      <w:pPr>
        <w:pStyle w:val="ListParagraph"/>
        <w:numPr>
          <w:ilvl w:val="0"/>
          <w:numId w:val="24"/>
        </w:numPr>
        <w:autoSpaceDE w:val="0"/>
        <w:autoSpaceDN w:val="0"/>
        <w:adjustRightInd w:val="0"/>
        <w:ind w:left="720"/>
        <w:jc w:val="both"/>
        <w:rPr>
          <w:szCs w:val="24"/>
        </w:rPr>
      </w:pPr>
      <w:r>
        <w:rPr>
          <w:szCs w:val="24"/>
        </w:rPr>
        <w:t>Refer to package insert for additional information.</w:t>
      </w:r>
      <w:r w:rsidR="00897E05" w:rsidRPr="00897E05">
        <w:rPr>
          <w:szCs w:val="24"/>
        </w:rPr>
        <w:t xml:space="preserve"> </w:t>
      </w:r>
    </w:p>
    <w:p w:rsidR="00743ECD" w:rsidRDefault="00743ECD">
      <w:pPr>
        <w:ind w:left="360"/>
      </w:pPr>
    </w:p>
    <w:p w:rsidR="00970F2C" w:rsidRPr="00897E05" w:rsidRDefault="00897E05">
      <w:pPr>
        <w:pStyle w:val="Heading2"/>
        <w:rPr>
          <w:szCs w:val="24"/>
        </w:rPr>
      </w:pPr>
      <w:r w:rsidRPr="00897E05">
        <w:rPr>
          <w:szCs w:val="24"/>
        </w:rPr>
        <w:t>Interpretation</w:t>
      </w:r>
    </w:p>
    <w:p w:rsidR="00970F2C" w:rsidRPr="0074117E" w:rsidRDefault="00970F2C"/>
    <w:tbl>
      <w:tblPr>
        <w:tblW w:w="9348" w:type="dxa"/>
        <w:tblLook w:val="0000"/>
      </w:tblPr>
      <w:tblGrid>
        <w:gridCol w:w="2868"/>
        <w:gridCol w:w="1440"/>
        <w:gridCol w:w="1440"/>
        <w:gridCol w:w="3600"/>
      </w:tblGrid>
      <w:tr w:rsidR="00970F2C" w:rsidRPr="0074117E">
        <w:trPr>
          <w:cantSplit/>
          <w:trHeight w:val="308"/>
        </w:trPr>
        <w:tc>
          <w:tcPr>
            <w:tcW w:w="9348" w:type="dxa"/>
            <w:gridSpan w:val="4"/>
            <w:tcBorders>
              <w:top w:val="single" w:sz="4" w:space="0" w:color="auto"/>
              <w:left w:val="single" w:sz="4" w:space="0" w:color="auto"/>
              <w:bottom w:val="single" w:sz="4" w:space="0" w:color="auto"/>
              <w:right w:val="single" w:sz="4" w:space="0" w:color="auto"/>
            </w:tcBorders>
            <w:shd w:val="clear" w:color="auto" w:fill="F7F7F7"/>
            <w:vAlign w:val="center"/>
          </w:tcPr>
          <w:p w:rsidR="00970F2C" w:rsidRPr="0074117E" w:rsidRDefault="00970F2C">
            <w:pPr>
              <w:pStyle w:val="Default"/>
              <w:rPr>
                <w:rFonts w:ascii="Arial" w:hAnsi="Arial" w:cs="Arial"/>
                <w:color w:val="auto"/>
                <w:sz w:val="20"/>
              </w:rPr>
            </w:pPr>
            <w:r w:rsidRPr="0074117E">
              <w:rPr>
                <w:rFonts w:ascii="Arial" w:hAnsi="Arial" w:cs="Arial"/>
                <w:color w:val="auto"/>
                <w:sz w:val="20"/>
              </w:rPr>
              <w:t>FETAL BLEED SCREEN</w:t>
            </w:r>
          </w:p>
        </w:tc>
      </w:tr>
      <w:tr w:rsidR="00970F2C" w:rsidRPr="0074117E" w:rsidTr="00897E05">
        <w:trPr>
          <w:trHeight w:val="308"/>
        </w:trPr>
        <w:tc>
          <w:tcPr>
            <w:tcW w:w="2868" w:type="dxa"/>
            <w:tcBorders>
              <w:top w:val="single" w:sz="4" w:space="0" w:color="auto"/>
              <w:left w:val="single" w:sz="4" w:space="0" w:color="auto"/>
              <w:bottom w:val="single" w:sz="4" w:space="0" w:color="auto"/>
              <w:right w:val="single" w:sz="4" w:space="0" w:color="auto"/>
            </w:tcBorders>
            <w:shd w:val="clear" w:color="auto" w:fill="F7F7F7"/>
            <w:vAlign w:val="center"/>
          </w:tcPr>
          <w:p w:rsidR="00970F2C" w:rsidRPr="0074117E" w:rsidRDefault="00970F2C">
            <w:pPr>
              <w:pStyle w:val="Default"/>
              <w:jc w:val="center"/>
              <w:rPr>
                <w:rFonts w:ascii="Arial" w:hAnsi="Arial" w:cs="Arial"/>
              </w:rPr>
            </w:pPr>
            <w:r w:rsidRPr="0074117E">
              <w:rPr>
                <w:rFonts w:ascii="Arial" w:hAnsi="Arial" w:cs="Arial"/>
                <w:bCs/>
              </w:rPr>
              <w:t xml:space="preserve">Patient </w:t>
            </w:r>
          </w:p>
        </w:tc>
        <w:tc>
          <w:tcPr>
            <w:tcW w:w="1440" w:type="dxa"/>
            <w:tcBorders>
              <w:top w:val="single" w:sz="4" w:space="0" w:color="auto"/>
              <w:left w:val="single" w:sz="4" w:space="0" w:color="auto"/>
              <w:bottom w:val="single" w:sz="4" w:space="0" w:color="auto"/>
              <w:right w:val="single" w:sz="4" w:space="0" w:color="auto"/>
            </w:tcBorders>
            <w:shd w:val="clear" w:color="auto" w:fill="F7F7F7"/>
            <w:vAlign w:val="center"/>
          </w:tcPr>
          <w:p w:rsidR="00970F2C" w:rsidRPr="0074117E" w:rsidRDefault="00970F2C">
            <w:pPr>
              <w:pStyle w:val="Default"/>
              <w:jc w:val="center"/>
              <w:rPr>
                <w:rFonts w:ascii="Arial" w:hAnsi="Arial" w:cs="Arial"/>
              </w:rPr>
            </w:pPr>
            <w:r w:rsidRPr="0074117E">
              <w:rPr>
                <w:rFonts w:ascii="Arial" w:hAnsi="Arial" w:cs="Arial"/>
                <w:bCs/>
              </w:rPr>
              <w:t xml:space="preserve">Positive Control </w:t>
            </w:r>
          </w:p>
        </w:tc>
        <w:tc>
          <w:tcPr>
            <w:tcW w:w="1440" w:type="dxa"/>
            <w:tcBorders>
              <w:top w:val="single" w:sz="4" w:space="0" w:color="auto"/>
              <w:left w:val="single" w:sz="4" w:space="0" w:color="auto"/>
              <w:bottom w:val="single" w:sz="4" w:space="0" w:color="auto"/>
              <w:right w:val="single" w:sz="4" w:space="0" w:color="auto"/>
            </w:tcBorders>
            <w:shd w:val="clear" w:color="auto" w:fill="F7F7F7"/>
            <w:vAlign w:val="center"/>
          </w:tcPr>
          <w:p w:rsidR="00970F2C" w:rsidRPr="0074117E" w:rsidRDefault="00970F2C">
            <w:pPr>
              <w:pStyle w:val="Default"/>
              <w:jc w:val="center"/>
              <w:rPr>
                <w:rFonts w:ascii="Arial" w:hAnsi="Arial" w:cs="Arial"/>
              </w:rPr>
            </w:pPr>
            <w:r w:rsidRPr="0074117E">
              <w:rPr>
                <w:rFonts w:ascii="Arial" w:hAnsi="Arial" w:cs="Arial"/>
                <w:bCs/>
              </w:rPr>
              <w:t xml:space="preserve">Negative Control </w:t>
            </w:r>
          </w:p>
        </w:tc>
        <w:tc>
          <w:tcPr>
            <w:tcW w:w="3600" w:type="dxa"/>
            <w:tcBorders>
              <w:top w:val="single" w:sz="4" w:space="0" w:color="auto"/>
              <w:left w:val="single" w:sz="4" w:space="0" w:color="auto"/>
              <w:bottom w:val="single" w:sz="4" w:space="0" w:color="auto"/>
              <w:right w:val="single" w:sz="4" w:space="0" w:color="auto"/>
            </w:tcBorders>
          </w:tcPr>
          <w:p w:rsidR="00970F2C" w:rsidRPr="0074117E" w:rsidRDefault="00970F2C">
            <w:pPr>
              <w:pStyle w:val="Default"/>
              <w:jc w:val="center"/>
              <w:rPr>
                <w:rFonts w:ascii="Arial" w:hAnsi="Arial" w:cs="Arial"/>
                <w:bCs/>
                <w:color w:val="auto"/>
              </w:rPr>
            </w:pPr>
            <w:r w:rsidRPr="0074117E">
              <w:rPr>
                <w:rFonts w:ascii="Arial" w:hAnsi="Arial" w:cs="Arial"/>
                <w:bCs/>
                <w:color w:val="auto"/>
              </w:rPr>
              <w:t>Interpretation</w:t>
            </w:r>
          </w:p>
        </w:tc>
      </w:tr>
      <w:tr w:rsidR="00970F2C" w:rsidRPr="0074117E" w:rsidTr="00897E05">
        <w:trPr>
          <w:trHeight w:val="630"/>
        </w:trPr>
        <w:tc>
          <w:tcPr>
            <w:tcW w:w="2868" w:type="dxa"/>
            <w:tcBorders>
              <w:top w:val="single" w:sz="4" w:space="0" w:color="auto"/>
              <w:left w:val="single" w:sz="8" w:space="0" w:color="000000"/>
              <w:bottom w:val="single" w:sz="8" w:space="0" w:color="000000"/>
              <w:right w:val="single" w:sz="8" w:space="0" w:color="000000"/>
            </w:tcBorders>
            <w:vAlign w:val="center"/>
          </w:tcPr>
          <w:p w:rsidR="00970F2C" w:rsidRPr="0074117E" w:rsidRDefault="00970F2C" w:rsidP="00897E05">
            <w:pPr>
              <w:pStyle w:val="Default"/>
              <w:jc w:val="center"/>
              <w:rPr>
                <w:rFonts w:ascii="Arial" w:hAnsi="Arial" w:cs="Arial"/>
              </w:rPr>
            </w:pPr>
            <w:r w:rsidRPr="0074117E">
              <w:rPr>
                <w:rFonts w:ascii="Arial" w:hAnsi="Arial" w:cs="Arial"/>
              </w:rPr>
              <w:t xml:space="preserve">Negative – Equal or less than </w:t>
            </w:r>
            <w:r w:rsidR="00897E05">
              <w:rPr>
                <w:rFonts w:ascii="Arial" w:hAnsi="Arial" w:cs="Arial"/>
              </w:rPr>
              <w:t>4</w:t>
            </w:r>
            <w:r w:rsidRPr="0074117E">
              <w:rPr>
                <w:rFonts w:ascii="Arial" w:hAnsi="Arial" w:cs="Arial"/>
              </w:rPr>
              <w:t xml:space="preserve"> clumps in </w:t>
            </w:r>
            <w:r w:rsidR="00897E05">
              <w:rPr>
                <w:rFonts w:ascii="Arial" w:hAnsi="Arial" w:cs="Arial"/>
              </w:rPr>
              <w:t>5</w:t>
            </w:r>
            <w:r w:rsidRPr="0074117E">
              <w:rPr>
                <w:rFonts w:ascii="Arial" w:hAnsi="Arial" w:cs="Arial"/>
              </w:rPr>
              <w:t xml:space="preserve"> fields. </w:t>
            </w:r>
          </w:p>
        </w:tc>
        <w:tc>
          <w:tcPr>
            <w:tcW w:w="1440" w:type="dxa"/>
            <w:tcBorders>
              <w:top w:val="single" w:sz="4" w:space="0" w:color="auto"/>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0</w:t>
            </w:r>
          </w:p>
        </w:tc>
        <w:tc>
          <w:tcPr>
            <w:tcW w:w="3600" w:type="dxa"/>
            <w:tcBorders>
              <w:top w:val="single" w:sz="4" w:space="0" w:color="auto"/>
              <w:left w:val="single" w:sz="8" w:space="0" w:color="000000"/>
              <w:bottom w:val="single" w:sz="8" w:space="0" w:color="000000"/>
              <w:right w:val="single" w:sz="8" w:space="0" w:color="000000"/>
            </w:tcBorders>
            <w:vAlign w:val="center"/>
          </w:tcPr>
          <w:p w:rsidR="00970F2C" w:rsidRPr="0074117E" w:rsidRDefault="00970F2C">
            <w:pPr>
              <w:pStyle w:val="Default"/>
              <w:rPr>
                <w:rFonts w:ascii="Arial" w:hAnsi="Arial" w:cs="Arial"/>
              </w:rPr>
            </w:pPr>
            <w:r w:rsidRPr="0074117E">
              <w:rPr>
                <w:rFonts w:ascii="Arial" w:hAnsi="Arial" w:cs="Arial"/>
              </w:rPr>
              <w:t xml:space="preserve">Significant bleed has not occurred </w:t>
            </w:r>
          </w:p>
        </w:tc>
      </w:tr>
      <w:tr w:rsidR="00970F2C" w:rsidRPr="0074117E" w:rsidTr="00897E05">
        <w:trPr>
          <w:trHeight w:val="905"/>
        </w:trPr>
        <w:tc>
          <w:tcPr>
            <w:tcW w:w="2868"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rsidP="00897E05">
            <w:pPr>
              <w:pStyle w:val="Default"/>
              <w:rPr>
                <w:rFonts w:ascii="Arial" w:hAnsi="Arial" w:cs="Arial"/>
              </w:rPr>
            </w:pPr>
            <w:r w:rsidRPr="0074117E">
              <w:rPr>
                <w:rFonts w:ascii="Arial" w:hAnsi="Arial" w:cs="Arial"/>
              </w:rPr>
              <w:t xml:space="preserve">Positive - Equal or greater than </w:t>
            </w:r>
            <w:r w:rsidR="00897E05">
              <w:rPr>
                <w:rFonts w:ascii="Arial" w:hAnsi="Arial" w:cs="Arial"/>
              </w:rPr>
              <w:t>5</w:t>
            </w:r>
            <w:r w:rsidRPr="0074117E">
              <w:rPr>
                <w:rFonts w:ascii="Arial" w:hAnsi="Arial" w:cs="Arial"/>
              </w:rPr>
              <w:t xml:space="preserve"> clumps in </w:t>
            </w:r>
            <w:r w:rsidR="00897E05">
              <w:rPr>
                <w:rFonts w:ascii="Arial" w:hAnsi="Arial" w:cs="Arial"/>
              </w:rPr>
              <w:t>5</w:t>
            </w:r>
            <w:r w:rsidRPr="0074117E">
              <w:rPr>
                <w:rFonts w:ascii="Arial" w:hAnsi="Arial" w:cs="Arial"/>
              </w:rPr>
              <w:t xml:space="preserve"> fields</w:t>
            </w:r>
          </w:p>
        </w:tc>
        <w:tc>
          <w:tcPr>
            <w:tcW w:w="144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0 </w:t>
            </w:r>
          </w:p>
        </w:tc>
        <w:tc>
          <w:tcPr>
            <w:tcW w:w="3600" w:type="dxa"/>
            <w:tcBorders>
              <w:top w:val="single" w:sz="8" w:space="0" w:color="000000"/>
              <w:left w:val="single" w:sz="8" w:space="0" w:color="000000"/>
              <w:bottom w:val="single" w:sz="8" w:space="0" w:color="000000"/>
              <w:right w:val="single" w:sz="8" w:space="0" w:color="000000"/>
            </w:tcBorders>
          </w:tcPr>
          <w:p w:rsidR="00970F2C" w:rsidRPr="0074117E" w:rsidRDefault="00970F2C">
            <w:pPr>
              <w:pStyle w:val="Default"/>
              <w:rPr>
                <w:rFonts w:ascii="Arial" w:hAnsi="Arial" w:cs="Arial"/>
              </w:rPr>
            </w:pPr>
            <w:r w:rsidRPr="0074117E">
              <w:rPr>
                <w:rFonts w:ascii="Arial" w:hAnsi="Arial" w:cs="Arial"/>
              </w:rPr>
              <w:t>Significant bleed has occurred, perform Kleihauer - Betke</w:t>
            </w:r>
          </w:p>
        </w:tc>
      </w:tr>
      <w:tr w:rsidR="00970F2C" w:rsidRPr="0074117E">
        <w:trPr>
          <w:trHeight w:val="353"/>
        </w:trPr>
        <w:tc>
          <w:tcPr>
            <w:tcW w:w="2868"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0 </w:t>
            </w:r>
          </w:p>
        </w:tc>
        <w:tc>
          <w:tcPr>
            <w:tcW w:w="1440" w:type="dxa"/>
            <w:tcBorders>
              <w:top w:val="single" w:sz="8" w:space="0" w:color="000000"/>
              <w:left w:val="single" w:sz="8" w:space="0" w:color="000000"/>
              <w:bottom w:val="single" w:sz="8" w:space="0" w:color="000000"/>
              <w:right w:val="single" w:sz="8" w:space="0" w:color="000000"/>
            </w:tcBorders>
            <w:vAlign w:val="bottom"/>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360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rPr>
                <w:rFonts w:ascii="Arial" w:hAnsi="Arial" w:cs="Arial"/>
              </w:rPr>
            </w:pPr>
            <w:r w:rsidRPr="0074117E">
              <w:rPr>
                <w:rFonts w:ascii="Arial" w:hAnsi="Arial" w:cs="Arial"/>
              </w:rPr>
              <w:t xml:space="preserve">invalid, repeat test </w:t>
            </w:r>
          </w:p>
        </w:tc>
      </w:tr>
      <w:tr w:rsidR="00970F2C" w:rsidRPr="0074117E">
        <w:trPr>
          <w:trHeight w:val="353"/>
        </w:trPr>
        <w:tc>
          <w:tcPr>
            <w:tcW w:w="2868" w:type="dxa"/>
            <w:tcBorders>
              <w:top w:val="single" w:sz="8" w:space="0" w:color="000000"/>
              <w:left w:val="single" w:sz="8" w:space="0" w:color="000000"/>
              <w:bottom w:val="single" w:sz="8" w:space="0" w:color="000000"/>
              <w:right w:val="single" w:sz="8" w:space="0" w:color="000000"/>
            </w:tcBorders>
            <w:vAlign w:val="bottom"/>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1440" w:type="dxa"/>
            <w:tcBorders>
              <w:top w:val="single" w:sz="8" w:space="0" w:color="000000"/>
              <w:left w:val="single" w:sz="8" w:space="0" w:color="000000"/>
              <w:bottom w:val="single" w:sz="8" w:space="0" w:color="000000"/>
              <w:right w:val="single" w:sz="8" w:space="0" w:color="000000"/>
            </w:tcBorders>
            <w:vAlign w:val="bottom"/>
          </w:tcPr>
          <w:p w:rsidR="00970F2C" w:rsidRPr="0074117E" w:rsidRDefault="00970F2C">
            <w:pPr>
              <w:pStyle w:val="Default"/>
              <w:jc w:val="center"/>
              <w:rPr>
                <w:rFonts w:ascii="Arial" w:hAnsi="Arial" w:cs="Arial"/>
              </w:rPr>
            </w:pPr>
            <w:r w:rsidRPr="0074117E">
              <w:rPr>
                <w:rFonts w:ascii="Arial" w:hAnsi="Arial" w:cs="Arial"/>
              </w:rPr>
              <w:t xml:space="preserve">+ </w:t>
            </w:r>
          </w:p>
        </w:tc>
        <w:tc>
          <w:tcPr>
            <w:tcW w:w="360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rPr>
                <w:rFonts w:ascii="Arial" w:hAnsi="Arial" w:cs="Arial"/>
              </w:rPr>
            </w:pPr>
            <w:r w:rsidRPr="0074117E">
              <w:rPr>
                <w:rFonts w:ascii="Arial" w:hAnsi="Arial" w:cs="Arial"/>
              </w:rPr>
              <w:t xml:space="preserve">invalid, repeat test </w:t>
            </w:r>
          </w:p>
        </w:tc>
      </w:tr>
      <w:tr w:rsidR="00970F2C" w:rsidRPr="0074117E">
        <w:trPr>
          <w:trHeight w:val="353"/>
        </w:trPr>
        <w:tc>
          <w:tcPr>
            <w:tcW w:w="2868"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0 </w:t>
            </w:r>
          </w:p>
        </w:tc>
        <w:tc>
          <w:tcPr>
            <w:tcW w:w="144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0 </w:t>
            </w:r>
          </w:p>
        </w:tc>
        <w:tc>
          <w:tcPr>
            <w:tcW w:w="144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jc w:val="center"/>
              <w:rPr>
                <w:rFonts w:ascii="Arial" w:hAnsi="Arial" w:cs="Arial"/>
              </w:rPr>
            </w:pPr>
            <w:r w:rsidRPr="0074117E">
              <w:rPr>
                <w:rFonts w:ascii="Arial" w:hAnsi="Arial" w:cs="Arial"/>
              </w:rPr>
              <w:t xml:space="preserve">0 </w:t>
            </w:r>
          </w:p>
        </w:tc>
        <w:tc>
          <w:tcPr>
            <w:tcW w:w="3600" w:type="dxa"/>
            <w:tcBorders>
              <w:top w:val="single" w:sz="8" w:space="0" w:color="000000"/>
              <w:left w:val="single" w:sz="8" w:space="0" w:color="000000"/>
              <w:bottom w:val="single" w:sz="8" w:space="0" w:color="000000"/>
              <w:right w:val="single" w:sz="8" w:space="0" w:color="000000"/>
            </w:tcBorders>
            <w:vAlign w:val="center"/>
          </w:tcPr>
          <w:p w:rsidR="00970F2C" w:rsidRPr="0074117E" w:rsidRDefault="00970F2C">
            <w:pPr>
              <w:pStyle w:val="Default"/>
              <w:rPr>
                <w:rFonts w:ascii="Arial" w:hAnsi="Arial" w:cs="Arial"/>
              </w:rPr>
            </w:pPr>
            <w:r w:rsidRPr="0074117E">
              <w:rPr>
                <w:rFonts w:ascii="Arial" w:hAnsi="Arial" w:cs="Arial"/>
              </w:rPr>
              <w:t xml:space="preserve">invalid, repeat test </w:t>
            </w:r>
          </w:p>
        </w:tc>
      </w:tr>
    </w:tbl>
    <w:p w:rsidR="00897E05" w:rsidRDefault="00897E05">
      <w:pPr>
        <w:rPr>
          <w:sz w:val="20"/>
        </w:rPr>
      </w:pPr>
    </w:p>
    <w:p w:rsidR="00970F2C" w:rsidRPr="00897E05" w:rsidRDefault="00970F2C">
      <w:pPr>
        <w:rPr>
          <w:szCs w:val="24"/>
        </w:rPr>
      </w:pPr>
      <w:r w:rsidRPr="00897E05">
        <w:rPr>
          <w:szCs w:val="24"/>
        </w:rPr>
        <w:t xml:space="preserve">Code: 0 = </w:t>
      </w:r>
      <w:r w:rsidR="004A3E74" w:rsidRPr="00897E05">
        <w:rPr>
          <w:szCs w:val="24"/>
        </w:rPr>
        <w:t>negative;</w:t>
      </w:r>
      <w:r w:rsidRPr="00897E05">
        <w:rPr>
          <w:szCs w:val="24"/>
        </w:rPr>
        <w:t xml:space="preserve"> + = positive</w:t>
      </w:r>
    </w:p>
    <w:p w:rsidR="00970F2C" w:rsidRPr="0074117E" w:rsidRDefault="00970F2C">
      <w:pPr>
        <w:rPr>
          <w:sz w:val="20"/>
        </w:rPr>
      </w:pPr>
    </w:p>
    <w:p w:rsidR="00970F2C" w:rsidRPr="00897E05" w:rsidRDefault="00970F2C">
      <w:pPr>
        <w:pStyle w:val="Heading2"/>
        <w:rPr>
          <w:szCs w:val="24"/>
        </w:rPr>
      </w:pPr>
      <w:r w:rsidRPr="00897E05">
        <w:rPr>
          <w:szCs w:val="24"/>
        </w:rPr>
        <w:t>R</w:t>
      </w:r>
      <w:r w:rsidR="00897E05" w:rsidRPr="00897E05">
        <w:rPr>
          <w:szCs w:val="24"/>
        </w:rPr>
        <w:t xml:space="preserve">esults </w:t>
      </w:r>
      <w:r w:rsidR="00897E05">
        <w:rPr>
          <w:szCs w:val="24"/>
        </w:rPr>
        <w:t>Reporting</w:t>
      </w:r>
    </w:p>
    <w:p w:rsidR="00970F2C" w:rsidRPr="0074117E" w:rsidRDefault="00970F2C"/>
    <w:p w:rsidR="00897E05" w:rsidRDefault="00970F2C" w:rsidP="00897E05">
      <w:pPr>
        <w:numPr>
          <w:ilvl w:val="0"/>
          <w:numId w:val="4"/>
        </w:numPr>
      </w:pPr>
      <w:r w:rsidRPr="0074117E">
        <w:t>All the following information must be concurrently documented in the laboratory information system (see attachments):</w:t>
      </w:r>
    </w:p>
    <w:p w:rsidR="00897E05" w:rsidRDefault="00970F2C" w:rsidP="00897E05">
      <w:pPr>
        <w:numPr>
          <w:ilvl w:val="1"/>
          <w:numId w:val="4"/>
        </w:numPr>
      </w:pPr>
      <w:r w:rsidRPr="0074117E">
        <w:t>Fetal Bleed Screening lot number</w:t>
      </w:r>
    </w:p>
    <w:p w:rsidR="00897E05" w:rsidRDefault="00970F2C" w:rsidP="00897E05">
      <w:pPr>
        <w:numPr>
          <w:ilvl w:val="1"/>
          <w:numId w:val="4"/>
        </w:numPr>
      </w:pPr>
      <w:r w:rsidRPr="0074117E">
        <w:t>Fetal Bleed Screening expiration date</w:t>
      </w:r>
    </w:p>
    <w:p w:rsidR="00897E05" w:rsidRDefault="00970F2C" w:rsidP="00897E05">
      <w:pPr>
        <w:numPr>
          <w:ilvl w:val="1"/>
          <w:numId w:val="4"/>
        </w:numPr>
      </w:pPr>
      <w:r w:rsidRPr="0074117E">
        <w:t>Patient Results</w:t>
      </w:r>
    </w:p>
    <w:p w:rsidR="00897E05" w:rsidRDefault="00970F2C" w:rsidP="00897E05">
      <w:pPr>
        <w:numPr>
          <w:ilvl w:val="1"/>
          <w:numId w:val="4"/>
        </w:numPr>
      </w:pPr>
      <w:r w:rsidRPr="0074117E">
        <w:t>Positive Control Results</w:t>
      </w:r>
    </w:p>
    <w:p w:rsidR="00897E05" w:rsidRDefault="00970F2C" w:rsidP="00897E05">
      <w:pPr>
        <w:numPr>
          <w:ilvl w:val="1"/>
          <w:numId w:val="4"/>
        </w:numPr>
      </w:pPr>
      <w:r w:rsidRPr="0074117E">
        <w:t>Negative Control Results</w:t>
      </w:r>
    </w:p>
    <w:p w:rsidR="00970F2C" w:rsidRDefault="00970F2C" w:rsidP="00897E05">
      <w:pPr>
        <w:numPr>
          <w:ilvl w:val="1"/>
          <w:numId w:val="4"/>
        </w:numPr>
      </w:pPr>
      <w:r w:rsidRPr="0074117E">
        <w:t>Interpretation as positive or negative</w:t>
      </w:r>
    </w:p>
    <w:p w:rsidR="000938B2" w:rsidRDefault="00970F2C">
      <w:pPr>
        <w:numPr>
          <w:ilvl w:val="0"/>
          <w:numId w:val="4"/>
        </w:numPr>
      </w:pPr>
      <w:r w:rsidRPr="0074117E">
        <w:t>A positive result must be reported to the nurse in charge of the patient.</w:t>
      </w:r>
    </w:p>
    <w:p w:rsidR="00E10E68" w:rsidRPr="00897E05" w:rsidRDefault="00E10E68">
      <w:pPr>
        <w:numPr>
          <w:ilvl w:val="0"/>
          <w:numId w:val="4"/>
        </w:numPr>
      </w:pPr>
      <w:r w:rsidRPr="00897E05">
        <w:t>If a strong positive result is noted, the blood type and Rh should be repeated to insure the correct patient’s blood is being tested. A weak D test should be performed if the ABO/Rh type matches. If the mother’s weak D test is positive, a KB stain should be performed with the comment of inaccurate results due to the patient’s weak D status. See TRAN 6004 P Weak D Testing</w:t>
      </w:r>
      <w:r w:rsidR="00897E05" w:rsidRPr="00897E05">
        <w:t xml:space="preserve"> Process</w:t>
      </w:r>
      <w:r w:rsidRPr="00897E05">
        <w:t>.</w:t>
      </w:r>
    </w:p>
    <w:p w:rsidR="00970F2C" w:rsidRDefault="00743ECD">
      <w:pPr>
        <w:numPr>
          <w:ilvl w:val="0"/>
          <w:numId w:val="4"/>
        </w:numPr>
      </w:pPr>
      <w:r>
        <w:t>T</w:t>
      </w:r>
      <w:r w:rsidR="00970F2C" w:rsidRPr="0074117E">
        <w:t>he positive Fetal Bleed Screen test result is</w:t>
      </w:r>
      <w:r w:rsidR="005F2421" w:rsidRPr="0074117E">
        <w:t xml:space="preserve"> reflexed to a Kleihauer-Betke t</w:t>
      </w:r>
      <w:r w:rsidR="00970F2C" w:rsidRPr="0074117E">
        <w:t>est.</w:t>
      </w:r>
    </w:p>
    <w:p w:rsidR="00970F2C" w:rsidRPr="0074117E" w:rsidRDefault="00C84C6D">
      <w:pPr>
        <w:numPr>
          <w:ilvl w:val="0"/>
          <w:numId w:val="4"/>
        </w:numPr>
      </w:pPr>
      <w:r>
        <w:t>Send the specimen to Hematology for a Kleihauer-Betke (KB) test.</w:t>
      </w:r>
    </w:p>
    <w:p w:rsidR="003B2342" w:rsidRDefault="003B2342"/>
    <w:p w:rsidR="00970F2C" w:rsidRPr="00897E05" w:rsidRDefault="00970F2C">
      <w:pPr>
        <w:pStyle w:val="Heading2"/>
        <w:rPr>
          <w:szCs w:val="24"/>
        </w:rPr>
      </w:pPr>
      <w:r w:rsidRPr="00897E05">
        <w:rPr>
          <w:szCs w:val="24"/>
        </w:rPr>
        <w:lastRenderedPageBreak/>
        <w:t>L</w:t>
      </w:r>
      <w:r w:rsidR="00897E05" w:rsidRPr="00897E05">
        <w:rPr>
          <w:szCs w:val="24"/>
        </w:rPr>
        <w:t>imitations</w:t>
      </w:r>
    </w:p>
    <w:p w:rsidR="00970F2C" w:rsidRPr="0074117E" w:rsidRDefault="00970F2C"/>
    <w:p w:rsidR="003B2342" w:rsidRPr="00E4191D" w:rsidRDefault="003B2342" w:rsidP="003B2342">
      <w:pPr>
        <w:autoSpaceDE w:val="0"/>
        <w:autoSpaceDN w:val="0"/>
        <w:adjustRightInd w:val="0"/>
        <w:jc w:val="both"/>
        <w:rPr>
          <w:szCs w:val="24"/>
        </w:rPr>
      </w:pPr>
      <w:r w:rsidRPr="00E4191D">
        <w:rPr>
          <w:szCs w:val="24"/>
        </w:rPr>
        <w:t xml:space="preserve">As in all serological tests, such factors as contaminated materials, improper incubation time, temperature, centrifugation, examination for agglutination and deviation from the recommended test procedure, may give rise to false test results. In addition: </w:t>
      </w:r>
    </w:p>
    <w:p w:rsidR="003B2342" w:rsidRDefault="003B2342" w:rsidP="003B2342">
      <w:pPr>
        <w:autoSpaceDE w:val="0"/>
        <w:autoSpaceDN w:val="0"/>
        <w:adjustRightInd w:val="0"/>
        <w:ind w:left="280" w:hanging="280"/>
        <w:jc w:val="both"/>
        <w:rPr>
          <w:szCs w:val="24"/>
        </w:rPr>
      </w:pP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For correct interpretation of the test results, the test must be performed on the blood of a known D-negative mother of a recently delivered D-positive child. If the infant's red blood cells possess a weak D antigen or partial D antigen, the test may not detect a </w:t>
      </w:r>
      <w:proofErr w:type="spellStart"/>
      <w:r w:rsidRPr="003837DA">
        <w:rPr>
          <w:szCs w:val="24"/>
        </w:rPr>
        <w:t>feto</w:t>
      </w:r>
      <w:proofErr w:type="spellEnd"/>
      <w:r w:rsidRPr="003837DA">
        <w:rPr>
          <w:szCs w:val="24"/>
        </w:rPr>
        <w:t xml:space="preserve">-maternal hemorrhage exceeding 30 mL of whole blood. When the D antigen on the infant's red blood cells requires a weak D test for detection, a test to detect </w:t>
      </w:r>
      <w:proofErr w:type="spellStart"/>
      <w:r w:rsidRPr="003837DA">
        <w:rPr>
          <w:szCs w:val="24"/>
        </w:rPr>
        <w:t>feto</w:t>
      </w:r>
      <w:proofErr w:type="spellEnd"/>
      <w:r w:rsidRPr="003837DA">
        <w:rPr>
          <w:szCs w:val="24"/>
        </w:rPr>
        <w:t xml:space="preserve">-maternal hemorrhage based on fetal hemoglobin is recommended. If the mother is D-positive, including weak D, strong agglutination provides no information about the extent of </w:t>
      </w:r>
      <w:proofErr w:type="spellStart"/>
      <w:r w:rsidRPr="003837DA">
        <w:rPr>
          <w:szCs w:val="24"/>
        </w:rPr>
        <w:t>feto</w:t>
      </w:r>
      <w:proofErr w:type="spellEnd"/>
      <w:r w:rsidRPr="003837DA">
        <w:rPr>
          <w:szCs w:val="24"/>
        </w:rPr>
        <w:t xml:space="preserve">-maternal hemorrhage. If the infant is D-negative, a negative test result can be expected to occur, regardless of the volume of </w:t>
      </w:r>
      <w:proofErr w:type="spellStart"/>
      <w:r w:rsidRPr="003837DA">
        <w:rPr>
          <w:szCs w:val="24"/>
        </w:rPr>
        <w:t>feto</w:t>
      </w:r>
      <w:proofErr w:type="spellEnd"/>
      <w:r w:rsidRPr="003837DA">
        <w:rPr>
          <w:szCs w:val="24"/>
        </w:rPr>
        <w:t xml:space="preserve">-maternal hemorrhage. </w:t>
      </w: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In cases of ABO incompatibility between mother and child, the mother's natural ABO antibodies may destroy any fetal cells in the maternal blood specimen before testing is performed. This is true for any method of detecting fetal cells in the maternal blood. </w:t>
      </w: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Failure to carry out the washing stages of the test procedure properly may give rise to a false-positive test result due to agglutination of the indicator cells by free anti-D remaining in the test system. </w:t>
      </w: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A false-positive test result may occur if the maternal red blood cells have a positive direct antiglobulin test due to an autoantibody capable of reacting with the indicator cells. </w:t>
      </w: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A positive test result does not of itself provide evidence that an increased dose of Rh-Immune Globulin is required to protect the mother from producing anti-D, but merely indicates that a larger-than-normal </w:t>
      </w:r>
      <w:proofErr w:type="spellStart"/>
      <w:r w:rsidRPr="003837DA">
        <w:rPr>
          <w:szCs w:val="24"/>
        </w:rPr>
        <w:t>feto</w:t>
      </w:r>
      <w:proofErr w:type="spellEnd"/>
      <w:r w:rsidRPr="003837DA">
        <w:rPr>
          <w:szCs w:val="24"/>
        </w:rPr>
        <w:t xml:space="preserve">-maternal hemorrhage may have occurred. A quantitative procedure is required to determine the volume of </w:t>
      </w:r>
      <w:proofErr w:type="spellStart"/>
      <w:r w:rsidRPr="003837DA">
        <w:rPr>
          <w:szCs w:val="24"/>
        </w:rPr>
        <w:t>feto</w:t>
      </w:r>
      <w:proofErr w:type="spellEnd"/>
      <w:r w:rsidRPr="003837DA">
        <w:rPr>
          <w:szCs w:val="24"/>
        </w:rPr>
        <w:t xml:space="preserve">-maternal hemorrhage. </w:t>
      </w: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The reactivity of red blood cells may tend to diminish over the dating period. </w:t>
      </w:r>
    </w:p>
    <w:p w:rsidR="003B2342" w:rsidRPr="003837DA" w:rsidRDefault="003B2342" w:rsidP="003837DA">
      <w:pPr>
        <w:pStyle w:val="ListParagraph"/>
        <w:numPr>
          <w:ilvl w:val="0"/>
          <w:numId w:val="26"/>
        </w:numPr>
        <w:autoSpaceDE w:val="0"/>
        <w:autoSpaceDN w:val="0"/>
        <w:adjustRightInd w:val="0"/>
        <w:jc w:val="both"/>
        <w:rPr>
          <w:szCs w:val="24"/>
        </w:rPr>
      </w:pPr>
      <w:r w:rsidRPr="003837DA">
        <w:rPr>
          <w:szCs w:val="24"/>
        </w:rPr>
        <w:t xml:space="preserve">Do not use grossly hemolyzed specimens for testing. </w:t>
      </w:r>
    </w:p>
    <w:p w:rsidR="000938B2" w:rsidRPr="000938B2" w:rsidRDefault="000938B2">
      <w:pPr>
        <w:rPr>
          <w:bCs/>
          <w:sz w:val="28"/>
          <w:szCs w:val="28"/>
          <w:lang w:val="en-AU"/>
        </w:rPr>
      </w:pPr>
    </w:p>
    <w:p w:rsidR="0074117E" w:rsidRPr="0074117E" w:rsidRDefault="0074117E">
      <w:pPr>
        <w:pStyle w:val="Header"/>
        <w:tabs>
          <w:tab w:val="clear" w:pos="4320"/>
          <w:tab w:val="clear" w:pos="8640"/>
          <w:tab w:val="left" w:pos="360"/>
        </w:tabs>
        <w:rPr>
          <w:b/>
        </w:rPr>
      </w:pPr>
    </w:p>
    <w:p w:rsidR="0074117E" w:rsidRPr="0074117E" w:rsidRDefault="0074117E">
      <w:pPr>
        <w:pStyle w:val="Header"/>
        <w:tabs>
          <w:tab w:val="clear" w:pos="4320"/>
          <w:tab w:val="clear" w:pos="8640"/>
          <w:tab w:val="left" w:pos="360"/>
        </w:tabs>
        <w:rPr>
          <w:b/>
          <w:bCs/>
        </w:rPr>
      </w:pPr>
    </w:p>
    <w:sectPr w:rsidR="0074117E" w:rsidRPr="0074117E" w:rsidSect="00A74B24">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42" w:rsidRDefault="003B2342">
      <w:r>
        <w:separator/>
      </w:r>
    </w:p>
  </w:endnote>
  <w:endnote w:type="continuationSeparator" w:id="0">
    <w:p w:rsidR="003B2342" w:rsidRDefault="003B2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PWQNY C+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42" w:rsidRDefault="003B2342" w:rsidP="003B2342">
    <w:pPr>
      <w:pStyle w:val="Footer"/>
      <w:jc w:val="center"/>
      <w:rPr>
        <w:b/>
        <w:bCs/>
        <w:sz w:val="20"/>
      </w:rPr>
    </w:pPr>
    <w:r>
      <w:rPr>
        <w:b/>
        <w:bCs/>
        <w:sz w:val="20"/>
      </w:rPr>
      <w:t xml:space="preserve">Saint Agnes Hospital, 900 S. Caton Avenue, </w:t>
    </w:r>
    <w:smartTag w:uri="urn:schemas-microsoft-com:office:smarttags" w:element="City">
      <w:r>
        <w:rPr>
          <w:b/>
          <w:bCs/>
          <w:sz w:val="20"/>
        </w:rPr>
        <w:t>Baltimore</w:t>
      </w:r>
    </w:smartTag>
    <w:r>
      <w:rPr>
        <w:b/>
        <w:bCs/>
        <w:sz w:val="20"/>
      </w:rPr>
      <w:t xml:space="preserve">, </w:t>
    </w:r>
    <w:smartTag w:uri="urn:schemas-microsoft-com:office:smarttags" w:element="State">
      <w:r>
        <w:rPr>
          <w:b/>
          <w:bCs/>
          <w:sz w:val="20"/>
        </w:rPr>
        <w:t>MD</w:t>
      </w:r>
    </w:smartTag>
    <w:r>
      <w:rPr>
        <w:b/>
        <w:bCs/>
        <w:sz w:val="20"/>
      </w:rPr>
      <w:t xml:space="preserve"> 21229</w:t>
    </w:r>
  </w:p>
  <w:p w:rsidR="003B2342" w:rsidRDefault="003B2342" w:rsidP="003B2342">
    <w:pPr>
      <w:pStyle w:val="Footer"/>
      <w:jc w:val="center"/>
      <w:rPr>
        <w:b/>
        <w:bCs/>
        <w:sz w:val="20"/>
      </w:rPr>
    </w:pPr>
  </w:p>
  <w:p w:rsidR="003B2342" w:rsidRDefault="00442D47">
    <w:pPr>
      <w:pStyle w:val="Footer"/>
      <w:rPr>
        <w:b/>
        <w:bCs/>
        <w:sz w:val="20"/>
      </w:rPr>
    </w:pPr>
    <w:r w:rsidRPr="000979A8">
      <w:rPr>
        <w:b/>
        <w:bCs/>
        <w:sz w:val="20"/>
      </w:rPr>
      <w:fldChar w:fldCharType="begin"/>
    </w:r>
    <w:r w:rsidR="003B2342" w:rsidRPr="000979A8">
      <w:rPr>
        <w:b/>
        <w:bCs/>
        <w:sz w:val="20"/>
      </w:rPr>
      <w:instrText xml:space="preserve"> FILENAME \p </w:instrText>
    </w:r>
    <w:r w:rsidRPr="000979A8">
      <w:rPr>
        <w:b/>
        <w:bCs/>
        <w:sz w:val="20"/>
      </w:rPr>
      <w:fldChar w:fldCharType="separate"/>
    </w:r>
    <w:r w:rsidR="00C34A3A">
      <w:rPr>
        <w:b/>
        <w:bCs/>
        <w:noProof/>
        <w:sz w:val="20"/>
      </w:rPr>
      <w:t>P:\labadmin\Quality Management\TRAN\TRAN QSE 6-Process Control\TRAN 6005 R Fetal Bleed Screening v3.docx</w:t>
    </w:r>
    <w:r w:rsidRPr="000979A8">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42" w:rsidRDefault="003B2342">
      <w:r>
        <w:separator/>
      </w:r>
    </w:p>
  </w:footnote>
  <w:footnote w:type="continuationSeparator" w:id="0">
    <w:p w:rsidR="003B2342" w:rsidRDefault="003B2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788"/>
      <w:gridCol w:w="4788"/>
    </w:tblGrid>
    <w:tr w:rsidR="003B2342">
      <w:trPr>
        <w:trHeight w:hRule="exact" w:val="720"/>
      </w:trPr>
      <w:tc>
        <w:tcPr>
          <w:tcW w:w="4788" w:type="dxa"/>
          <w:vAlign w:val="center"/>
        </w:tcPr>
        <w:p w:rsidR="003B2342" w:rsidRPr="009027DC" w:rsidRDefault="003B2342" w:rsidP="009027DC">
          <w:pPr>
            <w:rPr>
              <w:b/>
            </w:rPr>
          </w:pPr>
          <w:r>
            <w:rPr>
              <w:b/>
            </w:rPr>
            <w:t xml:space="preserve">Blood Bank </w:t>
          </w:r>
          <w:r w:rsidRPr="009027DC">
            <w:rPr>
              <w:b/>
            </w:rPr>
            <w:t>Manual</w:t>
          </w:r>
        </w:p>
        <w:p w:rsidR="003B2342" w:rsidRPr="009027DC" w:rsidRDefault="003B2342" w:rsidP="009027DC">
          <w:pPr>
            <w:rPr>
              <w:b/>
            </w:rPr>
          </w:pPr>
          <w:r w:rsidRPr="009027DC">
            <w:rPr>
              <w:b/>
            </w:rPr>
            <w:t xml:space="preserve">Department of Pathology </w:t>
          </w:r>
        </w:p>
      </w:tc>
      <w:tc>
        <w:tcPr>
          <w:tcW w:w="4788" w:type="dxa"/>
          <w:vAlign w:val="center"/>
        </w:tcPr>
        <w:p w:rsidR="003B2342" w:rsidRPr="009027DC" w:rsidRDefault="003B2342" w:rsidP="009027DC">
          <w:pPr>
            <w:rPr>
              <w:b/>
            </w:rPr>
          </w:pPr>
          <w:r w:rsidRPr="009027DC">
            <w:rPr>
              <w:b/>
            </w:rPr>
            <w:t xml:space="preserve">Document No.   </w:t>
          </w:r>
          <w:r>
            <w:rPr>
              <w:b/>
            </w:rPr>
            <w:t>TRAN</w:t>
          </w:r>
          <w:r w:rsidRPr="009027DC">
            <w:rPr>
              <w:b/>
            </w:rPr>
            <w:t xml:space="preserve"> 6005 R</w:t>
          </w:r>
        </w:p>
        <w:p w:rsidR="003B2342" w:rsidRPr="009027DC" w:rsidRDefault="003B2342" w:rsidP="009027DC">
          <w:pPr>
            <w:rPr>
              <w:b/>
            </w:rPr>
          </w:pPr>
          <w:r w:rsidRPr="009027DC">
            <w:rPr>
              <w:b/>
            </w:rPr>
            <w:t xml:space="preserve">Page </w:t>
          </w:r>
          <w:r w:rsidR="00442D47" w:rsidRPr="009027DC">
            <w:rPr>
              <w:b/>
            </w:rPr>
            <w:fldChar w:fldCharType="begin"/>
          </w:r>
          <w:r w:rsidRPr="009027DC">
            <w:rPr>
              <w:b/>
            </w:rPr>
            <w:instrText xml:space="preserve"> PAGE </w:instrText>
          </w:r>
          <w:r w:rsidR="00442D47" w:rsidRPr="009027DC">
            <w:rPr>
              <w:b/>
            </w:rPr>
            <w:fldChar w:fldCharType="separate"/>
          </w:r>
          <w:r w:rsidR="003837DA">
            <w:rPr>
              <w:b/>
              <w:noProof/>
            </w:rPr>
            <w:t>1</w:t>
          </w:r>
          <w:r w:rsidR="00442D47" w:rsidRPr="009027DC">
            <w:rPr>
              <w:b/>
            </w:rPr>
            <w:fldChar w:fldCharType="end"/>
          </w:r>
          <w:r w:rsidRPr="009027DC">
            <w:rPr>
              <w:b/>
            </w:rPr>
            <w:t xml:space="preserve"> of </w:t>
          </w:r>
          <w:r w:rsidR="00442D47" w:rsidRPr="009027DC">
            <w:rPr>
              <w:b/>
            </w:rPr>
            <w:fldChar w:fldCharType="begin"/>
          </w:r>
          <w:r w:rsidRPr="009027DC">
            <w:rPr>
              <w:b/>
            </w:rPr>
            <w:instrText xml:space="preserve"> NUMPAGES </w:instrText>
          </w:r>
          <w:r w:rsidR="00442D47" w:rsidRPr="009027DC">
            <w:rPr>
              <w:b/>
            </w:rPr>
            <w:fldChar w:fldCharType="separate"/>
          </w:r>
          <w:r w:rsidR="003837DA">
            <w:rPr>
              <w:b/>
              <w:noProof/>
            </w:rPr>
            <w:t>4</w:t>
          </w:r>
          <w:r w:rsidR="00442D47" w:rsidRPr="009027DC">
            <w:rPr>
              <w:b/>
            </w:rPr>
            <w:fldChar w:fldCharType="end"/>
          </w:r>
        </w:p>
      </w:tc>
    </w:tr>
    <w:tr w:rsidR="003B2342">
      <w:trPr>
        <w:trHeight w:val="678"/>
      </w:trPr>
      <w:tc>
        <w:tcPr>
          <w:tcW w:w="4788" w:type="dxa"/>
        </w:tcPr>
        <w:p w:rsidR="003B2342" w:rsidRPr="009027DC" w:rsidRDefault="003B2342" w:rsidP="009027DC">
          <w:pPr>
            <w:spacing w:before="120"/>
            <w:rPr>
              <w:b/>
            </w:rPr>
          </w:pPr>
          <w:r w:rsidRPr="009027DC">
            <w:rPr>
              <w:b/>
            </w:rPr>
            <w:t>Transfusion Service</w:t>
          </w:r>
          <w:r>
            <w:rPr>
              <w:b/>
            </w:rPr>
            <w:t>s</w:t>
          </w:r>
        </w:p>
        <w:p w:rsidR="003B2342" w:rsidRPr="009027DC" w:rsidRDefault="003B2342" w:rsidP="009027DC">
          <w:pPr>
            <w:spacing w:after="120"/>
            <w:rPr>
              <w:b/>
            </w:rPr>
          </w:pPr>
          <w:r>
            <w:rPr>
              <w:b/>
            </w:rPr>
            <w:t>Fetal Bleed Screening</w:t>
          </w:r>
        </w:p>
      </w:tc>
      <w:tc>
        <w:tcPr>
          <w:tcW w:w="4788" w:type="dxa"/>
        </w:tcPr>
        <w:p w:rsidR="003B2342" w:rsidRPr="009027DC" w:rsidRDefault="003B2342" w:rsidP="009027DC">
          <w:pPr>
            <w:spacing w:before="120"/>
            <w:rPr>
              <w:b/>
            </w:rPr>
          </w:pPr>
          <w:r>
            <w:rPr>
              <w:b/>
            </w:rPr>
            <w:t>Origination</w:t>
          </w:r>
          <w:r w:rsidRPr="009027DC">
            <w:rPr>
              <w:b/>
            </w:rPr>
            <w:t>:  09/2006</w:t>
          </w:r>
        </w:p>
        <w:p w:rsidR="003B2342" w:rsidRPr="009027DC" w:rsidRDefault="003B2342" w:rsidP="003B2342">
          <w:pPr>
            <w:ind w:left="1872"/>
            <w:rPr>
              <w:b/>
            </w:rPr>
          </w:pPr>
          <w:r>
            <w:rPr>
              <w:b/>
            </w:rPr>
            <w:t>Version: 3</w:t>
          </w:r>
        </w:p>
        <w:p w:rsidR="003B2342" w:rsidRPr="009027DC" w:rsidRDefault="003B2342" w:rsidP="009027DC">
          <w:pPr>
            <w:rPr>
              <w:b/>
            </w:rPr>
          </w:pPr>
        </w:p>
      </w:tc>
    </w:tr>
  </w:tbl>
  <w:p w:rsidR="003B2342" w:rsidRDefault="003B23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C87"/>
    <w:multiLevelType w:val="hybridMultilevel"/>
    <w:tmpl w:val="FA508012"/>
    <w:lvl w:ilvl="0" w:tplc="72D4D1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4420C"/>
    <w:multiLevelType w:val="hybridMultilevel"/>
    <w:tmpl w:val="12C0B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21C5C"/>
    <w:multiLevelType w:val="hybridMultilevel"/>
    <w:tmpl w:val="3D601E06"/>
    <w:lvl w:ilvl="0" w:tplc="2B584DC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94FC8"/>
    <w:multiLevelType w:val="hybridMultilevel"/>
    <w:tmpl w:val="E98C31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725606"/>
    <w:multiLevelType w:val="hybridMultilevel"/>
    <w:tmpl w:val="E4644D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E02CD6"/>
    <w:multiLevelType w:val="hybridMultilevel"/>
    <w:tmpl w:val="8400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45B5E"/>
    <w:multiLevelType w:val="hybridMultilevel"/>
    <w:tmpl w:val="0D2241B0"/>
    <w:lvl w:ilvl="0" w:tplc="1886526A">
      <w:start w:val="1"/>
      <w:numFmt w:val="decimal"/>
      <w:lvlText w:val="%1."/>
      <w:lvlJc w:val="left"/>
      <w:pPr>
        <w:tabs>
          <w:tab w:val="num" w:pos="1080"/>
        </w:tabs>
        <w:ind w:left="1080" w:hanging="720"/>
      </w:pPr>
      <w:rPr>
        <w:rFonts w:hint="default"/>
      </w:rPr>
    </w:lvl>
    <w:lvl w:ilvl="1" w:tplc="6FCC3F6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224DFF"/>
    <w:multiLevelType w:val="hybridMultilevel"/>
    <w:tmpl w:val="276A7CE8"/>
    <w:lvl w:ilvl="0" w:tplc="F65024E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868AF"/>
    <w:multiLevelType w:val="hybridMultilevel"/>
    <w:tmpl w:val="5EFC68CA"/>
    <w:lvl w:ilvl="0" w:tplc="0409000F">
      <w:start w:val="1"/>
      <w:numFmt w:val="decimal"/>
      <w:lvlText w:val="%1."/>
      <w:lvlJc w:val="left"/>
      <w:pPr>
        <w:ind w:left="720" w:hanging="360"/>
      </w:pPr>
    </w:lvl>
    <w:lvl w:ilvl="1" w:tplc="6756E6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61425"/>
    <w:multiLevelType w:val="hybridMultilevel"/>
    <w:tmpl w:val="253E08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DE6DC3"/>
    <w:multiLevelType w:val="hybridMultilevel"/>
    <w:tmpl w:val="3170E9FA"/>
    <w:lvl w:ilvl="0" w:tplc="C6427B24">
      <w:start w:val="1"/>
      <w:numFmt w:val="upperRoman"/>
      <w:lvlText w:val="%1."/>
      <w:lvlJc w:val="right"/>
      <w:pPr>
        <w:tabs>
          <w:tab w:val="num" w:pos="720"/>
        </w:tabs>
        <w:ind w:left="720" w:hanging="360"/>
      </w:pPr>
    </w:lvl>
    <w:lvl w:ilvl="1" w:tplc="78745F42">
      <w:start w:val="1"/>
      <w:numFmt w:val="upperLetter"/>
      <w:lvlText w:val="%2."/>
      <w:lvlJc w:val="right"/>
      <w:pPr>
        <w:tabs>
          <w:tab w:val="num" w:pos="1440"/>
        </w:tabs>
        <w:ind w:left="1440" w:hanging="360"/>
      </w:pPr>
    </w:lvl>
    <w:lvl w:ilvl="2" w:tplc="CBDC74DA">
      <w:start w:val="1"/>
      <w:numFmt w:val="decimal"/>
      <w:lvlText w:val="%3."/>
      <w:lvlJc w:val="right"/>
      <w:pPr>
        <w:tabs>
          <w:tab w:val="num" w:pos="2160"/>
        </w:tabs>
        <w:ind w:left="2160" w:hanging="360"/>
      </w:pPr>
    </w:lvl>
    <w:lvl w:ilvl="3" w:tplc="5F3CD844" w:tentative="1">
      <w:start w:val="1"/>
      <w:numFmt w:val="upperRoman"/>
      <w:lvlText w:val="%4."/>
      <w:lvlJc w:val="right"/>
      <w:pPr>
        <w:tabs>
          <w:tab w:val="num" w:pos="2880"/>
        </w:tabs>
        <w:ind w:left="2880" w:hanging="360"/>
      </w:pPr>
    </w:lvl>
    <w:lvl w:ilvl="4" w:tplc="6B200592" w:tentative="1">
      <w:start w:val="1"/>
      <w:numFmt w:val="upperRoman"/>
      <w:lvlText w:val="%5."/>
      <w:lvlJc w:val="right"/>
      <w:pPr>
        <w:tabs>
          <w:tab w:val="num" w:pos="3600"/>
        </w:tabs>
        <w:ind w:left="3600" w:hanging="360"/>
      </w:pPr>
    </w:lvl>
    <w:lvl w:ilvl="5" w:tplc="12E2B99E" w:tentative="1">
      <w:start w:val="1"/>
      <w:numFmt w:val="upperRoman"/>
      <w:lvlText w:val="%6."/>
      <w:lvlJc w:val="right"/>
      <w:pPr>
        <w:tabs>
          <w:tab w:val="num" w:pos="4320"/>
        </w:tabs>
        <w:ind w:left="4320" w:hanging="360"/>
      </w:pPr>
    </w:lvl>
    <w:lvl w:ilvl="6" w:tplc="749C2356" w:tentative="1">
      <w:start w:val="1"/>
      <w:numFmt w:val="upperRoman"/>
      <w:lvlText w:val="%7."/>
      <w:lvlJc w:val="right"/>
      <w:pPr>
        <w:tabs>
          <w:tab w:val="num" w:pos="5040"/>
        </w:tabs>
        <w:ind w:left="5040" w:hanging="360"/>
      </w:pPr>
    </w:lvl>
    <w:lvl w:ilvl="7" w:tplc="16A40F6C" w:tentative="1">
      <w:start w:val="1"/>
      <w:numFmt w:val="upperRoman"/>
      <w:lvlText w:val="%8."/>
      <w:lvlJc w:val="right"/>
      <w:pPr>
        <w:tabs>
          <w:tab w:val="num" w:pos="5760"/>
        </w:tabs>
        <w:ind w:left="5760" w:hanging="360"/>
      </w:pPr>
    </w:lvl>
    <w:lvl w:ilvl="8" w:tplc="EAFA3570" w:tentative="1">
      <w:start w:val="1"/>
      <w:numFmt w:val="upperRoman"/>
      <w:lvlText w:val="%9."/>
      <w:lvlJc w:val="right"/>
      <w:pPr>
        <w:tabs>
          <w:tab w:val="num" w:pos="6480"/>
        </w:tabs>
        <w:ind w:left="6480" w:hanging="360"/>
      </w:pPr>
    </w:lvl>
  </w:abstractNum>
  <w:abstractNum w:abstractNumId="11">
    <w:nsid w:val="40F53AD9"/>
    <w:multiLevelType w:val="hybridMultilevel"/>
    <w:tmpl w:val="FBFA3D7A"/>
    <w:lvl w:ilvl="0" w:tplc="EF005D22">
      <w:start w:val="1"/>
      <w:numFmt w:val="decimal"/>
      <w:lvlText w:val="%1."/>
      <w:lvlJc w:val="left"/>
      <w:pPr>
        <w:tabs>
          <w:tab w:val="num" w:pos="1080"/>
        </w:tabs>
        <w:ind w:left="1080" w:hanging="720"/>
      </w:pPr>
      <w:rPr>
        <w:rFonts w:hint="default"/>
      </w:rPr>
    </w:lvl>
    <w:lvl w:ilvl="1" w:tplc="D438E9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E823A5"/>
    <w:multiLevelType w:val="hybridMultilevel"/>
    <w:tmpl w:val="3DD21804"/>
    <w:lvl w:ilvl="0" w:tplc="3CCA7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3167B0"/>
    <w:multiLevelType w:val="hybridMultilevel"/>
    <w:tmpl w:val="5688F8E0"/>
    <w:lvl w:ilvl="0" w:tplc="2B584DC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C5A1E"/>
    <w:multiLevelType w:val="hybridMultilevel"/>
    <w:tmpl w:val="5F06F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E3619"/>
    <w:multiLevelType w:val="hybridMultilevel"/>
    <w:tmpl w:val="8C6ED774"/>
    <w:lvl w:ilvl="0" w:tplc="4EE88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CC3375"/>
    <w:multiLevelType w:val="hybridMultilevel"/>
    <w:tmpl w:val="8A6A77D6"/>
    <w:lvl w:ilvl="0" w:tplc="33D016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407994"/>
    <w:multiLevelType w:val="hybridMultilevel"/>
    <w:tmpl w:val="73CA90F6"/>
    <w:lvl w:ilvl="0" w:tplc="145C5C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A71841"/>
    <w:multiLevelType w:val="hybridMultilevel"/>
    <w:tmpl w:val="A4946A88"/>
    <w:lvl w:ilvl="0" w:tplc="7CA684AE">
      <w:start w:val="1"/>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1C3153"/>
    <w:multiLevelType w:val="hybridMultilevel"/>
    <w:tmpl w:val="E618C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4A4BAF"/>
    <w:multiLevelType w:val="hybridMultilevel"/>
    <w:tmpl w:val="A8B4A57C"/>
    <w:lvl w:ilvl="0" w:tplc="0409000F">
      <w:start w:val="1"/>
      <w:numFmt w:val="decimal"/>
      <w:lvlText w:val="%1."/>
      <w:lvlJc w:val="left"/>
      <w:pPr>
        <w:tabs>
          <w:tab w:val="num" w:pos="720"/>
        </w:tabs>
        <w:ind w:left="720" w:hanging="360"/>
      </w:pPr>
      <w:rPr>
        <w:rFonts w:hint="default"/>
      </w:rPr>
    </w:lvl>
    <w:lvl w:ilvl="1" w:tplc="0FC8B4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A66E82"/>
    <w:multiLevelType w:val="hybridMultilevel"/>
    <w:tmpl w:val="F0022ED0"/>
    <w:lvl w:ilvl="0" w:tplc="2862B6A8">
      <w:start w:val="1"/>
      <w:numFmt w:val="decimal"/>
      <w:lvlText w:val="%1."/>
      <w:lvlJc w:val="left"/>
      <w:pPr>
        <w:tabs>
          <w:tab w:val="num" w:pos="1080"/>
        </w:tabs>
        <w:ind w:left="1080" w:hanging="720"/>
      </w:pPr>
      <w:rPr>
        <w:rFonts w:hint="default"/>
      </w:rPr>
    </w:lvl>
    <w:lvl w:ilvl="1" w:tplc="62CED5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522784"/>
    <w:multiLevelType w:val="hybridMultilevel"/>
    <w:tmpl w:val="3B72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330C4"/>
    <w:multiLevelType w:val="hybridMultilevel"/>
    <w:tmpl w:val="15D6F252"/>
    <w:lvl w:ilvl="0" w:tplc="B394EB22">
      <w:start w:val="1"/>
      <w:numFmt w:val="decimal"/>
      <w:lvlText w:val="%1."/>
      <w:lvlJc w:val="left"/>
      <w:pPr>
        <w:tabs>
          <w:tab w:val="num" w:pos="1800"/>
        </w:tabs>
        <w:ind w:left="180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8F47E2C"/>
    <w:multiLevelType w:val="hybridMultilevel"/>
    <w:tmpl w:val="5912843A"/>
    <w:lvl w:ilvl="0" w:tplc="5DCCB05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13359"/>
    <w:multiLevelType w:val="hybridMultilevel"/>
    <w:tmpl w:val="AE62657A"/>
    <w:lvl w:ilvl="0" w:tplc="3D9AC7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20"/>
  </w:num>
  <w:num w:numId="5">
    <w:abstractNumId w:val="14"/>
  </w:num>
  <w:num w:numId="6">
    <w:abstractNumId w:val="17"/>
  </w:num>
  <w:num w:numId="7">
    <w:abstractNumId w:val="12"/>
  </w:num>
  <w:num w:numId="8">
    <w:abstractNumId w:val="4"/>
  </w:num>
  <w:num w:numId="9">
    <w:abstractNumId w:val="10"/>
  </w:num>
  <w:num w:numId="10">
    <w:abstractNumId w:val="11"/>
  </w:num>
  <w:num w:numId="11">
    <w:abstractNumId w:val="25"/>
  </w:num>
  <w:num w:numId="12">
    <w:abstractNumId w:val="15"/>
  </w:num>
  <w:num w:numId="13">
    <w:abstractNumId w:val="6"/>
  </w:num>
  <w:num w:numId="14">
    <w:abstractNumId w:val="16"/>
  </w:num>
  <w:num w:numId="15">
    <w:abstractNumId w:val="18"/>
  </w:num>
  <w:num w:numId="16">
    <w:abstractNumId w:val="19"/>
  </w:num>
  <w:num w:numId="17">
    <w:abstractNumId w:val="1"/>
  </w:num>
  <w:num w:numId="18">
    <w:abstractNumId w:val="8"/>
  </w:num>
  <w:num w:numId="19">
    <w:abstractNumId w:val="9"/>
  </w:num>
  <w:num w:numId="20">
    <w:abstractNumId w:val="13"/>
  </w:num>
  <w:num w:numId="21">
    <w:abstractNumId w:val="2"/>
  </w:num>
  <w:num w:numId="22">
    <w:abstractNumId w:val="7"/>
  </w:num>
  <w:num w:numId="23">
    <w:abstractNumId w:val="3"/>
  </w:num>
  <w:num w:numId="24">
    <w:abstractNumId w:val="24"/>
  </w:num>
  <w:num w:numId="25">
    <w:abstractNumId w:val="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691711"/>
    <w:rsid w:val="00081756"/>
    <w:rsid w:val="000938B2"/>
    <w:rsid w:val="000979A8"/>
    <w:rsid w:val="000A1D0F"/>
    <w:rsid w:val="000F43AB"/>
    <w:rsid w:val="00284E75"/>
    <w:rsid w:val="00296B7E"/>
    <w:rsid w:val="002E47AF"/>
    <w:rsid w:val="00323025"/>
    <w:rsid w:val="00357DCC"/>
    <w:rsid w:val="003649DB"/>
    <w:rsid w:val="00365641"/>
    <w:rsid w:val="00376327"/>
    <w:rsid w:val="003837DA"/>
    <w:rsid w:val="003A0FC8"/>
    <w:rsid w:val="003B2342"/>
    <w:rsid w:val="00402F39"/>
    <w:rsid w:val="00442D47"/>
    <w:rsid w:val="00482827"/>
    <w:rsid w:val="004A3E74"/>
    <w:rsid w:val="004B719D"/>
    <w:rsid w:val="004D56CE"/>
    <w:rsid w:val="0058001E"/>
    <w:rsid w:val="005E6D68"/>
    <w:rsid w:val="005F2421"/>
    <w:rsid w:val="006165CB"/>
    <w:rsid w:val="00617A7F"/>
    <w:rsid w:val="00691711"/>
    <w:rsid w:val="0070433A"/>
    <w:rsid w:val="00730146"/>
    <w:rsid w:val="0074117E"/>
    <w:rsid w:val="00743DB2"/>
    <w:rsid w:val="00743ECD"/>
    <w:rsid w:val="007C451A"/>
    <w:rsid w:val="00824F79"/>
    <w:rsid w:val="00867A5B"/>
    <w:rsid w:val="00897E05"/>
    <w:rsid w:val="008A5321"/>
    <w:rsid w:val="008B475B"/>
    <w:rsid w:val="008F6B69"/>
    <w:rsid w:val="009027DC"/>
    <w:rsid w:val="00926D15"/>
    <w:rsid w:val="00963E08"/>
    <w:rsid w:val="00970F2C"/>
    <w:rsid w:val="00A00286"/>
    <w:rsid w:val="00A12E60"/>
    <w:rsid w:val="00A74B24"/>
    <w:rsid w:val="00AA60A3"/>
    <w:rsid w:val="00AC3CCE"/>
    <w:rsid w:val="00AC48EF"/>
    <w:rsid w:val="00B31FD0"/>
    <w:rsid w:val="00B776DB"/>
    <w:rsid w:val="00B877D2"/>
    <w:rsid w:val="00B94C4D"/>
    <w:rsid w:val="00C0130E"/>
    <w:rsid w:val="00C34A3A"/>
    <w:rsid w:val="00C84C6D"/>
    <w:rsid w:val="00CD7C02"/>
    <w:rsid w:val="00CE2759"/>
    <w:rsid w:val="00CF5B95"/>
    <w:rsid w:val="00E10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D47"/>
    <w:rPr>
      <w:rFonts w:ascii="Arial" w:hAnsi="Arial" w:cs="Arial"/>
      <w:sz w:val="24"/>
    </w:rPr>
  </w:style>
  <w:style w:type="paragraph" w:styleId="Heading1">
    <w:name w:val="heading 1"/>
    <w:basedOn w:val="Normal"/>
    <w:next w:val="Normal"/>
    <w:qFormat/>
    <w:rsid w:val="00442D47"/>
    <w:pPr>
      <w:keepNext/>
      <w:jc w:val="center"/>
      <w:outlineLvl w:val="0"/>
    </w:pPr>
    <w:rPr>
      <w:b/>
      <w:bCs/>
    </w:rPr>
  </w:style>
  <w:style w:type="paragraph" w:styleId="Heading2">
    <w:name w:val="heading 2"/>
    <w:basedOn w:val="Normal"/>
    <w:next w:val="Normal"/>
    <w:qFormat/>
    <w:rsid w:val="00442D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b/>
    </w:rPr>
  </w:style>
  <w:style w:type="paragraph" w:styleId="Heading3">
    <w:name w:val="heading 3"/>
    <w:basedOn w:val="Normal"/>
    <w:next w:val="Normal"/>
    <w:qFormat/>
    <w:rsid w:val="00442D47"/>
    <w:pPr>
      <w:keepNext/>
      <w:outlineLvl w:val="2"/>
    </w:pPr>
    <w:rPr>
      <w:rFonts w:ascii="Times New Roman" w:hAnsi="Times New Roman" w:cs="Times New Roman"/>
      <w:sz w:val="28"/>
    </w:rPr>
  </w:style>
  <w:style w:type="paragraph" w:styleId="Heading4">
    <w:name w:val="heading 4"/>
    <w:basedOn w:val="Normal"/>
    <w:next w:val="Normal"/>
    <w:qFormat/>
    <w:rsid w:val="00442D47"/>
    <w:pPr>
      <w:keepNext/>
      <w:ind w:left="1800"/>
      <w:outlineLvl w:val="3"/>
    </w:pPr>
    <w:rPr>
      <w:rFonts w:eastAsia="Arial Unicode MS"/>
      <w:b/>
      <w:u w:val="single"/>
    </w:rPr>
  </w:style>
  <w:style w:type="paragraph" w:styleId="Heading5">
    <w:name w:val="heading 5"/>
    <w:basedOn w:val="Normal"/>
    <w:next w:val="Normal"/>
    <w:qFormat/>
    <w:rsid w:val="00442D47"/>
    <w:pPr>
      <w:keepNext/>
      <w:widowControl w:val="0"/>
      <w:spacing w:before="120" w:after="120"/>
      <w:ind w:right="72"/>
      <w:outlineLvl w:val="4"/>
    </w:pPr>
    <w:rPr>
      <w:b/>
      <w:bCs/>
    </w:rPr>
  </w:style>
  <w:style w:type="paragraph" w:styleId="Heading6">
    <w:name w:val="heading 6"/>
    <w:basedOn w:val="Normal"/>
    <w:next w:val="Normal"/>
    <w:qFormat/>
    <w:rsid w:val="00442D47"/>
    <w:pPr>
      <w:keepNext/>
      <w:outlineLvl w:val="5"/>
    </w:pPr>
    <w:rPr>
      <w:rFonts w:eastAsia="Arial Unicode MS"/>
      <w:b/>
      <w:sz w:val="22"/>
    </w:rPr>
  </w:style>
  <w:style w:type="paragraph" w:styleId="Heading7">
    <w:name w:val="heading 7"/>
    <w:basedOn w:val="Normal"/>
    <w:next w:val="Normal"/>
    <w:qFormat/>
    <w:rsid w:val="00442D4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2D47"/>
    <w:pPr>
      <w:tabs>
        <w:tab w:val="center" w:pos="4320"/>
        <w:tab w:val="right" w:pos="8640"/>
      </w:tabs>
    </w:pPr>
  </w:style>
  <w:style w:type="paragraph" w:styleId="Footer">
    <w:name w:val="footer"/>
    <w:basedOn w:val="Normal"/>
    <w:rsid w:val="00442D47"/>
    <w:pPr>
      <w:tabs>
        <w:tab w:val="center" w:pos="4320"/>
        <w:tab w:val="right" w:pos="8640"/>
      </w:tabs>
    </w:pPr>
  </w:style>
  <w:style w:type="paragraph" w:styleId="EndnoteText">
    <w:name w:val="endnote text"/>
    <w:basedOn w:val="Normal"/>
    <w:semiHidden/>
    <w:rsid w:val="00442D47"/>
  </w:style>
  <w:style w:type="paragraph" w:customStyle="1" w:styleId="Space">
    <w:name w:val="Space"/>
    <w:basedOn w:val="Normal"/>
    <w:rsid w:val="00442D47"/>
    <w:pPr>
      <w:spacing w:line="200" w:lineRule="atLeast"/>
    </w:pPr>
    <w:rPr>
      <w:rFonts w:ascii="Helvetica" w:hAnsi="Helvetica"/>
      <w:color w:val="000000"/>
      <w:sz w:val="20"/>
    </w:rPr>
  </w:style>
  <w:style w:type="paragraph" w:customStyle="1" w:styleId="TxBrp2">
    <w:name w:val="TxBr_p2"/>
    <w:basedOn w:val="Normal"/>
    <w:rsid w:val="00442D47"/>
    <w:pPr>
      <w:widowControl w:val="0"/>
      <w:tabs>
        <w:tab w:val="left" w:pos="0"/>
        <w:tab w:val="left" w:pos="204"/>
      </w:tabs>
      <w:spacing w:line="242" w:lineRule="exact"/>
    </w:pPr>
  </w:style>
  <w:style w:type="character" w:styleId="Hyperlink">
    <w:name w:val="Hyperlink"/>
    <w:basedOn w:val="DefaultParagraphFont"/>
    <w:rsid w:val="00442D47"/>
    <w:rPr>
      <w:strike w:val="0"/>
      <w:dstrike w:val="0"/>
      <w:color w:val="0000FF"/>
      <w:u w:val="none"/>
      <w:effect w:val="none"/>
    </w:rPr>
  </w:style>
  <w:style w:type="paragraph" w:styleId="Caption">
    <w:name w:val="caption"/>
    <w:basedOn w:val="Normal"/>
    <w:next w:val="Normal"/>
    <w:qFormat/>
    <w:rsid w:val="00442D47"/>
    <w:pPr>
      <w:spacing w:before="100" w:beforeAutospacing="1" w:after="100" w:afterAutospacing="1" w:line="240" w:lineRule="atLeast"/>
    </w:pPr>
    <w:rPr>
      <w:b/>
      <w:bCs/>
      <w:color w:val="003366"/>
      <w:sz w:val="28"/>
      <w:szCs w:val="27"/>
    </w:rPr>
  </w:style>
  <w:style w:type="paragraph" w:styleId="NormalWeb">
    <w:name w:val="Normal (Web)"/>
    <w:basedOn w:val="Normal"/>
    <w:rsid w:val="00442D47"/>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442D47"/>
    <w:pPr>
      <w:autoSpaceDE w:val="0"/>
      <w:autoSpaceDN w:val="0"/>
      <w:adjustRightInd w:val="0"/>
    </w:pPr>
    <w:rPr>
      <w:rFonts w:ascii="PWQNY C+ Arial," w:hAnsi="PWQNY C+ Arial,"/>
      <w:color w:val="000000"/>
      <w:sz w:val="24"/>
      <w:szCs w:val="24"/>
    </w:rPr>
  </w:style>
  <w:style w:type="character" w:styleId="FollowedHyperlink">
    <w:name w:val="FollowedHyperlink"/>
    <w:basedOn w:val="DefaultParagraphFont"/>
    <w:rsid w:val="00442D47"/>
    <w:rPr>
      <w:color w:val="800080"/>
      <w:u w:val="single"/>
    </w:rPr>
  </w:style>
  <w:style w:type="paragraph" w:styleId="BalloonText">
    <w:name w:val="Balloon Text"/>
    <w:basedOn w:val="Normal"/>
    <w:semiHidden/>
    <w:rsid w:val="00AC48EF"/>
    <w:rPr>
      <w:rFonts w:ascii="Tahoma" w:hAnsi="Tahoma" w:cs="Tahoma"/>
      <w:sz w:val="16"/>
      <w:szCs w:val="16"/>
    </w:rPr>
  </w:style>
  <w:style w:type="paragraph" w:styleId="ListParagraph">
    <w:name w:val="List Paragraph"/>
    <w:basedOn w:val="Normal"/>
    <w:uiPriority w:val="34"/>
    <w:qFormat/>
    <w:rsid w:val="00B87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5C151-B013-45F3-85CB-5A4AD78C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1212</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Policy Statement</vt:lpstr>
    </vt:vector>
  </TitlesOfParts>
  <Company>is</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subject/>
  <dc:creator>Robert SanLuis</dc:creator>
  <cp:keywords/>
  <dc:description/>
  <cp:lastModifiedBy>jhession</cp:lastModifiedBy>
  <cp:revision>8</cp:revision>
  <cp:lastPrinted>2010-03-02T15:16:00Z</cp:lastPrinted>
  <dcterms:created xsi:type="dcterms:W3CDTF">2012-12-20T17:08:00Z</dcterms:created>
  <dcterms:modified xsi:type="dcterms:W3CDTF">2013-01-02T19:02:00Z</dcterms:modified>
</cp:coreProperties>
</file>