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Look w:val="0000"/>
      </w:tblPr>
      <w:tblGrid>
        <w:gridCol w:w="3948"/>
        <w:gridCol w:w="6240"/>
      </w:tblGrid>
      <w:tr w:rsidR="00F461F1" w:rsidRPr="00080317" w:rsidTr="0015731C">
        <w:tc>
          <w:tcPr>
            <w:tcW w:w="3948" w:type="dxa"/>
            <w:tcBorders>
              <w:top w:val="single" w:sz="4" w:space="0" w:color="auto"/>
              <w:left w:val="single" w:sz="4" w:space="0" w:color="auto"/>
              <w:bottom w:val="single" w:sz="4" w:space="0" w:color="auto"/>
              <w:right w:val="single" w:sz="4" w:space="0" w:color="auto"/>
            </w:tcBorders>
          </w:tcPr>
          <w:p w:rsidR="00F461F1" w:rsidRPr="00080317" w:rsidRDefault="00F461F1" w:rsidP="0015731C">
            <w:pPr>
              <w:pStyle w:val="Heading2"/>
              <w:keepNext w:val="0"/>
              <w:widowControl w:val="0"/>
              <w:spacing w:before="120" w:after="120"/>
              <w:ind w:left="72" w:right="72"/>
              <w:rPr>
                <w:rFonts w:eastAsia="Arial Unicode MS"/>
              </w:rPr>
            </w:pPr>
            <w:r w:rsidRPr="00080317">
              <w:t>Policy Statement</w:t>
            </w:r>
          </w:p>
        </w:tc>
        <w:tc>
          <w:tcPr>
            <w:tcW w:w="6240" w:type="dxa"/>
            <w:tcBorders>
              <w:top w:val="single" w:sz="4" w:space="0" w:color="auto"/>
              <w:left w:val="single" w:sz="4" w:space="0" w:color="auto"/>
              <w:bottom w:val="single" w:sz="4" w:space="0" w:color="auto"/>
              <w:right w:val="single" w:sz="4" w:space="0" w:color="auto"/>
            </w:tcBorders>
          </w:tcPr>
          <w:p w:rsidR="00F461F1" w:rsidRPr="00080317" w:rsidRDefault="00F461F1" w:rsidP="0015731C">
            <w:pPr>
              <w:pStyle w:val="Header"/>
              <w:tabs>
                <w:tab w:val="clear" w:pos="4320"/>
                <w:tab w:val="clear" w:pos="8640"/>
              </w:tabs>
              <w:spacing w:before="120" w:after="120"/>
              <w:rPr>
                <w:szCs w:val="19"/>
                <w:lang w:val="en-AU"/>
              </w:rPr>
            </w:pPr>
            <w:r w:rsidRPr="00080317">
              <w:rPr>
                <w:szCs w:val="19"/>
                <w:lang w:val="en-AU"/>
              </w:rPr>
              <w:t>The Saint Agnes Hospital Transfusion Service will have a process for the provision of blood and blood components before the completion of pretransfusion testing when a delay in transfusion could be detrimental to the patient.</w:t>
            </w:r>
          </w:p>
        </w:tc>
      </w:tr>
      <w:tr w:rsidR="00F461F1" w:rsidRPr="00080317" w:rsidTr="0015731C">
        <w:tc>
          <w:tcPr>
            <w:tcW w:w="3948" w:type="dxa"/>
            <w:tcBorders>
              <w:top w:val="single" w:sz="4" w:space="0" w:color="auto"/>
              <w:left w:val="single" w:sz="4" w:space="0" w:color="auto"/>
              <w:bottom w:val="single" w:sz="4" w:space="0" w:color="auto"/>
              <w:right w:val="single" w:sz="4" w:space="0" w:color="auto"/>
            </w:tcBorders>
          </w:tcPr>
          <w:p w:rsidR="00F461F1" w:rsidRPr="00080317" w:rsidRDefault="00F461F1" w:rsidP="0015731C">
            <w:pPr>
              <w:pStyle w:val="Heading2"/>
              <w:keepNext w:val="0"/>
              <w:widowControl w:val="0"/>
              <w:spacing w:before="120" w:after="120"/>
              <w:ind w:left="72" w:right="72"/>
              <w:rPr>
                <w:rFonts w:eastAsia="Arial Unicode MS"/>
              </w:rPr>
            </w:pPr>
            <w:r w:rsidRPr="00080317">
              <w:t>Purpose</w:t>
            </w:r>
          </w:p>
        </w:tc>
        <w:tc>
          <w:tcPr>
            <w:tcW w:w="6240" w:type="dxa"/>
            <w:tcBorders>
              <w:top w:val="single" w:sz="4" w:space="0" w:color="auto"/>
              <w:left w:val="single" w:sz="4" w:space="0" w:color="auto"/>
              <w:bottom w:val="single" w:sz="4" w:space="0" w:color="auto"/>
              <w:right w:val="single" w:sz="4" w:space="0" w:color="auto"/>
            </w:tcBorders>
          </w:tcPr>
          <w:p w:rsidR="00F461F1" w:rsidRPr="00080317" w:rsidRDefault="00F461F1" w:rsidP="0015731C">
            <w:pPr>
              <w:pStyle w:val="Header"/>
              <w:tabs>
                <w:tab w:val="clear" w:pos="4320"/>
                <w:tab w:val="clear" w:pos="8640"/>
              </w:tabs>
              <w:spacing w:before="120" w:after="120"/>
              <w:rPr>
                <w:color w:val="2D2D2D"/>
                <w:szCs w:val="18"/>
              </w:rPr>
            </w:pPr>
            <w:r w:rsidRPr="00080317">
              <w:rPr>
                <w:color w:val="2D2D2D"/>
                <w:szCs w:val="18"/>
              </w:rPr>
              <w:t>To provide a standardized means for transfusing patients in urgent situations when pre-transfusion testing is incomplete and/or when compatibility testing is either incomplete or incompatible.</w:t>
            </w:r>
          </w:p>
        </w:tc>
      </w:tr>
      <w:tr w:rsidR="00F461F1" w:rsidRPr="00080317" w:rsidTr="0015731C">
        <w:tc>
          <w:tcPr>
            <w:tcW w:w="3948" w:type="dxa"/>
            <w:tcBorders>
              <w:top w:val="single" w:sz="4" w:space="0" w:color="auto"/>
              <w:left w:val="single" w:sz="4" w:space="0" w:color="auto"/>
              <w:bottom w:val="single" w:sz="4" w:space="0" w:color="auto"/>
              <w:right w:val="single" w:sz="4" w:space="0" w:color="auto"/>
            </w:tcBorders>
          </w:tcPr>
          <w:p w:rsidR="00F461F1" w:rsidRPr="00080317" w:rsidRDefault="00F461F1" w:rsidP="0015731C">
            <w:pPr>
              <w:widowControl w:val="0"/>
              <w:spacing w:before="120" w:after="120"/>
              <w:ind w:left="72" w:right="72"/>
              <w:rPr>
                <w:b/>
              </w:rPr>
            </w:pPr>
            <w:r w:rsidRPr="00080317">
              <w:rPr>
                <w:b/>
              </w:rPr>
              <w:t>Scope</w:t>
            </w:r>
          </w:p>
        </w:tc>
        <w:tc>
          <w:tcPr>
            <w:tcW w:w="6240" w:type="dxa"/>
            <w:tcBorders>
              <w:top w:val="single" w:sz="4" w:space="0" w:color="auto"/>
              <w:left w:val="single" w:sz="4" w:space="0" w:color="auto"/>
              <w:bottom w:val="single" w:sz="4" w:space="0" w:color="auto"/>
              <w:right w:val="single" w:sz="4" w:space="0" w:color="auto"/>
            </w:tcBorders>
          </w:tcPr>
          <w:p w:rsidR="00F461F1" w:rsidRPr="00080317" w:rsidRDefault="00F461F1" w:rsidP="0015731C">
            <w:pPr>
              <w:pStyle w:val="Header"/>
              <w:tabs>
                <w:tab w:val="clear" w:pos="4320"/>
                <w:tab w:val="clear" w:pos="8640"/>
              </w:tabs>
              <w:spacing w:before="120" w:after="120"/>
            </w:pPr>
            <w:r w:rsidRPr="00080317">
              <w:t>This procedure is applicable to all patient care areas and to the Transfusion Service.</w:t>
            </w:r>
          </w:p>
        </w:tc>
      </w:tr>
      <w:tr w:rsidR="00F461F1" w:rsidRPr="00080317" w:rsidTr="0015731C">
        <w:tc>
          <w:tcPr>
            <w:tcW w:w="3948" w:type="dxa"/>
            <w:tcBorders>
              <w:top w:val="single" w:sz="4" w:space="0" w:color="auto"/>
              <w:left w:val="single" w:sz="4" w:space="0" w:color="auto"/>
              <w:bottom w:val="single" w:sz="4" w:space="0" w:color="auto"/>
              <w:right w:val="single" w:sz="4" w:space="0" w:color="auto"/>
            </w:tcBorders>
          </w:tcPr>
          <w:p w:rsidR="00F461F1" w:rsidRPr="00080317" w:rsidRDefault="00F461F1" w:rsidP="0015731C">
            <w:pPr>
              <w:widowControl w:val="0"/>
              <w:spacing w:before="120" w:after="120"/>
              <w:ind w:left="72" w:right="72"/>
              <w:rPr>
                <w:b/>
              </w:rPr>
            </w:pPr>
            <w:r w:rsidRPr="00080317">
              <w:rPr>
                <w:b/>
              </w:rPr>
              <w:t>Responsibility</w:t>
            </w:r>
          </w:p>
        </w:tc>
        <w:tc>
          <w:tcPr>
            <w:tcW w:w="6240" w:type="dxa"/>
            <w:tcBorders>
              <w:top w:val="single" w:sz="4" w:space="0" w:color="auto"/>
              <w:left w:val="single" w:sz="4" w:space="0" w:color="auto"/>
              <w:bottom w:val="single" w:sz="4" w:space="0" w:color="auto"/>
              <w:right w:val="single" w:sz="4" w:space="0" w:color="auto"/>
            </w:tcBorders>
          </w:tcPr>
          <w:p w:rsidR="00F461F1" w:rsidRPr="00080317" w:rsidRDefault="00F461F1" w:rsidP="0015731C">
            <w:pPr>
              <w:pStyle w:val="Header"/>
              <w:tabs>
                <w:tab w:val="clear" w:pos="4320"/>
                <w:tab w:val="clear" w:pos="8640"/>
              </w:tabs>
              <w:spacing w:before="120" w:after="120"/>
            </w:pPr>
            <w:r w:rsidRPr="00080317">
              <w:rPr>
                <w:b/>
                <w:bCs/>
              </w:rPr>
              <w:t>Requesting Physician:</w:t>
            </w:r>
          </w:p>
          <w:p w:rsidR="00F461F1" w:rsidRPr="00080317" w:rsidRDefault="00F461F1" w:rsidP="0015731C">
            <w:pPr>
              <w:pStyle w:val="Header"/>
              <w:tabs>
                <w:tab w:val="clear" w:pos="4320"/>
                <w:tab w:val="clear" w:pos="8640"/>
              </w:tabs>
              <w:spacing w:before="120" w:after="120"/>
            </w:pPr>
            <w:r w:rsidRPr="00080317">
              <w:t xml:space="preserve">When the need for emergency released products is indicated, enter the request through the CPOE via the Blood Bank order set: RBC Emergency Release. During a downtime, document the order on a paper copy of the </w:t>
            </w:r>
            <w:r w:rsidR="00AD7F25" w:rsidRPr="00080317">
              <w:t>“Blood Product Order Form.” E</w:t>
            </w:r>
            <w:r w:rsidRPr="00080317">
              <w:t>nsure the Transfusion Se</w:t>
            </w:r>
            <w:r w:rsidR="00AD7F25" w:rsidRPr="00080317">
              <w:t>rvice is notified via telephone at the time of request.</w:t>
            </w:r>
          </w:p>
          <w:p w:rsidR="00F461F1" w:rsidRPr="00080317" w:rsidRDefault="00F461F1" w:rsidP="0015731C">
            <w:pPr>
              <w:pStyle w:val="Header"/>
              <w:tabs>
                <w:tab w:val="clear" w:pos="4320"/>
                <w:tab w:val="clear" w:pos="8640"/>
              </w:tabs>
              <w:spacing w:before="120" w:after="120"/>
              <w:rPr>
                <w:b/>
                <w:bCs/>
              </w:rPr>
            </w:pPr>
            <w:r w:rsidRPr="00080317">
              <w:rPr>
                <w:b/>
                <w:bCs/>
              </w:rPr>
              <w:t>Transporter</w:t>
            </w:r>
          </w:p>
          <w:p w:rsidR="00F461F1" w:rsidRPr="00080317" w:rsidRDefault="00F461F1" w:rsidP="0015731C">
            <w:pPr>
              <w:pStyle w:val="Header"/>
              <w:tabs>
                <w:tab w:val="clear" w:pos="4320"/>
                <w:tab w:val="clear" w:pos="8640"/>
              </w:tabs>
              <w:spacing w:before="120" w:after="120"/>
              <w:rPr>
                <w:bCs/>
              </w:rPr>
            </w:pPr>
            <w:r w:rsidRPr="00080317">
              <w:rPr>
                <w:bCs/>
              </w:rPr>
              <w:t>A completed “Requisition Form: Blood Products” is required to release blood products from the Transfusion Service. Blood should be transported directly from the Transfusion Service to the patient care area.</w:t>
            </w:r>
          </w:p>
          <w:p w:rsidR="00F461F1" w:rsidRPr="00080317" w:rsidRDefault="00F461F1" w:rsidP="0015731C">
            <w:pPr>
              <w:pStyle w:val="Header"/>
              <w:tabs>
                <w:tab w:val="clear" w:pos="4320"/>
                <w:tab w:val="clear" w:pos="8640"/>
              </w:tabs>
              <w:spacing w:before="120" w:after="120"/>
              <w:rPr>
                <w:b/>
                <w:bCs/>
              </w:rPr>
            </w:pPr>
            <w:r w:rsidRPr="00080317">
              <w:rPr>
                <w:b/>
                <w:bCs/>
              </w:rPr>
              <w:t>Nursing/Transfusing Associate(s):</w:t>
            </w:r>
          </w:p>
          <w:p w:rsidR="00F461F1" w:rsidRPr="00080317" w:rsidRDefault="00F461F1" w:rsidP="0015731C">
            <w:pPr>
              <w:pStyle w:val="Header"/>
              <w:tabs>
                <w:tab w:val="clear" w:pos="4320"/>
                <w:tab w:val="clear" w:pos="8640"/>
              </w:tabs>
              <w:spacing w:before="120" w:after="120"/>
              <w:rPr>
                <w:bCs/>
              </w:rPr>
            </w:pPr>
            <w:r w:rsidRPr="00080317">
              <w:rPr>
                <w:bCs/>
              </w:rPr>
              <w:t>Ensure that a type and screen (TYSC) specimen is collected as early as possible in the transfusion sequence. When the blood arrives, perform positive patient identification and transfuse the blood product according to physician orders and the administration of blood p</w:t>
            </w:r>
            <w:r w:rsidR="000B0D60" w:rsidRPr="00080317">
              <w:rPr>
                <w:bCs/>
              </w:rPr>
              <w:t>rocedure</w:t>
            </w:r>
            <w:r w:rsidRPr="00080317">
              <w:rPr>
                <w:bCs/>
              </w:rPr>
              <w:t>.</w:t>
            </w:r>
          </w:p>
          <w:p w:rsidR="00F461F1" w:rsidRPr="00080317" w:rsidRDefault="00F461F1" w:rsidP="0015731C">
            <w:pPr>
              <w:pStyle w:val="Header"/>
              <w:tabs>
                <w:tab w:val="clear" w:pos="4320"/>
                <w:tab w:val="clear" w:pos="8640"/>
              </w:tabs>
              <w:spacing w:before="120" w:after="120"/>
              <w:rPr>
                <w:b/>
                <w:bCs/>
              </w:rPr>
            </w:pPr>
            <w:r w:rsidRPr="00080317">
              <w:rPr>
                <w:b/>
                <w:bCs/>
              </w:rPr>
              <w:t>Transfusion Service Technologist:</w:t>
            </w:r>
          </w:p>
          <w:p w:rsidR="00F461F1" w:rsidRPr="00080317" w:rsidRDefault="00F461F1" w:rsidP="0015731C">
            <w:pPr>
              <w:pStyle w:val="Header"/>
              <w:tabs>
                <w:tab w:val="clear" w:pos="4320"/>
                <w:tab w:val="clear" w:pos="8640"/>
              </w:tabs>
              <w:spacing w:before="120" w:after="120"/>
              <w:rPr>
                <w:bCs/>
              </w:rPr>
            </w:pPr>
            <w:r w:rsidRPr="00080317">
              <w:rPr>
                <w:bCs/>
              </w:rPr>
              <w:t>Provide emergency released blood products as expeditiously as possible while ensuring that the patient’s history is verified, appropriate products are selected and all documentation is complete.</w:t>
            </w:r>
          </w:p>
        </w:tc>
      </w:tr>
    </w:tbl>
    <w:p w:rsidR="00F461F1" w:rsidRPr="00080317" w:rsidRDefault="00F461F1" w:rsidP="00F461F1">
      <w:pPr>
        <w:pStyle w:val="Header"/>
        <w:tabs>
          <w:tab w:val="clear" w:pos="4320"/>
          <w:tab w:val="clear" w:pos="8640"/>
        </w:tabs>
        <w:rPr>
          <w:b/>
          <w:bCs/>
        </w:rPr>
      </w:pPr>
    </w:p>
    <w:p w:rsidR="00F461F1" w:rsidRPr="00080317" w:rsidRDefault="00F461F1" w:rsidP="00F461F1">
      <w:pPr>
        <w:pStyle w:val="Header"/>
        <w:tabs>
          <w:tab w:val="clear" w:pos="4320"/>
          <w:tab w:val="clear" w:pos="8640"/>
        </w:tabs>
        <w:rPr>
          <w:b/>
          <w:bCs/>
        </w:rPr>
      </w:pPr>
    </w:p>
    <w:p w:rsidR="00F461F1" w:rsidRPr="00080317" w:rsidRDefault="00F461F1" w:rsidP="00F461F1">
      <w:pPr>
        <w:pStyle w:val="Header"/>
        <w:tabs>
          <w:tab w:val="clear" w:pos="4320"/>
          <w:tab w:val="clear" w:pos="8640"/>
        </w:tabs>
        <w:rPr>
          <w:b/>
          <w:bCs/>
        </w:rPr>
      </w:pPr>
      <w:r w:rsidRPr="00080317">
        <w:rPr>
          <w:b/>
          <w:bCs/>
        </w:rPr>
        <w:lastRenderedPageBreak/>
        <w:t>Procedure</w:t>
      </w:r>
    </w:p>
    <w:p w:rsidR="00F461F1" w:rsidRPr="00080317" w:rsidRDefault="00F461F1" w:rsidP="00F461F1">
      <w:pPr>
        <w:pStyle w:val="Header"/>
        <w:tabs>
          <w:tab w:val="clear" w:pos="4320"/>
          <w:tab w:val="clear" w:pos="8640"/>
        </w:tabs>
        <w:rPr>
          <w:b/>
          <w:bCs/>
        </w:rPr>
      </w:pPr>
    </w:p>
    <w:p w:rsidR="00F461F1" w:rsidRPr="00080317" w:rsidRDefault="00F461F1" w:rsidP="00F461F1">
      <w:pPr>
        <w:pStyle w:val="NormalWeb"/>
        <w:numPr>
          <w:ilvl w:val="0"/>
          <w:numId w:val="1"/>
        </w:numPr>
        <w:spacing w:before="0" w:beforeAutospacing="0" w:after="120" w:afterAutospacing="0"/>
        <w:rPr>
          <w:rFonts w:ascii="Arial" w:hAnsi="Arial" w:cs="Arial"/>
        </w:rPr>
      </w:pPr>
      <w:r w:rsidRPr="00080317">
        <w:rPr>
          <w:rFonts w:ascii="Arial" w:hAnsi="Arial" w:cs="Arial"/>
        </w:rPr>
        <w:t>Initial notification of the need for emergency</w:t>
      </w:r>
      <w:r w:rsidR="00AD7F25" w:rsidRPr="00080317">
        <w:rPr>
          <w:rFonts w:ascii="Arial" w:hAnsi="Arial" w:cs="Arial"/>
        </w:rPr>
        <w:t xml:space="preserve"> release blood products </w:t>
      </w:r>
      <w:r w:rsidR="0032632E" w:rsidRPr="00080317">
        <w:rPr>
          <w:rFonts w:ascii="Arial" w:hAnsi="Arial" w:cs="Arial"/>
        </w:rPr>
        <w:t>is possible</w:t>
      </w:r>
      <w:r w:rsidR="00AD7F25" w:rsidRPr="00080317">
        <w:rPr>
          <w:rFonts w:ascii="Arial" w:hAnsi="Arial" w:cs="Arial"/>
        </w:rPr>
        <w:t xml:space="preserve"> in different ways</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Meditech LIS pending log</w:t>
      </w:r>
    </w:p>
    <w:p w:rsidR="00F461F1" w:rsidRPr="00080317" w:rsidRDefault="00F461F1" w:rsidP="00F461F1">
      <w:pPr>
        <w:pStyle w:val="NormalWeb"/>
        <w:numPr>
          <w:ilvl w:val="2"/>
          <w:numId w:val="1"/>
        </w:numPr>
        <w:spacing w:before="0" w:beforeAutospacing="0" w:after="120" w:afterAutospacing="0"/>
        <w:rPr>
          <w:rFonts w:ascii="Arial" w:hAnsi="Arial" w:cs="Arial"/>
        </w:rPr>
      </w:pPr>
      <w:r w:rsidRPr="00080317">
        <w:rPr>
          <w:rFonts w:ascii="Arial" w:hAnsi="Arial" w:cs="Arial"/>
        </w:rPr>
        <w:t>Print the requisition inquiry from the pending log for use</w:t>
      </w:r>
      <w:r w:rsidR="0032632E" w:rsidRPr="00080317">
        <w:rPr>
          <w:rFonts w:ascii="Arial" w:hAnsi="Arial" w:cs="Arial"/>
        </w:rPr>
        <w:t xml:space="preserve"> in confirming patient identifiers</w:t>
      </w:r>
      <w:r w:rsidRPr="00080317">
        <w:rPr>
          <w:rFonts w:ascii="Arial" w:hAnsi="Arial" w:cs="Arial"/>
        </w:rPr>
        <w:t xml:space="preserve"> when issuing blood products in advance</w:t>
      </w:r>
      <w:r w:rsidR="0032632E" w:rsidRPr="00080317">
        <w:rPr>
          <w:rFonts w:ascii="Arial" w:hAnsi="Arial" w:cs="Arial"/>
        </w:rPr>
        <w:t xml:space="preserve"> of transporter arrival</w:t>
      </w:r>
    </w:p>
    <w:p w:rsidR="00AD7F25" w:rsidRPr="00080317" w:rsidRDefault="00AD7F25" w:rsidP="00F461F1">
      <w:pPr>
        <w:pStyle w:val="NormalWeb"/>
        <w:numPr>
          <w:ilvl w:val="2"/>
          <w:numId w:val="1"/>
        </w:numPr>
        <w:spacing w:before="0" w:beforeAutospacing="0" w:after="120" w:afterAutospacing="0"/>
        <w:rPr>
          <w:rFonts w:ascii="Arial" w:hAnsi="Arial" w:cs="Arial"/>
        </w:rPr>
      </w:pPr>
      <w:r w:rsidRPr="00080317">
        <w:rPr>
          <w:rFonts w:ascii="Arial" w:hAnsi="Arial" w:cs="Arial"/>
        </w:rPr>
        <w:t xml:space="preserve">If no phone call was received, call the patient care area and confirm the </w:t>
      </w:r>
      <w:r w:rsidR="00FE2A0C" w:rsidRPr="00080317">
        <w:rPr>
          <w:rFonts w:ascii="Arial" w:hAnsi="Arial" w:cs="Arial"/>
        </w:rPr>
        <w:t xml:space="preserve">patient </w:t>
      </w:r>
      <w:r w:rsidRPr="00080317">
        <w:rPr>
          <w:rFonts w:ascii="Arial" w:hAnsi="Arial" w:cs="Arial"/>
        </w:rPr>
        <w:t xml:space="preserve">information </w:t>
      </w:r>
      <w:r w:rsidR="00FE2A0C" w:rsidRPr="00080317">
        <w:rPr>
          <w:rFonts w:ascii="Arial" w:hAnsi="Arial" w:cs="Arial"/>
        </w:rPr>
        <w:t xml:space="preserve">and validity </w:t>
      </w:r>
      <w:r w:rsidRPr="00080317">
        <w:rPr>
          <w:rFonts w:ascii="Arial" w:hAnsi="Arial" w:cs="Arial"/>
        </w:rPr>
        <w:t>of the request</w:t>
      </w:r>
    </w:p>
    <w:p w:rsidR="00725B74" w:rsidRPr="00080317" w:rsidRDefault="00725B74" w:rsidP="00725B74">
      <w:pPr>
        <w:pStyle w:val="NormalWeb"/>
        <w:numPr>
          <w:ilvl w:val="1"/>
          <w:numId w:val="1"/>
        </w:numPr>
        <w:spacing w:before="0" w:beforeAutospacing="0" w:after="120" w:afterAutospacing="0"/>
        <w:rPr>
          <w:rFonts w:ascii="Arial" w:hAnsi="Arial" w:cs="Arial"/>
        </w:rPr>
      </w:pPr>
      <w:r w:rsidRPr="00080317">
        <w:rPr>
          <w:rFonts w:ascii="Arial" w:hAnsi="Arial" w:cs="Arial"/>
        </w:rPr>
        <w:t>Phone call from patient care area</w:t>
      </w:r>
    </w:p>
    <w:p w:rsidR="00725B74" w:rsidRPr="00080317" w:rsidRDefault="00725B74" w:rsidP="00725B74">
      <w:pPr>
        <w:pStyle w:val="NormalWeb"/>
        <w:numPr>
          <w:ilvl w:val="2"/>
          <w:numId w:val="1"/>
        </w:numPr>
        <w:spacing w:before="0" w:beforeAutospacing="0" w:after="120" w:afterAutospacing="0"/>
        <w:rPr>
          <w:rFonts w:ascii="Arial" w:hAnsi="Arial" w:cs="Arial"/>
        </w:rPr>
      </w:pPr>
      <w:r w:rsidRPr="00080317">
        <w:rPr>
          <w:rFonts w:ascii="Arial" w:hAnsi="Arial" w:cs="Arial"/>
        </w:rPr>
        <w:t>Document</w:t>
      </w:r>
    </w:p>
    <w:p w:rsidR="00725B74" w:rsidRPr="00080317" w:rsidRDefault="00725B74" w:rsidP="00725B74">
      <w:pPr>
        <w:pStyle w:val="NormalWeb"/>
        <w:numPr>
          <w:ilvl w:val="3"/>
          <w:numId w:val="1"/>
        </w:numPr>
        <w:spacing w:before="0" w:beforeAutospacing="0" w:after="0" w:afterAutospacing="0"/>
        <w:rPr>
          <w:rFonts w:ascii="Arial" w:hAnsi="Arial" w:cs="Arial"/>
        </w:rPr>
      </w:pPr>
      <w:r w:rsidRPr="00080317">
        <w:rPr>
          <w:rFonts w:ascii="Arial" w:hAnsi="Arial" w:cs="Arial"/>
        </w:rPr>
        <w:t>Full name</w:t>
      </w:r>
    </w:p>
    <w:p w:rsidR="00725B74" w:rsidRPr="00080317" w:rsidRDefault="00725B74" w:rsidP="00725B74">
      <w:pPr>
        <w:pStyle w:val="NormalWeb"/>
        <w:numPr>
          <w:ilvl w:val="3"/>
          <w:numId w:val="1"/>
        </w:numPr>
        <w:spacing w:before="0" w:beforeAutospacing="0" w:after="0" w:afterAutospacing="0"/>
        <w:rPr>
          <w:rFonts w:ascii="Arial" w:hAnsi="Arial" w:cs="Arial"/>
        </w:rPr>
      </w:pPr>
      <w:r w:rsidRPr="00080317">
        <w:rPr>
          <w:rFonts w:ascii="Arial" w:hAnsi="Arial" w:cs="Arial"/>
        </w:rPr>
        <w:t>Medical record (or John  Doe) number</w:t>
      </w:r>
    </w:p>
    <w:p w:rsidR="00725B74" w:rsidRPr="00080317" w:rsidRDefault="00725B74" w:rsidP="00725B74">
      <w:pPr>
        <w:pStyle w:val="NormalWeb"/>
        <w:numPr>
          <w:ilvl w:val="3"/>
          <w:numId w:val="1"/>
        </w:numPr>
        <w:spacing w:before="0" w:beforeAutospacing="0" w:after="0" w:afterAutospacing="0"/>
        <w:rPr>
          <w:rFonts w:ascii="Arial" w:hAnsi="Arial" w:cs="Arial"/>
        </w:rPr>
      </w:pPr>
      <w:r w:rsidRPr="00080317">
        <w:rPr>
          <w:rFonts w:ascii="Arial" w:hAnsi="Arial" w:cs="Arial"/>
        </w:rPr>
        <w:t>Gender/Age</w:t>
      </w:r>
    </w:p>
    <w:p w:rsidR="00725B74" w:rsidRPr="00080317" w:rsidRDefault="00725B74" w:rsidP="00725B74">
      <w:pPr>
        <w:pStyle w:val="NormalWeb"/>
        <w:numPr>
          <w:ilvl w:val="3"/>
          <w:numId w:val="1"/>
        </w:numPr>
        <w:spacing w:before="0" w:beforeAutospacing="0" w:after="0" w:afterAutospacing="0"/>
        <w:rPr>
          <w:rFonts w:ascii="Arial" w:hAnsi="Arial" w:cs="Arial"/>
        </w:rPr>
      </w:pPr>
      <w:r w:rsidRPr="00080317">
        <w:rPr>
          <w:rFonts w:ascii="Arial" w:hAnsi="Arial" w:cs="Arial"/>
        </w:rPr>
        <w:t>Total requested product(s)</w:t>
      </w:r>
    </w:p>
    <w:p w:rsidR="00725B74" w:rsidRPr="00080317" w:rsidRDefault="00725B74" w:rsidP="00725B74">
      <w:pPr>
        <w:pStyle w:val="NormalWeb"/>
        <w:numPr>
          <w:ilvl w:val="3"/>
          <w:numId w:val="1"/>
        </w:numPr>
        <w:spacing w:before="0" w:beforeAutospacing="0" w:after="0" w:afterAutospacing="0"/>
        <w:rPr>
          <w:rFonts w:ascii="Arial" w:hAnsi="Arial" w:cs="Arial"/>
        </w:rPr>
      </w:pPr>
      <w:r w:rsidRPr="00080317">
        <w:rPr>
          <w:rFonts w:ascii="Arial" w:hAnsi="Arial" w:cs="Arial"/>
        </w:rPr>
        <w:t>Requesting physician</w:t>
      </w:r>
    </w:p>
    <w:p w:rsidR="00725B74" w:rsidRPr="00080317" w:rsidRDefault="00725B74" w:rsidP="00725B74">
      <w:pPr>
        <w:pStyle w:val="NormalWeb"/>
        <w:numPr>
          <w:ilvl w:val="3"/>
          <w:numId w:val="1"/>
        </w:numPr>
        <w:spacing w:before="0" w:beforeAutospacing="0" w:after="120" w:afterAutospacing="0"/>
        <w:rPr>
          <w:rFonts w:ascii="Arial" w:hAnsi="Arial" w:cs="Arial"/>
        </w:rPr>
      </w:pPr>
      <w:r w:rsidRPr="00080317">
        <w:rPr>
          <w:rFonts w:ascii="Arial" w:hAnsi="Arial" w:cs="Arial"/>
        </w:rPr>
        <w:t>Person you spoke with</w:t>
      </w:r>
    </w:p>
    <w:p w:rsidR="00725B74" w:rsidRPr="00080317" w:rsidRDefault="00725B74" w:rsidP="00725B74">
      <w:pPr>
        <w:pStyle w:val="NormalWeb"/>
        <w:numPr>
          <w:ilvl w:val="2"/>
          <w:numId w:val="1"/>
        </w:numPr>
        <w:spacing w:before="0" w:beforeAutospacing="0" w:after="120" w:afterAutospacing="0"/>
        <w:rPr>
          <w:rFonts w:ascii="Arial" w:hAnsi="Arial" w:cs="Arial"/>
        </w:rPr>
      </w:pPr>
      <w:r w:rsidRPr="00080317">
        <w:rPr>
          <w:rFonts w:ascii="Arial" w:hAnsi="Arial" w:cs="Arial"/>
        </w:rPr>
        <w:t>Read the information back as a verification</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Transporter arriving with Requisition Form: Blood Products</w:t>
      </w:r>
    </w:p>
    <w:p w:rsidR="00FE2A0C" w:rsidRPr="00080317" w:rsidRDefault="00AD7F25" w:rsidP="00FE2A0C">
      <w:pPr>
        <w:pStyle w:val="NormalWeb"/>
        <w:numPr>
          <w:ilvl w:val="2"/>
          <w:numId w:val="1"/>
        </w:numPr>
        <w:spacing w:before="0" w:beforeAutospacing="0" w:after="120" w:afterAutospacing="0"/>
        <w:rPr>
          <w:rFonts w:ascii="Arial" w:hAnsi="Arial" w:cs="Arial"/>
        </w:rPr>
      </w:pPr>
      <w:r w:rsidRPr="00080317">
        <w:rPr>
          <w:rFonts w:ascii="Arial" w:hAnsi="Arial" w:cs="Arial"/>
        </w:rPr>
        <w:t xml:space="preserve">If the Requisition Form: Blood Products is not complete or not provided, call the patient care area and confirm the </w:t>
      </w:r>
      <w:r w:rsidR="00FE2A0C" w:rsidRPr="00080317">
        <w:rPr>
          <w:rFonts w:ascii="Arial" w:hAnsi="Arial" w:cs="Arial"/>
        </w:rPr>
        <w:t>patient</w:t>
      </w:r>
      <w:r w:rsidRPr="00080317">
        <w:rPr>
          <w:rFonts w:ascii="Arial" w:hAnsi="Arial" w:cs="Arial"/>
        </w:rPr>
        <w:t xml:space="preserve"> information </w:t>
      </w:r>
      <w:r w:rsidR="00FE2A0C" w:rsidRPr="00080317">
        <w:rPr>
          <w:rFonts w:ascii="Arial" w:hAnsi="Arial" w:cs="Arial"/>
        </w:rPr>
        <w:t xml:space="preserve">and validity </w:t>
      </w:r>
      <w:r w:rsidRPr="00080317">
        <w:rPr>
          <w:rFonts w:ascii="Arial" w:hAnsi="Arial" w:cs="Arial"/>
        </w:rPr>
        <w:t>of the request</w:t>
      </w:r>
      <w:r w:rsidR="00FE2A0C" w:rsidRPr="00080317">
        <w:rPr>
          <w:rFonts w:ascii="Arial" w:hAnsi="Arial" w:cs="Arial"/>
        </w:rPr>
        <w:t>.</w:t>
      </w:r>
    </w:p>
    <w:p w:rsidR="00FC5636" w:rsidRPr="00080317" w:rsidRDefault="00D17D86" w:rsidP="008000C7">
      <w:pPr>
        <w:pStyle w:val="NormalWeb"/>
        <w:numPr>
          <w:ilvl w:val="2"/>
          <w:numId w:val="1"/>
        </w:numPr>
        <w:spacing w:before="0" w:beforeAutospacing="0" w:after="120" w:afterAutospacing="0"/>
        <w:rPr>
          <w:rFonts w:ascii="Arial" w:hAnsi="Arial" w:cs="Arial"/>
        </w:rPr>
      </w:pPr>
      <w:r w:rsidRPr="00080317">
        <w:rPr>
          <w:rFonts w:ascii="Arial" w:hAnsi="Arial" w:cs="Arial"/>
        </w:rPr>
        <w:t>Document the information relayed onto a Requisition Form</w:t>
      </w:r>
    </w:p>
    <w:p w:rsidR="00F461F1" w:rsidRPr="00080317" w:rsidRDefault="00F461F1" w:rsidP="00F461F1">
      <w:pPr>
        <w:pStyle w:val="NormalWeb"/>
        <w:numPr>
          <w:ilvl w:val="0"/>
          <w:numId w:val="1"/>
        </w:numPr>
        <w:spacing w:before="0" w:beforeAutospacing="0" w:after="120" w:afterAutospacing="0"/>
        <w:rPr>
          <w:rFonts w:ascii="Arial" w:hAnsi="Arial" w:cs="Arial"/>
        </w:rPr>
      </w:pPr>
      <w:r w:rsidRPr="00080317">
        <w:rPr>
          <w:rFonts w:ascii="Arial" w:hAnsi="Arial" w:cs="Arial"/>
        </w:rPr>
        <w:t>Check to see if the patient has a current type and screen (TYSC)</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If the patient has a valid TYSC</w:t>
      </w:r>
      <w:r w:rsidR="00A66ED0" w:rsidRPr="00080317">
        <w:rPr>
          <w:rFonts w:ascii="Arial" w:hAnsi="Arial" w:cs="Arial"/>
        </w:rPr>
        <w:t xml:space="preserve"> (from the current stay) </w:t>
      </w:r>
      <w:r w:rsidRPr="00080317">
        <w:rPr>
          <w:rFonts w:ascii="Arial" w:hAnsi="Arial" w:cs="Arial"/>
        </w:rPr>
        <w:t xml:space="preserve">and has either history or a completed </w:t>
      </w:r>
      <w:r w:rsidR="00A66ED0" w:rsidRPr="00080317">
        <w:rPr>
          <w:rFonts w:ascii="Arial" w:hAnsi="Arial" w:cs="Arial"/>
        </w:rPr>
        <w:t>RETYPE</w:t>
      </w:r>
      <w:r w:rsidRPr="00080317">
        <w:rPr>
          <w:rFonts w:ascii="Arial" w:hAnsi="Arial" w:cs="Arial"/>
        </w:rPr>
        <w:t xml:space="preserve"> specimen, make every effort to provide ABO/Rh-specific, crossmatch-compatible RBCs, if time permits</w:t>
      </w:r>
      <w:r w:rsidR="00BE24A5" w:rsidRPr="00080317">
        <w:rPr>
          <w:rFonts w:ascii="Arial" w:hAnsi="Arial" w:cs="Arial"/>
        </w:rPr>
        <w:t>.  Note: if the TYSC specimen has expired, it may be extended.</w:t>
      </w:r>
    </w:p>
    <w:p w:rsidR="00F461F1" w:rsidRPr="00080317" w:rsidRDefault="00A66ED0" w:rsidP="00F461F1">
      <w:pPr>
        <w:pStyle w:val="NormalWeb"/>
        <w:numPr>
          <w:ilvl w:val="1"/>
          <w:numId w:val="1"/>
        </w:numPr>
        <w:spacing w:before="0" w:beforeAutospacing="0" w:after="120" w:afterAutospacing="0"/>
        <w:rPr>
          <w:rFonts w:ascii="Arial" w:hAnsi="Arial" w:cs="Arial"/>
        </w:rPr>
      </w:pPr>
      <w:r w:rsidRPr="00080317">
        <w:rPr>
          <w:rFonts w:ascii="Arial" w:hAnsi="Arial" w:cs="Arial"/>
        </w:rPr>
        <w:t xml:space="preserve">If the patient has a valid </w:t>
      </w:r>
      <w:r w:rsidR="00F461F1" w:rsidRPr="00080317">
        <w:rPr>
          <w:rFonts w:ascii="Arial" w:hAnsi="Arial" w:cs="Arial"/>
        </w:rPr>
        <w:t>TYSC but no</w:t>
      </w:r>
      <w:r w:rsidR="00725B74" w:rsidRPr="00080317">
        <w:rPr>
          <w:rFonts w:ascii="Arial" w:hAnsi="Arial" w:cs="Arial"/>
        </w:rPr>
        <w:t xml:space="preserve"> previous</w:t>
      </w:r>
      <w:r w:rsidR="00F461F1" w:rsidRPr="00080317">
        <w:rPr>
          <w:rFonts w:ascii="Arial" w:hAnsi="Arial" w:cs="Arial"/>
        </w:rPr>
        <w:t xml:space="preserve"> history and no </w:t>
      </w:r>
      <w:r w:rsidRPr="00080317">
        <w:rPr>
          <w:rFonts w:ascii="Arial" w:hAnsi="Arial" w:cs="Arial"/>
        </w:rPr>
        <w:t>RETYPE</w:t>
      </w:r>
      <w:r w:rsidR="00F461F1" w:rsidRPr="00080317">
        <w:rPr>
          <w:rFonts w:ascii="Arial" w:hAnsi="Arial" w:cs="Arial"/>
        </w:rPr>
        <w:t xml:space="preserve"> completed, emergency release of group O RBCs and group AB plasma is required</w:t>
      </w:r>
      <w:r w:rsidR="00BE24A5" w:rsidRPr="00080317">
        <w:rPr>
          <w:rFonts w:ascii="Arial" w:hAnsi="Arial" w:cs="Arial"/>
        </w:rPr>
        <w:t>.</w:t>
      </w:r>
    </w:p>
    <w:p w:rsidR="00A66ED0" w:rsidRPr="00080317" w:rsidRDefault="00A66ED0" w:rsidP="00F461F1">
      <w:pPr>
        <w:pStyle w:val="NormalWeb"/>
        <w:numPr>
          <w:ilvl w:val="1"/>
          <w:numId w:val="1"/>
        </w:numPr>
        <w:spacing w:before="0" w:beforeAutospacing="0" w:after="120" w:afterAutospacing="0"/>
        <w:rPr>
          <w:rFonts w:ascii="Arial" w:hAnsi="Arial" w:cs="Arial"/>
        </w:rPr>
      </w:pPr>
      <w:r w:rsidRPr="00080317">
        <w:rPr>
          <w:rFonts w:ascii="Arial" w:hAnsi="Arial" w:cs="Arial"/>
        </w:rPr>
        <w:t>If the patient has a historical blood type but does not have a valid TYSC from the current admission, emergency release of group O RBCs and group AB plasma is required</w:t>
      </w:r>
      <w:r w:rsidR="00BE24A5" w:rsidRPr="00080317">
        <w:rPr>
          <w:rFonts w:ascii="Arial" w:hAnsi="Arial" w:cs="Arial"/>
        </w:rPr>
        <w:t>.</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If the patient has no TYSC or an incompletely tested TYSC, emergency release of group O RBCs and group AB plasma is required</w:t>
      </w:r>
      <w:r w:rsidR="00BE24A5" w:rsidRPr="00080317">
        <w:rPr>
          <w:rFonts w:ascii="Arial" w:hAnsi="Arial" w:cs="Arial"/>
        </w:rPr>
        <w:t>.</w:t>
      </w:r>
    </w:p>
    <w:p w:rsidR="00F461F1" w:rsidRPr="00080317" w:rsidRDefault="00F461F1" w:rsidP="00F461F1">
      <w:pPr>
        <w:pStyle w:val="NormalWeb"/>
        <w:numPr>
          <w:ilvl w:val="2"/>
          <w:numId w:val="1"/>
        </w:numPr>
        <w:spacing w:before="0" w:beforeAutospacing="0" w:after="120" w:afterAutospacing="0"/>
        <w:rPr>
          <w:rFonts w:ascii="Arial" w:hAnsi="Arial" w:cs="Arial"/>
        </w:rPr>
      </w:pPr>
      <w:r w:rsidRPr="00080317">
        <w:rPr>
          <w:rFonts w:ascii="Arial" w:hAnsi="Arial" w:cs="Arial"/>
        </w:rPr>
        <w:lastRenderedPageBreak/>
        <w:t>If a TYSC specimen has not been received be sure to request</w:t>
      </w:r>
      <w:r w:rsidR="00725B74" w:rsidRPr="00080317">
        <w:rPr>
          <w:rFonts w:ascii="Arial" w:hAnsi="Arial" w:cs="Arial"/>
        </w:rPr>
        <w:t xml:space="preserve"> </w:t>
      </w:r>
      <w:r w:rsidRPr="00080317">
        <w:rPr>
          <w:rFonts w:ascii="Arial" w:hAnsi="Arial" w:cs="Arial"/>
        </w:rPr>
        <w:t xml:space="preserve"> collection as soon as possible</w:t>
      </w:r>
    </w:p>
    <w:p w:rsidR="00F461F1" w:rsidRPr="00080317" w:rsidRDefault="00F461F1" w:rsidP="00F461F1">
      <w:pPr>
        <w:pStyle w:val="NormalWeb"/>
        <w:numPr>
          <w:ilvl w:val="2"/>
          <w:numId w:val="1"/>
        </w:numPr>
        <w:spacing w:before="0" w:beforeAutospacing="0" w:after="120" w:afterAutospacing="0"/>
        <w:rPr>
          <w:rFonts w:ascii="Arial" w:hAnsi="Arial" w:cs="Arial"/>
        </w:rPr>
      </w:pPr>
      <w:r w:rsidRPr="00080317">
        <w:rPr>
          <w:rFonts w:ascii="Arial" w:hAnsi="Arial" w:cs="Arial"/>
        </w:rPr>
        <w:t>Specimen acceptability criteria continue to apply even under emergency circumstances</w:t>
      </w:r>
    </w:p>
    <w:p w:rsidR="00F461F1" w:rsidRPr="00080317" w:rsidRDefault="00F461F1" w:rsidP="00F461F1">
      <w:pPr>
        <w:pStyle w:val="NormalWeb"/>
        <w:numPr>
          <w:ilvl w:val="0"/>
          <w:numId w:val="1"/>
        </w:numPr>
        <w:spacing w:before="0" w:beforeAutospacing="0" w:after="120" w:afterAutospacing="0"/>
        <w:rPr>
          <w:rFonts w:ascii="Arial" w:hAnsi="Arial" w:cs="Arial"/>
        </w:rPr>
      </w:pPr>
      <w:r w:rsidRPr="00080317">
        <w:rPr>
          <w:rFonts w:ascii="Arial" w:hAnsi="Arial" w:cs="Arial"/>
        </w:rPr>
        <w:t>Check for blood bank history information</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If the patient has history of clinically significant antibodies or of special transfusion req</w:t>
      </w:r>
      <w:r w:rsidR="00D17D86" w:rsidRPr="00080317">
        <w:rPr>
          <w:rFonts w:ascii="Arial" w:hAnsi="Arial" w:cs="Arial"/>
        </w:rPr>
        <w:t>uirements (i.e. irradiated, etc</w:t>
      </w:r>
      <w:r w:rsidRPr="00080317">
        <w:rPr>
          <w:rFonts w:ascii="Arial" w:hAnsi="Arial" w:cs="Arial"/>
        </w:rPr>
        <w:t>)</w:t>
      </w:r>
    </w:p>
    <w:p w:rsidR="00F461F1" w:rsidRPr="00080317" w:rsidRDefault="00F461F1" w:rsidP="00F461F1">
      <w:pPr>
        <w:pStyle w:val="NormalWeb"/>
        <w:numPr>
          <w:ilvl w:val="2"/>
          <w:numId w:val="1"/>
        </w:numPr>
        <w:spacing w:before="0" w:beforeAutospacing="0" w:after="120" w:afterAutospacing="0"/>
        <w:rPr>
          <w:rFonts w:ascii="Arial" w:hAnsi="Arial" w:cs="Arial"/>
        </w:rPr>
      </w:pPr>
      <w:r w:rsidRPr="00080317">
        <w:rPr>
          <w:rFonts w:ascii="Arial" w:hAnsi="Arial" w:cs="Arial"/>
        </w:rPr>
        <w:t>Notify the patient’s physician</w:t>
      </w:r>
      <w:r w:rsidR="00CD604D" w:rsidRPr="00080317">
        <w:rPr>
          <w:rFonts w:ascii="Arial" w:hAnsi="Arial" w:cs="Arial"/>
        </w:rPr>
        <w:t xml:space="preserve"> (or responsible caregiver such as RN, PA, etc., if unable to reach physician)</w:t>
      </w:r>
      <w:r w:rsidRPr="00080317">
        <w:rPr>
          <w:rFonts w:ascii="Arial" w:hAnsi="Arial" w:cs="Arial"/>
        </w:rPr>
        <w:t xml:space="preserve"> </w:t>
      </w:r>
      <w:r w:rsidR="00A46619" w:rsidRPr="00080317">
        <w:rPr>
          <w:rFonts w:ascii="Arial" w:hAnsi="Arial" w:cs="Arial"/>
        </w:rPr>
        <w:t>and document the notification</w:t>
      </w:r>
      <w:r w:rsidR="00CD604D" w:rsidRPr="00080317">
        <w:rPr>
          <w:rFonts w:ascii="Arial" w:hAnsi="Arial" w:cs="Arial"/>
        </w:rPr>
        <w:t xml:space="preserve"> appropriately</w:t>
      </w:r>
      <w:r w:rsidR="00FE2A0C" w:rsidRPr="00080317">
        <w:rPr>
          <w:rFonts w:ascii="Arial" w:hAnsi="Arial" w:cs="Arial"/>
        </w:rPr>
        <w:t xml:space="preserve"> in Meditech and/or on the patient’s consult form.</w:t>
      </w:r>
    </w:p>
    <w:p w:rsidR="00D17D86" w:rsidRPr="00080317" w:rsidRDefault="00F461F1" w:rsidP="00D17D86">
      <w:pPr>
        <w:pStyle w:val="NormalWeb"/>
        <w:numPr>
          <w:ilvl w:val="2"/>
          <w:numId w:val="1"/>
        </w:numPr>
        <w:spacing w:before="0" w:beforeAutospacing="0" w:after="120" w:afterAutospacing="0"/>
        <w:rPr>
          <w:rFonts w:ascii="Arial" w:hAnsi="Arial" w:cs="Arial"/>
        </w:rPr>
      </w:pPr>
      <w:r w:rsidRPr="00080317">
        <w:rPr>
          <w:rFonts w:ascii="Arial" w:hAnsi="Arial" w:cs="Arial"/>
        </w:rPr>
        <w:t xml:space="preserve">If the decision is made to continue to emergency release RBC units for the patient, make </w:t>
      </w:r>
      <w:r w:rsidR="00D17D86" w:rsidRPr="00080317">
        <w:rPr>
          <w:rFonts w:ascii="Arial" w:hAnsi="Arial" w:cs="Arial"/>
        </w:rPr>
        <w:t>every</w:t>
      </w:r>
      <w:r w:rsidRPr="00080317">
        <w:rPr>
          <w:rFonts w:ascii="Arial" w:hAnsi="Arial" w:cs="Arial"/>
        </w:rPr>
        <w:t xml:space="preserve"> effort to select </w:t>
      </w:r>
      <w:r w:rsidR="00D17D86" w:rsidRPr="00080317">
        <w:rPr>
          <w:rFonts w:ascii="Arial" w:hAnsi="Arial" w:cs="Arial"/>
        </w:rPr>
        <w:t>appropriate blood products (i.e. match special transfusion requirements, provide antigen negative blood) if available</w:t>
      </w:r>
    </w:p>
    <w:p w:rsidR="00F461F1" w:rsidRPr="00080317" w:rsidRDefault="00F461F1" w:rsidP="00F461F1">
      <w:pPr>
        <w:pStyle w:val="NormalWeb"/>
        <w:numPr>
          <w:ilvl w:val="0"/>
          <w:numId w:val="1"/>
        </w:numPr>
        <w:spacing w:before="0" w:beforeAutospacing="0" w:after="120" w:afterAutospacing="0"/>
        <w:rPr>
          <w:rFonts w:ascii="Arial" w:hAnsi="Arial" w:cs="Arial"/>
        </w:rPr>
      </w:pPr>
      <w:r w:rsidRPr="00080317">
        <w:rPr>
          <w:rFonts w:ascii="Arial" w:hAnsi="Arial" w:cs="Arial"/>
        </w:rPr>
        <w:t>Select appropriate blood products for the patient’s gender, age and blood bank history</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 xml:space="preserve">Females </w:t>
      </w:r>
      <w:r w:rsidRPr="00080317">
        <w:rPr>
          <w:rFonts w:ascii="Arial" w:hAnsi="Arial" w:cs="Arial"/>
          <w:u w:val="single"/>
        </w:rPr>
        <w:t>&lt;</w:t>
      </w:r>
      <w:r w:rsidRPr="00080317">
        <w:rPr>
          <w:rFonts w:ascii="Arial" w:hAnsi="Arial" w:cs="Arial"/>
        </w:rPr>
        <w:t>50 years of age</w:t>
      </w:r>
      <w:r w:rsidR="00CF21BC" w:rsidRPr="00080317">
        <w:rPr>
          <w:rFonts w:ascii="Arial" w:hAnsi="Arial" w:cs="Arial"/>
        </w:rPr>
        <w:t xml:space="preserve"> and males &lt;4 months of age</w:t>
      </w:r>
      <w:r w:rsidRPr="00080317">
        <w:rPr>
          <w:rFonts w:ascii="Arial" w:hAnsi="Arial" w:cs="Arial"/>
        </w:rPr>
        <w:t xml:space="preserve"> – select </w:t>
      </w:r>
      <w:r w:rsidRPr="00080317">
        <w:rPr>
          <w:rFonts w:ascii="Arial" w:hAnsi="Arial" w:cs="Arial"/>
          <w:b/>
        </w:rPr>
        <w:t>O Neg</w:t>
      </w:r>
      <w:r w:rsidRPr="00080317">
        <w:rPr>
          <w:rFonts w:ascii="Arial" w:hAnsi="Arial" w:cs="Arial"/>
        </w:rPr>
        <w:t xml:space="preserve"> red blood cells for emergency release</w:t>
      </w:r>
    </w:p>
    <w:p w:rsidR="00A46619" w:rsidRPr="00080317" w:rsidRDefault="00F461F1" w:rsidP="00A46619">
      <w:pPr>
        <w:pStyle w:val="NormalWeb"/>
        <w:numPr>
          <w:ilvl w:val="2"/>
          <w:numId w:val="1"/>
        </w:numPr>
        <w:spacing w:before="0" w:beforeAutospacing="0" w:after="120" w:afterAutospacing="0"/>
        <w:rPr>
          <w:rFonts w:ascii="Arial" w:hAnsi="Arial" w:cs="Arial"/>
        </w:rPr>
      </w:pPr>
      <w:r w:rsidRPr="00080317">
        <w:rPr>
          <w:rFonts w:ascii="Arial" w:hAnsi="Arial" w:cs="Arial"/>
        </w:rPr>
        <w:t xml:space="preserve">If the </w:t>
      </w:r>
      <w:r w:rsidR="003D3F2B" w:rsidRPr="00080317">
        <w:rPr>
          <w:rFonts w:ascii="Arial" w:hAnsi="Arial" w:cs="Arial"/>
        </w:rPr>
        <w:t>inventory</w:t>
      </w:r>
      <w:r w:rsidR="00D17D86" w:rsidRPr="00080317">
        <w:rPr>
          <w:rFonts w:ascii="Arial" w:hAnsi="Arial" w:cs="Arial"/>
        </w:rPr>
        <w:t xml:space="preserve"> of </w:t>
      </w:r>
      <w:r w:rsidRPr="00080317">
        <w:rPr>
          <w:rFonts w:ascii="Arial" w:hAnsi="Arial" w:cs="Arial"/>
        </w:rPr>
        <w:t xml:space="preserve">O Neg </w:t>
      </w:r>
      <w:r w:rsidR="00D17D86" w:rsidRPr="00080317">
        <w:rPr>
          <w:rFonts w:ascii="Arial" w:hAnsi="Arial" w:cs="Arial"/>
        </w:rPr>
        <w:t>red bloo</w:t>
      </w:r>
      <w:r w:rsidR="00E82CDE" w:rsidRPr="00080317">
        <w:rPr>
          <w:rFonts w:ascii="Arial" w:hAnsi="Arial" w:cs="Arial"/>
        </w:rPr>
        <w:t>d</w:t>
      </w:r>
      <w:r w:rsidR="00D17D86" w:rsidRPr="00080317">
        <w:rPr>
          <w:rFonts w:ascii="Arial" w:hAnsi="Arial" w:cs="Arial"/>
        </w:rPr>
        <w:t xml:space="preserve"> cells is c</w:t>
      </w:r>
      <w:r w:rsidR="00A46619" w:rsidRPr="00080317">
        <w:rPr>
          <w:rFonts w:ascii="Arial" w:hAnsi="Arial" w:cs="Arial"/>
        </w:rPr>
        <w:t xml:space="preserve">ritically </w:t>
      </w:r>
      <w:r w:rsidRPr="00080317">
        <w:rPr>
          <w:rFonts w:ascii="Arial" w:hAnsi="Arial" w:cs="Arial"/>
        </w:rPr>
        <w:t>low (</w:t>
      </w:r>
      <w:r w:rsidR="00591DC9" w:rsidRPr="00080317">
        <w:rPr>
          <w:rFonts w:ascii="Arial" w:hAnsi="Arial" w:cs="Arial"/>
        </w:rPr>
        <w:t>&lt;</w:t>
      </w:r>
      <w:r w:rsidRPr="00080317">
        <w:rPr>
          <w:rFonts w:ascii="Arial" w:hAnsi="Arial" w:cs="Arial"/>
        </w:rPr>
        <w:t>8 units)</w:t>
      </w:r>
      <w:r w:rsidR="003B51BC" w:rsidRPr="00080317">
        <w:rPr>
          <w:rFonts w:ascii="Arial" w:hAnsi="Arial" w:cs="Arial"/>
        </w:rPr>
        <w:t xml:space="preserve"> and re-supply from American Red Cross </w:t>
      </w:r>
      <w:r w:rsidR="00E82CDE" w:rsidRPr="00080317">
        <w:rPr>
          <w:rFonts w:ascii="Arial" w:hAnsi="Arial" w:cs="Arial"/>
        </w:rPr>
        <w:t>is unavailable, O Pos units may be required for release</w:t>
      </w:r>
    </w:p>
    <w:p w:rsidR="00E82CDE" w:rsidRPr="00080317" w:rsidRDefault="00C10DBC" w:rsidP="005C0C5F">
      <w:pPr>
        <w:pStyle w:val="NormalWeb"/>
        <w:numPr>
          <w:ilvl w:val="3"/>
          <w:numId w:val="1"/>
        </w:numPr>
        <w:spacing w:before="0" w:beforeAutospacing="0" w:after="0" w:afterAutospacing="0"/>
        <w:rPr>
          <w:rFonts w:ascii="Arial" w:hAnsi="Arial" w:cs="Arial"/>
        </w:rPr>
      </w:pPr>
      <w:r w:rsidRPr="00080317">
        <w:rPr>
          <w:rFonts w:ascii="Arial" w:hAnsi="Arial" w:cs="Arial"/>
        </w:rPr>
        <w:t>P</w:t>
      </w:r>
      <w:r w:rsidR="00E82CDE" w:rsidRPr="00080317">
        <w:rPr>
          <w:rFonts w:ascii="Arial" w:hAnsi="Arial" w:cs="Arial"/>
        </w:rPr>
        <w:t>rovide an initial batch of one or two O Neg red blood cell units, depending on the amount requested</w:t>
      </w:r>
      <w:r w:rsidR="003733B5" w:rsidRPr="00080317">
        <w:rPr>
          <w:rFonts w:ascii="Arial" w:hAnsi="Arial" w:cs="Arial"/>
        </w:rPr>
        <w:t xml:space="preserve"> (maximum of two)</w:t>
      </w:r>
    </w:p>
    <w:p w:rsidR="00E82CDE" w:rsidRPr="00080317" w:rsidRDefault="00E82CDE" w:rsidP="005C0C5F">
      <w:pPr>
        <w:pStyle w:val="NormalWeb"/>
        <w:numPr>
          <w:ilvl w:val="3"/>
          <w:numId w:val="1"/>
        </w:numPr>
        <w:spacing w:before="0" w:beforeAutospacing="0" w:after="0" w:afterAutospacing="0"/>
        <w:rPr>
          <w:rFonts w:ascii="Arial" w:hAnsi="Arial" w:cs="Arial"/>
        </w:rPr>
      </w:pPr>
      <w:r w:rsidRPr="00080317">
        <w:rPr>
          <w:rFonts w:ascii="Arial" w:hAnsi="Arial" w:cs="Arial"/>
        </w:rPr>
        <w:t>Notify the patient’s physician and the pathologist</w:t>
      </w:r>
      <w:r w:rsidR="00C10DBC" w:rsidRPr="00080317">
        <w:rPr>
          <w:rFonts w:ascii="Arial" w:hAnsi="Arial" w:cs="Arial"/>
        </w:rPr>
        <w:t xml:space="preserve"> of the </w:t>
      </w:r>
      <w:r w:rsidR="005C0C5F" w:rsidRPr="00080317">
        <w:rPr>
          <w:rFonts w:ascii="Arial" w:hAnsi="Arial" w:cs="Arial"/>
        </w:rPr>
        <w:t>need to switch Rh</w:t>
      </w:r>
    </w:p>
    <w:p w:rsidR="00C10DBC" w:rsidRPr="00080317" w:rsidRDefault="00C10DBC" w:rsidP="005C0C5F">
      <w:pPr>
        <w:pStyle w:val="NormalWeb"/>
        <w:numPr>
          <w:ilvl w:val="3"/>
          <w:numId w:val="1"/>
        </w:numPr>
        <w:spacing w:before="0" w:beforeAutospacing="0" w:after="0" w:afterAutospacing="0"/>
        <w:rPr>
          <w:rFonts w:ascii="Arial" w:hAnsi="Arial" w:cs="Arial"/>
        </w:rPr>
      </w:pPr>
      <w:r w:rsidRPr="00080317">
        <w:rPr>
          <w:rFonts w:ascii="Arial" w:hAnsi="Arial" w:cs="Arial"/>
        </w:rPr>
        <w:t>Document with Variance from Standard Operating Procedure (TRAN 8004 F)</w:t>
      </w:r>
    </w:p>
    <w:p w:rsidR="00E0217A" w:rsidRPr="00080317" w:rsidRDefault="00E0217A" w:rsidP="005C0C5F">
      <w:pPr>
        <w:pStyle w:val="NormalWeb"/>
        <w:numPr>
          <w:ilvl w:val="3"/>
          <w:numId w:val="1"/>
        </w:numPr>
        <w:spacing w:before="0" w:beforeAutospacing="0" w:after="0" w:afterAutospacing="0"/>
        <w:rPr>
          <w:rFonts w:ascii="Arial" w:hAnsi="Arial" w:cs="Arial"/>
        </w:rPr>
      </w:pPr>
      <w:r w:rsidRPr="00080317">
        <w:rPr>
          <w:rFonts w:ascii="Arial" w:hAnsi="Arial" w:cs="Arial"/>
        </w:rPr>
        <w:t>The object is to preserve the Rh Neg supply by transfusing Rh Pos blood earlier in the hemorrhage sequence and switching to limited Rh Neg transfusions for Rh Neg patients once bleeding has been controlled</w:t>
      </w:r>
    </w:p>
    <w:p w:rsidR="00C10DBC" w:rsidRPr="00080317" w:rsidRDefault="00C10DBC" w:rsidP="00E0217A">
      <w:pPr>
        <w:pStyle w:val="NormalWeb"/>
        <w:numPr>
          <w:ilvl w:val="3"/>
          <w:numId w:val="1"/>
        </w:numPr>
        <w:spacing w:before="0" w:beforeAutospacing="0" w:after="120" w:afterAutospacing="0"/>
        <w:rPr>
          <w:rFonts w:ascii="Arial" w:hAnsi="Arial" w:cs="Arial"/>
        </w:rPr>
      </w:pPr>
      <w:r w:rsidRPr="00080317">
        <w:rPr>
          <w:rFonts w:ascii="Arial" w:hAnsi="Arial" w:cs="Arial"/>
        </w:rPr>
        <w:t>If the patient receives Rh Pos red blood cells and their pre-transfusion testing identifies the patient as Rh Neg, the need for Rh Immune Globulin will be evaluated</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 xml:space="preserve">Females &gt;50 years of age and males </w:t>
      </w:r>
      <w:r w:rsidR="00CF21BC" w:rsidRPr="00080317">
        <w:rPr>
          <w:rFonts w:ascii="Arial" w:hAnsi="Arial" w:cs="Arial"/>
        </w:rPr>
        <w:t>of &gt;4 months</w:t>
      </w:r>
      <w:r w:rsidR="00D7465B" w:rsidRPr="00080317">
        <w:rPr>
          <w:rFonts w:ascii="Arial" w:hAnsi="Arial" w:cs="Arial"/>
        </w:rPr>
        <w:t xml:space="preserve"> of age</w:t>
      </w:r>
      <w:r w:rsidRPr="00080317">
        <w:rPr>
          <w:rFonts w:ascii="Arial" w:hAnsi="Arial" w:cs="Arial"/>
        </w:rPr>
        <w:t xml:space="preserve"> – select </w:t>
      </w:r>
      <w:r w:rsidRPr="00080317">
        <w:rPr>
          <w:rFonts w:ascii="Arial" w:hAnsi="Arial" w:cs="Arial"/>
          <w:b/>
        </w:rPr>
        <w:t>O Pos</w:t>
      </w:r>
      <w:r w:rsidRPr="00080317">
        <w:rPr>
          <w:rFonts w:ascii="Arial" w:hAnsi="Arial" w:cs="Arial"/>
        </w:rPr>
        <w:t xml:space="preserve"> red blood cells for emergency release</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 xml:space="preserve">Males and females of all ages should receive </w:t>
      </w:r>
      <w:r w:rsidRPr="00080317">
        <w:rPr>
          <w:rFonts w:ascii="Arial" w:hAnsi="Arial" w:cs="Arial"/>
          <w:b/>
        </w:rPr>
        <w:t>AB</w:t>
      </w:r>
      <w:r w:rsidRPr="00080317">
        <w:rPr>
          <w:rFonts w:ascii="Arial" w:hAnsi="Arial" w:cs="Arial"/>
        </w:rPr>
        <w:t xml:space="preserve"> thawed plasma products</w:t>
      </w:r>
    </w:p>
    <w:p w:rsidR="00F461F1" w:rsidRPr="00080317" w:rsidRDefault="00F461F1" w:rsidP="00F461F1">
      <w:pPr>
        <w:pStyle w:val="NormalWeb"/>
        <w:numPr>
          <w:ilvl w:val="0"/>
          <w:numId w:val="1"/>
        </w:numPr>
        <w:spacing w:before="0" w:beforeAutospacing="0" w:after="120" w:afterAutospacing="0"/>
        <w:rPr>
          <w:rFonts w:ascii="Arial" w:hAnsi="Arial" w:cs="Arial"/>
        </w:rPr>
      </w:pPr>
      <w:r w:rsidRPr="00080317">
        <w:rPr>
          <w:rFonts w:ascii="Arial" w:hAnsi="Arial" w:cs="Arial"/>
        </w:rPr>
        <w:t>Label the blood products, issue as emergency release, and box the products on ice – in advance of pickup if the transporter is still en route</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Save a pair of labeled segments from all RBC units released</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During computer downtime</w:t>
      </w:r>
    </w:p>
    <w:p w:rsidR="00F461F1" w:rsidRPr="00080317" w:rsidRDefault="00F461F1" w:rsidP="00F461F1">
      <w:pPr>
        <w:pStyle w:val="NormalWeb"/>
        <w:numPr>
          <w:ilvl w:val="2"/>
          <w:numId w:val="1"/>
        </w:numPr>
        <w:spacing w:before="0" w:beforeAutospacing="0" w:after="120" w:afterAutospacing="0"/>
        <w:rPr>
          <w:rFonts w:ascii="Arial" w:hAnsi="Arial" w:cs="Arial"/>
        </w:rPr>
      </w:pPr>
      <w:r w:rsidRPr="00080317">
        <w:rPr>
          <w:rFonts w:ascii="Arial" w:hAnsi="Arial" w:cs="Arial"/>
        </w:rPr>
        <w:t>Handwrite a Transfusion Record and attach to the blood</w:t>
      </w:r>
    </w:p>
    <w:p w:rsidR="00F461F1" w:rsidRPr="00080317" w:rsidRDefault="00F461F1" w:rsidP="00F461F1">
      <w:pPr>
        <w:pStyle w:val="NormalWeb"/>
        <w:numPr>
          <w:ilvl w:val="3"/>
          <w:numId w:val="1"/>
        </w:numPr>
        <w:spacing w:before="0" w:beforeAutospacing="0" w:after="0" w:afterAutospacing="0"/>
        <w:rPr>
          <w:rFonts w:ascii="Arial" w:hAnsi="Arial" w:cs="Arial"/>
        </w:rPr>
      </w:pPr>
      <w:r w:rsidRPr="00080317">
        <w:rPr>
          <w:rFonts w:ascii="Arial" w:hAnsi="Arial" w:cs="Arial"/>
        </w:rPr>
        <w:t>Patient’s medical record (or John Doe</w:t>
      </w:r>
      <w:r w:rsidR="009F6DFD" w:rsidRPr="00080317">
        <w:rPr>
          <w:rFonts w:ascii="Arial" w:hAnsi="Arial" w:cs="Arial"/>
        </w:rPr>
        <w:t>/downtime</w:t>
      </w:r>
      <w:r w:rsidRPr="00080317">
        <w:rPr>
          <w:rFonts w:ascii="Arial" w:hAnsi="Arial" w:cs="Arial"/>
        </w:rPr>
        <w:t>) number</w:t>
      </w:r>
    </w:p>
    <w:p w:rsidR="00F461F1" w:rsidRPr="00080317" w:rsidRDefault="00F461F1" w:rsidP="00F461F1">
      <w:pPr>
        <w:pStyle w:val="NormalWeb"/>
        <w:numPr>
          <w:ilvl w:val="3"/>
          <w:numId w:val="1"/>
        </w:numPr>
        <w:spacing w:before="0" w:beforeAutospacing="0" w:after="0" w:afterAutospacing="0"/>
        <w:rPr>
          <w:rFonts w:ascii="Arial" w:hAnsi="Arial" w:cs="Arial"/>
        </w:rPr>
      </w:pPr>
      <w:r w:rsidRPr="00080317">
        <w:rPr>
          <w:rFonts w:ascii="Arial" w:hAnsi="Arial" w:cs="Arial"/>
        </w:rPr>
        <w:t>Full name (Last, First)</w:t>
      </w:r>
    </w:p>
    <w:p w:rsidR="00F461F1" w:rsidRPr="00080317" w:rsidRDefault="00F461F1" w:rsidP="00F461F1">
      <w:pPr>
        <w:pStyle w:val="NormalWeb"/>
        <w:numPr>
          <w:ilvl w:val="3"/>
          <w:numId w:val="1"/>
        </w:numPr>
        <w:spacing w:before="0" w:beforeAutospacing="0" w:after="0" w:afterAutospacing="0"/>
        <w:rPr>
          <w:rFonts w:ascii="Arial" w:hAnsi="Arial" w:cs="Arial"/>
        </w:rPr>
      </w:pPr>
      <w:r w:rsidRPr="00080317">
        <w:rPr>
          <w:rFonts w:ascii="Arial" w:hAnsi="Arial" w:cs="Arial"/>
        </w:rPr>
        <w:t>Blood type of the product</w:t>
      </w:r>
    </w:p>
    <w:p w:rsidR="00F461F1" w:rsidRPr="00080317" w:rsidRDefault="00F461F1" w:rsidP="00F461F1">
      <w:pPr>
        <w:pStyle w:val="NormalWeb"/>
        <w:numPr>
          <w:ilvl w:val="3"/>
          <w:numId w:val="1"/>
        </w:numPr>
        <w:spacing w:before="0" w:beforeAutospacing="0" w:after="0" w:afterAutospacing="0"/>
        <w:rPr>
          <w:rFonts w:ascii="Arial" w:hAnsi="Arial" w:cs="Arial"/>
        </w:rPr>
      </w:pPr>
      <w:r w:rsidRPr="00080317">
        <w:rPr>
          <w:rFonts w:ascii="Arial" w:hAnsi="Arial" w:cs="Arial"/>
        </w:rPr>
        <w:t>Donor identification number (DIN) of the product</w:t>
      </w:r>
    </w:p>
    <w:p w:rsidR="00F461F1" w:rsidRPr="00080317" w:rsidRDefault="00F461F1" w:rsidP="00F461F1">
      <w:pPr>
        <w:pStyle w:val="NormalWeb"/>
        <w:numPr>
          <w:ilvl w:val="3"/>
          <w:numId w:val="1"/>
        </w:numPr>
        <w:spacing w:before="0" w:beforeAutospacing="0" w:after="120" w:afterAutospacing="0"/>
        <w:rPr>
          <w:rFonts w:ascii="Arial" w:hAnsi="Arial" w:cs="Arial"/>
        </w:rPr>
      </w:pPr>
      <w:r w:rsidRPr="00080317">
        <w:rPr>
          <w:rFonts w:ascii="Arial" w:hAnsi="Arial" w:cs="Arial"/>
        </w:rPr>
        <w:t>Product expiration date</w:t>
      </w:r>
    </w:p>
    <w:p w:rsidR="00F461F1" w:rsidRPr="00080317" w:rsidRDefault="00F461F1" w:rsidP="00F461F1">
      <w:pPr>
        <w:pStyle w:val="NormalWeb"/>
        <w:numPr>
          <w:ilvl w:val="2"/>
          <w:numId w:val="1"/>
        </w:numPr>
        <w:spacing w:before="0" w:beforeAutospacing="0" w:after="120" w:afterAutospacing="0"/>
        <w:rPr>
          <w:rFonts w:ascii="Arial" w:hAnsi="Arial" w:cs="Arial"/>
        </w:rPr>
      </w:pPr>
      <w:r w:rsidRPr="00080317">
        <w:rPr>
          <w:rFonts w:ascii="Arial" w:hAnsi="Arial" w:cs="Arial"/>
        </w:rPr>
        <w:t>Document the issue on the downtime sign out log (TRAN 7001 F2)</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When the computer system is operational</w:t>
      </w:r>
    </w:p>
    <w:p w:rsidR="00F461F1" w:rsidRPr="00080317" w:rsidRDefault="00F461F1" w:rsidP="00F461F1">
      <w:pPr>
        <w:pStyle w:val="NormalWeb"/>
        <w:numPr>
          <w:ilvl w:val="2"/>
          <w:numId w:val="1"/>
        </w:numPr>
        <w:spacing w:before="0" w:beforeAutospacing="0" w:after="120" w:afterAutospacing="0"/>
        <w:rPr>
          <w:rFonts w:ascii="Arial" w:hAnsi="Arial" w:cs="Arial"/>
        </w:rPr>
      </w:pPr>
      <w:r w:rsidRPr="00080317">
        <w:rPr>
          <w:rFonts w:ascii="Arial" w:hAnsi="Arial" w:cs="Arial"/>
        </w:rPr>
        <w:t xml:space="preserve">Issue the product </w:t>
      </w:r>
      <w:r w:rsidR="00606929" w:rsidRPr="00080317">
        <w:rPr>
          <w:rFonts w:ascii="Arial" w:hAnsi="Arial" w:cs="Arial"/>
        </w:rPr>
        <w:t xml:space="preserve">in the LIS </w:t>
      </w:r>
      <w:r w:rsidRPr="00080317">
        <w:rPr>
          <w:rFonts w:ascii="Arial" w:hAnsi="Arial" w:cs="Arial"/>
        </w:rPr>
        <w:t>under “Emergency Issue”</w:t>
      </w:r>
    </w:p>
    <w:p w:rsidR="00F461F1" w:rsidRPr="00080317" w:rsidRDefault="00F461F1" w:rsidP="00F461F1">
      <w:pPr>
        <w:pStyle w:val="NormalWeb"/>
        <w:numPr>
          <w:ilvl w:val="2"/>
          <w:numId w:val="1"/>
        </w:numPr>
        <w:spacing w:before="0" w:beforeAutospacing="0" w:after="120" w:afterAutospacing="0"/>
        <w:rPr>
          <w:rFonts w:ascii="Arial" w:hAnsi="Arial" w:cs="Arial"/>
        </w:rPr>
      </w:pPr>
      <w:r w:rsidRPr="00080317">
        <w:rPr>
          <w:rFonts w:ascii="Arial" w:hAnsi="Arial" w:cs="Arial"/>
        </w:rPr>
        <w:t>Print the crossmatch card</w:t>
      </w:r>
      <w:r w:rsidR="001E3B92" w:rsidRPr="00080317">
        <w:rPr>
          <w:rFonts w:ascii="Arial" w:hAnsi="Arial" w:cs="Arial"/>
        </w:rPr>
        <w:t xml:space="preserve"> (Transfusion Record)</w:t>
      </w:r>
      <w:r w:rsidRPr="00080317">
        <w:rPr>
          <w:rFonts w:ascii="Arial" w:hAnsi="Arial" w:cs="Arial"/>
        </w:rPr>
        <w:t xml:space="preserve"> and attach to the blood</w:t>
      </w:r>
      <w:r w:rsidR="001E3B92" w:rsidRPr="00080317">
        <w:rPr>
          <w:rFonts w:ascii="Arial" w:hAnsi="Arial" w:cs="Arial"/>
        </w:rPr>
        <w:t xml:space="preserve"> product</w:t>
      </w:r>
    </w:p>
    <w:p w:rsidR="00F461F1" w:rsidRPr="00080317" w:rsidRDefault="00F461F1" w:rsidP="00F461F1">
      <w:pPr>
        <w:pStyle w:val="NormalWeb"/>
        <w:numPr>
          <w:ilvl w:val="3"/>
          <w:numId w:val="1"/>
        </w:numPr>
        <w:spacing w:before="0" w:beforeAutospacing="0" w:after="120" w:afterAutospacing="0"/>
        <w:rPr>
          <w:rFonts w:ascii="Arial" w:hAnsi="Arial" w:cs="Arial"/>
        </w:rPr>
      </w:pPr>
      <w:r w:rsidRPr="00080317">
        <w:rPr>
          <w:rFonts w:ascii="Arial" w:hAnsi="Arial" w:cs="Arial"/>
        </w:rPr>
        <w:t>If a historical blood type prints out, line through and initial</w:t>
      </w:r>
    </w:p>
    <w:p w:rsidR="001E3B92" w:rsidRPr="00080317" w:rsidRDefault="001E3B92" w:rsidP="00F461F1">
      <w:pPr>
        <w:pStyle w:val="NormalWeb"/>
        <w:numPr>
          <w:ilvl w:val="1"/>
          <w:numId w:val="1"/>
        </w:numPr>
        <w:spacing w:before="0" w:beforeAutospacing="0" w:after="120" w:afterAutospacing="0"/>
        <w:rPr>
          <w:rFonts w:ascii="Arial" w:hAnsi="Arial" w:cs="Arial"/>
        </w:rPr>
      </w:pPr>
      <w:r w:rsidRPr="00080317">
        <w:rPr>
          <w:rFonts w:ascii="Arial" w:hAnsi="Arial" w:cs="Arial"/>
        </w:rPr>
        <w:t>Apply an emergency release sticker to the Transfusion Record</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If mor</w:t>
      </w:r>
      <w:r w:rsidR="003F1340" w:rsidRPr="00080317">
        <w:rPr>
          <w:rFonts w:ascii="Arial" w:hAnsi="Arial" w:cs="Arial"/>
        </w:rPr>
        <w:t>e than one unit is being issued,</w:t>
      </w:r>
      <w:r w:rsidRPr="00080317">
        <w:rPr>
          <w:rFonts w:ascii="Arial" w:hAnsi="Arial" w:cs="Arial"/>
        </w:rPr>
        <w:t xml:space="preserve"> box the products on ice</w:t>
      </w:r>
    </w:p>
    <w:p w:rsidR="00AD7F25" w:rsidRPr="00080317" w:rsidRDefault="00AD7F25" w:rsidP="00AD7F25">
      <w:pPr>
        <w:pStyle w:val="NormalWeb"/>
        <w:numPr>
          <w:ilvl w:val="0"/>
          <w:numId w:val="1"/>
        </w:numPr>
        <w:spacing w:before="0" w:beforeAutospacing="0" w:after="120" w:afterAutospacing="0"/>
        <w:rPr>
          <w:rFonts w:ascii="Arial" w:hAnsi="Arial" w:cs="Arial"/>
        </w:rPr>
      </w:pPr>
      <w:r w:rsidRPr="00080317">
        <w:rPr>
          <w:rFonts w:ascii="Arial" w:hAnsi="Arial" w:cs="Arial"/>
        </w:rPr>
        <w:t>Release the blood to the transporter after verifying that the information from the Requisition Form: Blood Products matches the blood to be issued</w:t>
      </w:r>
    </w:p>
    <w:p w:rsidR="00AD7F25" w:rsidRPr="00080317" w:rsidRDefault="00AD7F25" w:rsidP="00AD7F25">
      <w:pPr>
        <w:pStyle w:val="NormalWeb"/>
        <w:numPr>
          <w:ilvl w:val="1"/>
          <w:numId w:val="1"/>
        </w:numPr>
        <w:spacing w:before="0" w:beforeAutospacing="0" w:after="120" w:afterAutospacing="0"/>
        <w:rPr>
          <w:rFonts w:ascii="Arial" w:hAnsi="Arial" w:cs="Arial"/>
        </w:rPr>
      </w:pPr>
      <w:r w:rsidRPr="00080317">
        <w:rPr>
          <w:rFonts w:ascii="Arial" w:hAnsi="Arial" w:cs="Arial"/>
        </w:rPr>
        <w:t>If the requisition form is incomplete or not available, blood can be released to the transporter by confirmation with the patient’s nu</w:t>
      </w:r>
      <w:r w:rsidR="00606929" w:rsidRPr="00080317">
        <w:rPr>
          <w:rFonts w:ascii="Arial" w:hAnsi="Arial" w:cs="Arial"/>
        </w:rPr>
        <w:t>rse or physician via phone call</w:t>
      </w:r>
    </w:p>
    <w:p w:rsidR="00606929" w:rsidRPr="00080317" w:rsidRDefault="00606929" w:rsidP="00AD7F25">
      <w:pPr>
        <w:pStyle w:val="NormalWeb"/>
        <w:numPr>
          <w:ilvl w:val="1"/>
          <w:numId w:val="1"/>
        </w:numPr>
        <w:spacing w:before="0" w:beforeAutospacing="0" w:after="120" w:afterAutospacing="0"/>
        <w:rPr>
          <w:rFonts w:ascii="Arial" w:hAnsi="Arial" w:cs="Arial"/>
        </w:rPr>
      </w:pPr>
      <w:r w:rsidRPr="00080317">
        <w:rPr>
          <w:rFonts w:ascii="Arial" w:hAnsi="Arial" w:cs="Arial"/>
        </w:rPr>
        <w:t>Document the information from the phone call onto a Requisition Form</w:t>
      </w:r>
    </w:p>
    <w:p w:rsidR="00F461F1" w:rsidRPr="00080317" w:rsidRDefault="00F461F1" w:rsidP="00F461F1">
      <w:pPr>
        <w:pStyle w:val="NormalWeb"/>
        <w:numPr>
          <w:ilvl w:val="0"/>
          <w:numId w:val="1"/>
        </w:numPr>
        <w:spacing w:before="0" w:beforeAutospacing="0" w:after="120" w:afterAutospacing="0"/>
        <w:rPr>
          <w:rFonts w:ascii="Arial" w:hAnsi="Arial" w:cs="Arial"/>
        </w:rPr>
      </w:pPr>
      <w:r w:rsidRPr="00080317">
        <w:rPr>
          <w:rFonts w:ascii="Arial" w:hAnsi="Arial" w:cs="Arial"/>
        </w:rPr>
        <w:t>Fill out an “Emergency Release of Blood” form and send it to the patient location to be signed by the requesting physician when the situation has calmed down</w:t>
      </w:r>
    </w:p>
    <w:p w:rsidR="00F461F1"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Save the “Blood Bank” copy of the form</w:t>
      </w:r>
    </w:p>
    <w:p w:rsidR="00F461F1" w:rsidRPr="00080317" w:rsidRDefault="00F461F1" w:rsidP="00F461F1">
      <w:pPr>
        <w:pStyle w:val="NormalWeb"/>
        <w:numPr>
          <w:ilvl w:val="0"/>
          <w:numId w:val="1"/>
        </w:numPr>
        <w:spacing w:before="0" w:beforeAutospacing="0" w:after="120" w:afterAutospacing="0"/>
        <w:rPr>
          <w:rFonts w:ascii="Arial" w:hAnsi="Arial" w:cs="Arial"/>
        </w:rPr>
      </w:pPr>
      <w:r w:rsidRPr="00080317">
        <w:rPr>
          <w:rFonts w:ascii="Arial" w:hAnsi="Arial" w:cs="Arial"/>
        </w:rPr>
        <w:t>Complete all</w:t>
      </w:r>
      <w:r w:rsidR="00F75A74" w:rsidRPr="00080317">
        <w:rPr>
          <w:rFonts w:ascii="Arial" w:hAnsi="Arial" w:cs="Arial"/>
        </w:rPr>
        <w:t xml:space="preserve"> required</w:t>
      </w:r>
      <w:r w:rsidRPr="00080317">
        <w:rPr>
          <w:rFonts w:ascii="Arial" w:hAnsi="Arial" w:cs="Arial"/>
        </w:rPr>
        <w:t xml:space="preserve"> testing as </w:t>
      </w:r>
      <w:r w:rsidR="001E3B92" w:rsidRPr="00080317">
        <w:rPr>
          <w:rFonts w:ascii="Arial" w:hAnsi="Arial" w:cs="Arial"/>
        </w:rPr>
        <w:t>soon</w:t>
      </w:r>
      <w:r w:rsidRPr="00080317">
        <w:rPr>
          <w:rFonts w:ascii="Arial" w:hAnsi="Arial" w:cs="Arial"/>
        </w:rPr>
        <w:t xml:space="preserve"> as possible</w:t>
      </w:r>
      <w:r w:rsidR="00F75A74" w:rsidRPr="00080317">
        <w:rPr>
          <w:rFonts w:ascii="Arial" w:hAnsi="Arial" w:cs="Arial"/>
        </w:rPr>
        <w:t xml:space="preserve"> after specimen receipt</w:t>
      </w:r>
    </w:p>
    <w:p w:rsidR="005C73EB" w:rsidRPr="00080317" w:rsidRDefault="00F461F1" w:rsidP="00F461F1">
      <w:pPr>
        <w:pStyle w:val="NormalWeb"/>
        <w:numPr>
          <w:ilvl w:val="1"/>
          <w:numId w:val="1"/>
        </w:numPr>
        <w:spacing w:before="0" w:beforeAutospacing="0" w:after="120" w:afterAutospacing="0"/>
        <w:rPr>
          <w:rFonts w:ascii="Arial" w:hAnsi="Arial" w:cs="Arial"/>
        </w:rPr>
      </w:pPr>
      <w:r w:rsidRPr="00080317">
        <w:rPr>
          <w:rFonts w:ascii="Arial" w:hAnsi="Arial" w:cs="Arial"/>
        </w:rPr>
        <w:t>If</w:t>
      </w:r>
      <w:r w:rsidR="00606929" w:rsidRPr="00080317">
        <w:rPr>
          <w:rFonts w:ascii="Arial" w:hAnsi="Arial" w:cs="Arial"/>
        </w:rPr>
        <w:t xml:space="preserve"> a</w:t>
      </w:r>
      <w:r w:rsidR="00F45F7D" w:rsidRPr="00080317">
        <w:rPr>
          <w:rFonts w:ascii="Arial" w:hAnsi="Arial" w:cs="Arial"/>
        </w:rPr>
        <w:t xml:space="preserve"> clinically significant</w:t>
      </w:r>
      <w:r w:rsidR="00606929" w:rsidRPr="00080317">
        <w:rPr>
          <w:rFonts w:ascii="Arial" w:hAnsi="Arial" w:cs="Arial"/>
        </w:rPr>
        <w:t xml:space="preserve"> antibody is identified in the patient’s plasma and the unit</w:t>
      </w:r>
      <w:r w:rsidR="00F927E7" w:rsidRPr="00080317">
        <w:rPr>
          <w:rFonts w:ascii="Arial" w:hAnsi="Arial" w:cs="Arial"/>
        </w:rPr>
        <w:t>(</w:t>
      </w:r>
      <w:r w:rsidR="00606929" w:rsidRPr="00080317">
        <w:rPr>
          <w:rFonts w:ascii="Arial" w:hAnsi="Arial" w:cs="Arial"/>
        </w:rPr>
        <w:t>s</w:t>
      </w:r>
      <w:r w:rsidR="00F927E7" w:rsidRPr="00080317">
        <w:rPr>
          <w:rFonts w:ascii="Arial" w:hAnsi="Arial" w:cs="Arial"/>
        </w:rPr>
        <w:t>) issued for the patient was</w:t>
      </w:r>
      <w:r w:rsidR="00606929" w:rsidRPr="00080317">
        <w:rPr>
          <w:rFonts w:ascii="Arial" w:hAnsi="Arial" w:cs="Arial"/>
        </w:rPr>
        <w:t xml:space="preserve"> not phenotypically appropriate </w:t>
      </w:r>
      <w:r w:rsidR="001C2309" w:rsidRPr="00080317">
        <w:rPr>
          <w:rFonts w:ascii="Arial" w:hAnsi="Arial" w:cs="Arial"/>
        </w:rPr>
        <w:t>or</w:t>
      </w:r>
      <w:r w:rsidRPr="00080317">
        <w:rPr>
          <w:rFonts w:ascii="Arial" w:hAnsi="Arial" w:cs="Arial"/>
        </w:rPr>
        <w:t xml:space="preserve"> if the crossmatch is incompatible or if it is learned of special transfusion requirements for the patient</w:t>
      </w:r>
      <w:r w:rsidR="00C26594" w:rsidRPr="00080317">
        <w:rPr>
          <w:rFonts w:ascii="Arial" w:hAnsi="Arial" w:cs="Arial"/>
        </w:rPr>
        <w:t xml:space="preserve"> that were not satisfied</w:t>
      </w:r>
      <w:r w:rsidR="00F45F7D" w:rsidRPr="00080317">
        <w:rPr>
          <w:rFonts w:ascii="Arial" w:hAnsi="Arial" w:cs="Arial"/>
        </w:rPr>
        <w:t xml:space="preserve"> and could affect patient safety</w:t>
      </w:r>
    </w:p>
    <w:p w:rsidR="00F461F1" w:rsidRDefault="005C73EB" w:rsidP="005C73EB">
      <w:pPr>
        <w:pStyle w:val="NormalWeb"/>
        <w:numPr>
          <w:ilvl w:val="2"/>
          <w:numId w:val="1"/>
        </w:numPr>
        <w:spacing w:before="0" w:beforeAutospacing="0" w:after="120" w:afterAutospacing="0"/>
        <w:rPr>
          <w:rFonts w:ascii="Arial" w:hAnsi="Arial" w:cs="Arial"/>
        </w:rPr>
      </w:pPr>
      <w:r w:rsidRPr="00080317">
        <w:rPr>
          <w:rFonts w:ascii="Arial" w:hAnsi="Arial" w:cs="Arial"/>
        </w:rPr>
        <w:t>N</w:t>
      </w:r>
      <w:r w:rsidR="00F461F1" w:rsidRPr="00080317">
        <w:rPr>
          <w:rFonts w:ascii="Arial" w:hAnsi="Arial" w:cs="Arial"/>
        </w:rPr>
        <w:t xml:space="preserve">otify the patient’s physician and the </w:t>
      </w:r>
      <w:r w:rsidR="00F62E32" w:rsidRPr="00080317">
        <w:rPr>
          <w:rFonts w:ascii="Arial" w:hAnsi="Arial" w:cs="Arial"/>
        </w:rPr>
        <w:t>Transfusion Services Medical Director or designee</w:t>
      </w:r>
      <w:r w:rsidR="00F461F1" w:rsidRPr="00080317">
        <w:rPr>
          <w:rFonts w:ascii="Arial" w:hAnsi="Arial" w:cs="Arial"/>
        </w:rPr>
        <w:t xml:space="preserve"> immediately</w:t>
      </w:r>
    </w:p>
    <w:p w:rsidR="003D278B" w:rsidRPr="00D6497C" w:rsidRDefault="003D278B" w:rsidP="005C73EB">
      <w:pPr>
        <w:pStyle w:val="NormalWeb"/>
        <w:numPr>
          <w:ilvl w:val="2"/>
          <w:numId w:val="1"/>
        </w:numPr>
        <w:spacing w:before="0" w:beforeAutospacing="0" w:after="120" w:afterAutospacing="0"/>
        <w:rPr>
          <w:rFonts w:ascii="Arial" w:hAnsi="Arial" w:cs="Arial"/>
          <w:highlight w:val="yellow"/>
        </w:rPr>
      </w:pPr>
      <w:r w:rsidRPr="00D6497C">
        <w:rPr>
          <w:rFonts w:ascii="Arial" w:hAnsi="Arial" w:cs="Arial"/>
          <w:highlight w:val="yellow"/>
        </w:rPr>
        <w:t>If crossmatches are serologically incompatible but the physician wants to continue to transfuse, enter the results of the crossmatch as “Least Incompatible” in Meditech so the blood product is able to be documented in the TAR.</w:t>
      </w:r>
    </w:p>
    <w:p w:rsidR="009F6DFD" w:rsidRPr="00080317" w:rsidRDefault="00606929" w:rsidP="009F6DFD">
      <w:pPr>
        <w:pStyle w:val="NormalWeb"/>
        <w:numPr>
          <w:ilvl w:val="1"/>
          <w:numId w:val="1"/>
        </w:numPr>
        <w:spacing w:before="0" w:beforeAutospacing="0" w:after="120" w:afterAutospacing="0"/>
        <w:rPr>
          <w:rFonts w:ascii="Arial" w:hAnsi="Arial" w:cs="Arial"/>
        </w:rPr>
      </w:pPr>
      <w:r w:rsidRPr="00080317">
        <w:rPr>
          <w:rFonts w:ascii="Arial" w:hAnsi="Arial" w:cs="Arial"/>
        </w:rPr>
        <w:t>Document with an ORF</w:t>
      </w:r>
      <w:r w:rsidR="009F6DFD" w:rsidRPr="00080317">
        <w:rPr>
          <w:rFonts w:ascii="Arial" w:hAnsi="Arial" w:cs="Arial"/>
        </w:rPr>
        <w:t xml:space="preserve"> and Variance from Standard Operating Procedures (TRAN 8004 F)</w:t>
      </w:r>
    </w:p>
    <w:p w:rsidR="00F461F1" w:rsidRPr="00080317" w:rsidRDefault="00F461F1" w:rsidP="00F461F1">
      <w:pPr>
        <w:pStyle w:val="NormalWeb"/>
        <w:numPr>
          <w:ilvl w:val="0"/>
          <w:numId w:val="1"/>
        </w:numPr>
        <w:spacing w:before="0" w:beforeAutospacing="0" w:after="120" w:afterAutospacing="0"/>
        <w:rPr>
          <w:rFonts w:ascii="Arial" w:hAnsi="Arial" w:cs="Arial"/>
        </w:rPr>
      </w:pPr>
      <w:r w:rsidRPr="00080317">
        <w:rPr>
          <w:rFonts w:ascii="Arial" w:hAnsi="Arial" w:cs="Arial"/>
        </w:rPr>
        <w:t xml:space="preserve">Store documentation in the Emergency Release </w:t>
      </w:r>
      <w:r w:rsidR="001C2309" w:rsidRPr="00080317">
        <w:rPr>
          <w:rFonts w:ascii="Arial" w:hAnsi="Arial" w:cs="Arial"/>
        </w:rPr>
        <w:t xml:space="preserve">hanging wall </w:t>
      </w:r>
      <w:r w:rsidRPr="00080317">
        <w:rPr>
          <w:rFonts w:ascii="Arial" w:hAnsi="Arial" w:cs="Arial"/>
        </w:rPr>
        <w:t>folder for review</w:t>
      </w:r>
    </w:p>
    <w:p w:rsidR="00F461F1" w:rsidRPr="00080317" w:rsidRDefault="002E558D" w:rsidP="00F461F1">
      <w:pPr>
        <w:pStyle w:val="Header"/>
        <w:tabs>
          <w:tab w:val="clear" w:pos="4320"/>
          <w:tab w:val="clear" w:pos="8640"/>
        </w:tabs>
        <w:spacing w:after="120"/>
        <w:rPr>
          <w:b/>
          <w:color w:val="000000"/>
        </w:rPr>
      </w:pPr>
      <w:r w:rsidRPr="00080317">
        <w:rPr>
          <w:b/>
          <w:color w:val="000000"/>
        </w:rPr>
        <w:t>Notes for P</w:t>
      </w:r>
      <w:r w:rsidR="00F62DD8" w:rsidRPr="00080317">
        <w:rPr>
          <w:b/>
          <w:color w:val="000000"/>
        </w:rPr>
        <w:t xml:space="preserve">roblem </w:t>
      </w:r>
      <w:r w:rsidRPr="00080317">
        <w:rPr>
          <w:b/>
          <w:color w:val="000000"/>
        </w:rPr>
        <w:t>P</w:t>
      </w:r>
      <w:r w:rsidR="00F62DD8" w:rsidRPr="00080317">
        <w:rPr>
          <w:b/>
          <w:color w:val="000000"/>
        </w:rPr>
        <w:t>atients</w:t>
      </w:r>
    </w:p>
    <w:p w:rsidR="00F461F1" w:rsidRPr="00080317" w:rsidRDefault="005C73EB" w:rsidP="00F461F1">
      <w:pPr>
        <w:pStyle w:val="Header"/>
        <w:numPr>
          <w:ilvl w:val="0"/>
          <w:numId w:val="2"/>
        </w:numPr>
        <w:shd w:val="clear" w:color="auto" w:fill="FFFFFF"/>
        <w:tabs>
          <w:tab w:val="clear" w:pos="4320"/>
          <w:tab w:val="clear" w:pos="8640"/>
        </w:tabs>
        <w:spacing w:after="120"/>
        <w:rPr>
          <w:color w:val="000000"/>
        </w:rPr>
      </w:pPr>
      <w:r w:rsidRPr="00080317">
        <w:rPr>
          <w:color w:val="000000"/>
        </w:rPr>
        <w:t>When</w:t>
      </w:r>
      <w:r w:rsidR="00F461F1" w:rsidRPr="00080317">
        <w:rPr>
          <w:color w:val="000000"/>
        </w:rPr>
        <w:t xml:space="preserve"> the Emergency Release proce</w:t>
      </w:r>
      <w:r w:rsidR="00DA1EA8" w:rsidRPr="00080317">
        <w:rPr>
          <w:color w:val="000000"/>
        </w:rPr>
        <w:t>dure is required</w:t>
      </w:r>
      <w:r w:rsidR="00F461F1" w:rsidRPr="00080317">
        <w:rPr>
          <w:color w:val="000000"/>
        </w:rPr>
        <w:t xml:space="preserve"> for least incompatible crossmatches due to warm autoantibody</w:t>
      </w:r>
      <w:r w:rsidR="00F62DD8" w:rsidRPr="00080317">
        <w:rPr>
          <w:color w:val="000000"/>
        </w:rPr>
        <w:t xml:space="preserve">, </w:t>
      </w:r>
      <w:r w:rsidR="00F461F1" w:rsidRPr="00080317">
        <w:rPr>
          <w:color w:val="000000"/>
        </w:rPr>
        <w:t>atypical serological reactivity</w:t>
      </w:r>
      <w:r w:rsidR="00F62DD8" w:rsidRPr="00080317">
        <w:rPr>
          <w:color w:val="000000"/>
        </w:rPr>
        <w:t xml:space="preserve"> or incomplete antibody identification</w:t>
      </w:r>
    </w:p>
    <w:p w:rsidR="005C73EB" w:rsidRPr="00080317" w:rsidRDefault="005C73EB" w:rsidP="005C73EB">
      <w:pPr>
        <w:pStyle w:val="Header"/>
        <w:numPr>
          <w:ilvl w:val="1"/>
          <w:numId w:val="2"/>
        </w:numPr>
        <w:shd w:val="clear" w:color="auto" w:fill="FFFFFF"/>
        <w:tabs>
          <w:tab w:val="clear" w:pos="4320"/>
          <w:tab w:val="clear" w:pos="8640"/>
        </w:tabs>
        <w:spacing w:after="120"/>
        <w:rPr>
          <w:color w:val="000000"/>
        </w:rPr>
      </w:pPr>
      <w:r w:rsidRPr="00080317">
        <w:rPr>
          <w:color w:val="000000"/>
        </w:rPr>
        <w:t>Blood products selected should be as close as possible to a phenotypic match with the patient</w:t>
      </w:r>
    </w:p>
    <w:p w:rsidR="005C73EB" w:rsidRPr="00080317" w:rsidRDefault="00E0217A" w:rsidP="005C73EB">
      <w:pPr>
        <w:pStyle w:val="Header"/>
        <w:numPr>
          <w:ilvl w:val="1"/>
          <w:numId w:val="2"/>
        </w:numPr>
        <w:shd w:val="clear" w:color="auto" w:fill="FFFFFF"/>
        <w:tabs>
          <w:tab w:val="clear" w:pos="4320"/>
          <w:tab w:val="clear" w:pos="8640"/>
        </w:tabs>
        <w:spacing w:after="120"/>
        <w:rPr>
          <w:color w:val="000000"/>
        </w:rPr>
      </w:pPr>
      <w:r w:rsidRPr="00080317">
        <w:rPr>
          <w:color w:val="000000"/>
        </w:rPr>
        <w:t>There should be documentation in the patient</w:t>
      </w:r>
      <w:r w:rsidR="00DA1EA8" w:rsidRPr="00080317">
        <w:rPr>
          <w:color w:val="000000"/>
        </w:rPr>
        <w:t>’</w:t>
      </w:r>
      <w:r w:rsidRPr="00080317">
        <w:rPr>
          <w:color w:val="000000"/>
        </w:rPr>
        <w:t>s history or consultation that least incompatible crossmatches are acceptable for this patient</w:t>
      </w:r>
    </w:p>
    <w:p w:rsidR="009A4677" w:rsidRPr="00080317" w:rsidRDefault="009A4677" w:rsidP="00422E9F">
      <w:pPr>
        <w:pStyle w:val="Header"/>
        <w:numPr>
          <w:ilvl w:val="1"/>
          <w:numId w:val="2"/>
        </w:numPr>
        <w:shd w:val="clear" w:color="auto" w:fill="FFFFFF"/>
        <w:tabs>
          <w:tab w:val="clear" w:pos="4320"/>
          <w:tab w:val="clear" w:pos="8640"/>
        </w:tabs>
        <w:spacing w:after="120"/>
        <w:rPr>
          <w:color w:val="000000"/>
        </w:rPr>
      </w:pPr>
      <w:r w:rsidRPr="00080317">
        <w:rPr>
          <w:color w:val="000000"/>
        </w:rPr>
        <w:t>When blood is requested for release and there is no documentation in the patient’s history or consultation that least incompatible is a</w:t>
      </w:r>
      <w:r w:rsidR="00DA1EA8" w:rsidRPr="00080317">
        <w:rPr>
          <w:color w:val="000000"/>
        </w:rPr>
        <w:t>cceptable</w:t>
      </w:r>
    </w:p>
    <w:p w:rsidR="009A4677" w:rsidRPr="00080317" w:rsidRDefault="009A4677" w:rsidP="009A4677">
      <w:pPr>
        <w:pStyle w:val="Header"/>
        <w:numPr>
          <w:ilvl w:val="2"/>
          <w:numId w:val="2"/>
        </w:numPr>
        <w:shd w:val="clear" w:color="auto" w:fill="FFFFFF"/>
        <w:tabs>
          <w:tab w:val="clear" w:pos="4320"/>
          <w:tab w:val="clear" w:pos="8640"/>
        </w:tabs>
        <w:spacing w:after="120"/>
        <w:rPr>
          <w:color w:val="000000"/>
        </w:rPr>
      </w:pPr>
      <w:r w:rsidRPr="00080317">
        <w:rPr>
          <w:color w:val="000000"/>
        </w:rPr>
        <w:t xml:space="preserve">In non-emergent transfusion scenarios, samples may be submitted to the </w:t>
      </w:r>
      <w:proofErr w:type="spellStart"/>
      <w:r w:rsidRPr="00080317">
        <w:rPr>
          <w:color w:val="000000"/>
        </w:rPr>
        <w:t>immunohematology</w:t>
      </w:r>
      <w:proofErr w:type="spellEnd"/>
      <w:r w:rsidRPr="00080317">
        <w:rPr>
          <w:color w:val="000000"/>
        </w:rPr>
        <w:t xml:space="preserve"> reference laboratory for study</w:t>
      </w:r>
    </w:p>
    <w:p w:rsidR="009A4677" w:rsidRPr="00080317" w:rsidRDefault="009A4677" w:rsidP="007D79C8">
      <w:pPr>
        <w:pStyle w:val="Header"/>
        <w:numPr>
          <w:ilvl w:val="3"/>
          <w:numId w:val="2"/>
        </w:numPr>
        <w:shd w:val="clear" w:color="auto" w:fill="FFFFFF"/>
        <w:tabs>
          <w:tab w:val="clear" w:pos="4320"/>
          <w:tab w:val="clear" w:pos="8640"/>
        </w:tabs>
        <w:rPr>
          <w:color w:val="000000"/>
        </w:rPr>
      </w:pPr>
      <w:r w:rsidRPr="00080317">
        <w:rPr>
          <w:color w:val="000000"/>
        </w:rPr>
        <w:t xml:space="preserve">Notify the patient’s physician that crossmatch compatible blood is unavailable and </w:t>
      </w:r>
      <w:r w:rsidR="00DA1EA8" w:rsidRPr="00080317">
        <w:rPr>
          <w:color w:val="000000"/>
        </w:rPr>
        <w:t>that there will be a delay while samples are submitted for reference testing</w:t>
      </w:r>
    </w:p>
    <w:p w:rsidR="009A4677" w:rsidRPr="00080317" w:rsidRDefault="009A4677" w:rsidP="009A4677">
      <w:pPr>
        <w:pStyle w:val="Header"/>
        <w:numPr>
          <w:ilvl w:val="3"/>
          <w:numId w:val="2"/>
        </w:numPr>
        <w:shd w:val="clear" w:color="auto" w:fill="FFFFFF"/>
        <w:tabs>
          <w:tab w:val="clear" w:pos="4320"/>
          <w:tab w:val="clear" w:pos="8640"/>
        </w:tabs>
        <w:spacing w:after="120"/>
        <w:rPr>
          <w:color w:val="000000"/>
        </w:rPr>
      </w:pPr>
      <w:r w:rsidRPr="00080317">
        <w:rPr>
          <w:color w:val="000000"/>
        </w:rPr>
        <w:t>Document with an ORF</w:t>
      </w:r>
    </w:p>
    <w:p w:rsidR="009A4677" w:rsidRPr="00080317" w:rsidRDefault="009A4677" w:rsidP="009A4677">
      <w:pPr>
        <w:pStyle w:val="Header"/>
        <w:numPr>
          <w:ilvl w:val="2"/>
          <w:numId w:val="2"/>
        </w:numPr>
        <w:shd w:val="clear" w:color="auto" w:fill="FFFFFF"/>
        <w:tabs>
          <w:tab w:val="clear" w:pos="4320"/>
          <w:tab w:val="clear" w:pos="8640"/>
        </w:tabs>
        <w:spacing w:after="120"/>
        <w:rPr>
          <w:color w:val="000000"/>
        </w:rPr>
      </w:pPr>
      <w:r w:rsidRPr="00080317">
        <w:rPr>
          <w:color w:val="000000"/>
        </w:rPr>
        <w:t>In emergent transfusion scenarios, the blood can be released</w:t>
      </w:r>
    </w:p>
    <w:p w:rsidR="009A4677" w:rsidRDefault="009A4677" w:rsidP="007D79C8">
      <w:pPr>
        <w:pStyle w:val="Header"/>
        <w:numPr>
          <w:ilvl w:val="3"/>
          <w:numId w:val="2"/>
        </w:numPr>
        <w:shd w:val="clear" w:color="auto" w:fill="FFFFFF"/>
        <w:tabs>
          <w:tab w:val="clear" w:pos="4320"/>
          <w:tab w:val="clear" w:pos="8640"/>
        </w:tabs>
        <w:rPr>
          <w:color w:val="000000"/>
        </w:rPr>
      </w:pPr>
      <w:r w:rsidRPr="00080317">
        <w:rPr>
          <w:color w:val="000000"/>
        </w:rPr>
        <w:t xml:space="preserve">Notify the patient’s physician </w:t>
      </w:r>
      <w:r w:rsidR="00CD604D" w:rsidRPr="00080317">
        <w:t xml:space="preserve">(or responsible caregiver such as RN, PA, etc., if unable to reach physician) </w:t>
      </w:r>
      <w:r w:rsidRPr="00080317">
        <w:rPr>
          <w:color w:val="000000"/>
        </w:rPr>
        <w:t>that the blood products will not be crossmatch compatible</w:t>
      </w:r>
    </w:p>
    <w:p w:rsidR="009A4677" w:rsidRPr="00080317" w:rsidRDefault="009A4677" w:rsidP="009A4677">
      <w:pPr>
        <w:pStyle w:val="Header"/>
        <w:numPr>
          <w:ilvl w:val="3"/>
          <w:numId w:val="2"/>
        </w:numPr>
        <w:shd w:val="clear" w:color="auto" w:fill="FFFFFF"/>
        <w:tabs>
          <w:tab w:val="clear" w:pos="4320"/>
          <w:tab w:val="clear" w:pos="8640"/>
        </w:tabs>
        <w:spacing w:after="120"/>
        <w:rPr>
          <w:color w:val="000000"/>
        </w:rPr>
      </w:pPr>
      <w:r w:rsidRPr="00080317">
        <w:rPr>
          <w:color w:val="000000"/>
        </w:rPr>
        <w:t>Document</w:t>
      </w:r>
      <w:r w:rsidR="00A360B5" w:rsidRPr="00080317">
        <w:rPr>
          <w:color w:val="000000"/>
        </w:rPr>
        <w:t xml:space="preserve"> circumstances</w:t>
      </w:r>
      <w:r w:rsidRPr="00080317">
        <w:rPr>
          <w:color w:val="000000"/>
        </w:rPr>
        <w:t xml:space="preserve"> with a</w:t>
      </w:r>
      <w:r w:rsidR="00A360B5" w:rsidRPr="00080317">
        <w:rPr>
          <w:color w:val="000000"/>
        </w:rPr>
        <w:t>n ORF and a</w:t>
      </w:r>
      <w:r w:rsidRPr="00080317">
        <w:rPr>
          <w:color w:val="000000"/>
        </w:rPr>
        <w:t xml:space="preserve"> Variance from Standard Operating Procedures (TRAN 8004 F)</w:t>
      </w:r>
    </w:p>
    <w:p w:rsidR="008D273B" w:rsidRPr="00080317" w:rsidRDefault="008D273B" w:rsidP="008D273B">
      <w:pPr>
        <w:pStyle w:val="Header"/>
        <w:numPr>
          <w:ilvl w:val="1"/>
          <w:numId w:val="2"/>
        </w:numPr>
        <w:shd w:val="clear" w:color="auto" w:fill="FFFFFF"/>
        <w:tabs>
          <w:tab w:val="clear" w:pos="4320"/>
          <w:tab w:val="clear" w:pos="8640"/>
        </w:tabs>
        <w:spacing w:after="120"/>
        <w:rPr>
          <w:color w:val="000000"/>
        </w:rPr>
      </w:pPr>
      <w:r w:rsidRPr="00080317">
        <w:rPr>
          <w:color w:val="000000"/>
        </w:rPr>
        <w:t>All communications should be documented appropriately</w:t>
      </w:r>
    </w:p>
    <w:p w:rsidR="006222DF" w:rsidRPr="00080317" w:rsidRDefault="00F62DD8" w:rsidP="006222DF">
      <w:pPr>
        <w:pStyle w:val="Header"/>
        <w:numPr>
          <w:ilvl w:val="0"/>
          <w:numId w:val="2"/>
        </w:numPr>
        <w:shd w:val="clear" w:color="auto" w:fill="FFFFFF"/>
        <w:tabs>
          <w:tab w:val="clear" w:pos="4320"/>
          <w:tab w:val="clear" w:pos="8640"/>
        </w:tabs>
        <w:spacing w:after="120"/>
      </w:pPr>
      <w:r w:rsidRPr="00080317">
        <w:rPr>
          <w:color w:val="000000"/>
        </w:rPr>
        <w:t>Except in emergent transfusion scenarios, the “Emergency Release of Blood” form should be signed by the requesting physician prior to the release of the blood product(s)</w:t>
      </w:r>
    </w:p>
    <w:p w:rsidR="0020653E" w:rsidRPr="00080317" w:rsidRDefault="006222DF" w:rsidP="006222DF">
      <w:pPr>
        <w:pStyle w:val="Header"/>
        <w:numPr>
          <w:ilvl w:val="0"/>
          <w:numId w:val="2"/>
        </w:numPr>
        <w:shd w:val="clear" w:color="auto" w:fill="FFFFFF"/>
        <w:tabs>
          <w:tab w:val="clear" w:pos="4320"/>
          <w:tab w:val="clear" w:pos="8640"/>
        </w:tabs>
        <w:spacing w:after="120"/>
      </w:pPr>
      <w:r w:rsidRPr="00080317">
        <w:rPr>
          <w:color w:val="000000"/>
        </w:rPr>
        <w:t>Ensure that a signed copy of the “Emergency Release of Blood” form makes it to the patient’s chart</w:t>
      </w:r>
    </w:p>
    <w:p w:rsidR="00DF218F" w:rsidRPr="00080317" w:rsidRDefault="00A360B5" w:rsidP="006222DF">
      <w:pPr>
        <w:pStyle w:val="Header"/>
        <w:numPr>
          <w:ilvl w:val="0"/>
          <w:numId w:val="2"/>
        </w:numPr>
        <w:shd w:val="clear" w:color="auto" w:fill="FFFFFF"/>
        <w:tabs>
          <w:tab w:val="clear" w:pos="4320"/>
          <w:tab w:val="clear" w:pos="8640"/>
        </w:tabs>
        <w:spacing w:after="120"/>
      </w:pPr>
      <w:r w:rsidRPr="00080317">
        <w:rPr>
          <w:color w:val="000000"/>
        </w:rPr>
        <w:t xml:space="preserve">Document with </w:t>
      </w:r>
      <w:r w:rsidR="00DF218F" w:rsidRPr="00080317">
        <w:rPr>
          <w:color w:val="000000"/>
        </w:rPr>
        <w:t>Variance from Standard Operating Procedures</w:t>
      </w:r>
      <w:r w:rsidRPr="00080317">
        <w:rPr>
          <w:color w:val="000000"/>
        </w:rPr>
        <w:t xml:space="preserve"> (TRAN 8004 F)</w:t>
      </w:r>
    </w:p>
    <w:sectPr w:rsidR="00DF218F" w:rsidRPr="00080317" w:rsidSect="0015731C">
      <w:headerReference w:type="default" r:id="rId8"/>
      <w:footerReference w:type="default" r:id="rId9"/>
      <w:pgSz w:w="12240" w:h="15840" w:code="1"/>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22F" w:rsidRDefault="00D1622F" w:rsidP="00F461F1">
      <w:r>
        <w:separator/>
      </w:r>
    </w:p>
  </w:endnote>
  <w:endnote w:type="continuationSeparator" w:id="0">
    <w:p w:rsidR="00D1622F" w:rsidRDefault="00D1622F" w:rsidP="00F4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2F" w:rsidRDefault="00D1622F" w:rsidP="0015731C">
    <w:pPr>
      <w:pStyle w:val="Footer"/>
      <w:jc w:val="center"/>
      <w:rPr>
        <w:b/>
        <w:bCs/>
        <w:sz w:val="20"/>
      </w:rPr>
    </w:pPr>
    <w:smartTag w:uri="urn:schemas-microsoft-com:office:smarttags" w:element="place">
      <w:smartTag w:uri="urn:schemas:contacts" w:element="Sn">
        <w:r>
          <w:rPr>
            <w:b/>
            <w:bCs/>
            <w:sz w:val="20"/>
          </w:rPr>
          <w:t>Saint</w:t>
        </w:r>
      </w:smartTag>
      <w:r w:rsidRPr="00FF454D">
        <w:rPr>
          <w:b/>
          <w:bCs/>
          <w:sz w:val="20"/>
        </w:rPr>
        <w:t xml:space="preserve"> </w:t>
      </w:r>
      <w:smartTag w:uri="urn:schemas:contacts" w:element="middlename">
        <w:r w:rsidRPr="00FF454D">
          <w:rPr>
            <w:b/>
            <w:bCs/>
            <w:sz w:val="20"/>
          </w:rPr>
          <w:t>Agnes</w:t>
        </w:r>
      </w:smartTag>
      <w:r w:rsidRPr="00FF454D">
        <w:rPr>
          <w:b/>
          <w:bCs/>
          <w:sz w:val="20"/>
        </w:rPr>
        <w:t xml:space="preserve"> </w:t>
      </w:r>
      <w:smartTag w:uri="urn:schemas:contacts" w:element="Sn">
        <w:r w:rsidRPr="00FF454D">
          <w:rPr>
            <w:b/>
            <w:bCs/>
            <w:sz w:val="20"/>
          </w:rPr>
          <w:t>Hospital</w:t>
        </w:r>
      </w:smartTag>
    </w:smartTag>
    <w:r w:rsidRPr="00FF454D">
      <w:rPr>
        <w:b/>
        <w:bCs/>
        <w:sz w:val="20"/>
      </w:rPr>
      <w:t xml:space="preserve">, </w:t>
    </w:r>
    <w:smartTag w:uri="urn:schemas-microsoft-com:office:smarttags" w:element="address">
      <w:smartTag w:uri="urn:schemas-microsoft-com:office:smarttags" w:element="Street">
        <w:r w:rsidRPr="00FF454D">
          <w:rPr>
            <w:b/>
            <w:bCs/>
            <w:sz w:val="20"/>
          </w:rPr>
          <w:t>900 S. Caton Avenue</w:t>
        </w:r>
      </w:smartTag>
      <w:r w:rsidRPr="00FF454D">
        <w:rPr>
          <w:b/>
          <w:bCs/>
          <w:sz w:val="20"/>
        </w:rPr>
        <w:t xml:space="preserve">, </w:t>
      </w:r>
      <w:smartTag w:uri="urn:schemas-microsoft-com:office:smarttags" w:element="City">
        <w:r w:rsidRPr="00FF454D">
          <w:rPr>
            <w:b/>
            <w:bCs/>
            <w:sz w:val="20"/>
          </w:rPr>
          <w:t>Baltimore</w:t>
        </w:r>
      </w:smartTag>
      <w:r w:rsidRPr="00FF454D">
        <w:rPr>
          <w:b/>
          <w:bCs/>
          <w:sz w:val="20"/>
        </w:rPr>
        <w:t xml:space="preserve">, </w:t>
      </w:r>
      <w:smartTag w:uri="urn:schemas-microsoft-com:office:smarttags" w:element="State">
        <w:r w:rsidRPr="00FF454D">
          <w:rPr>
            <w:b/>
            <w:bCs/>
            <w:sz w:val="20"/>
          </w:rPr>
          <w:t>MD</w:t>
        </w:r>
      </w:smartTag>
      <w:r w:rsidRPr="00FF454D">
        <w:rPr>
          <w:b/>
          <w:bCs/>
          <w:sz w:val="20"/>
        </w:rPr>
        <w:t xml:space="preserve"> </w:t>
      </w:r>
      <w:smartTag w:uri="urn:schemas-microsoft-com:office:smarttags" w:element="PostalCode">
        <w:r w:rsidRPr="00FF454D">
          <w:rPr>
            <w:b/>
            <w:bCs/>
            <w:sz w:val="20"/>
          </w:rPr>
          <w:t>21229</w:t>
        </w:r>
      </w:smartTag>
    </w:smartTag>
  </w:p>
  <w:p w:rsidR="00D1622F" w:rsidRPr="00FF454D" w:rsidRDefault="00D1622F" w:rsidP="0015731C">
    <w:pPr>
      <w:pStyle w:val="Footer"/>
      <w:jc w:val="center"/>
      <w:rPr>
        <w:b/>
        <w:bCs/>
        <w:sz w:val="20"/>
      </w:rPr>
    </w:pPr>
  </w:p>
  <w:p w:rsidR="00D1622F" w:rsidRDefault="00527AC7" w:rsidP="00250455">
    <w:pPr>
      <w:pStyle w:val="Footer"/>
      <w:jc w:val="center"/>
      <w:rPr>
        <w:rFonts w:ascii="Times New Roman" w:hAnsi="Times New Roman" w:cs="Times New Roman"/>
        <w:b/>
        <w:bCs/>
        <w:sz w:val="20"/>
      </w:rPr>
    </w:pPr>
    <w:r w:rsidRPr="00FF454D">
      <w:rPr>
        <w:b/>
        <w:bCs/>
        <w:sz w:val="20"/>
      </w:rPr>
      <w:fldChar w:fldCharType="begin"/>
    </w:r>
    <w:r w:rsidR="00D1622F" w:rsidRPr="00FF454D">
      <w:rPr>
        <w:b/>
        <w:bCs/>
        <w:sz w:val="20"/>
      </w:rPr>
      <w:instrText xml:space="preserve"> FILENAME \p </w:instrText>
    </w:r>
    <w:r w:rsidRPr="00FF454D">
      <w:rPr>
        <w:b/>
        <w:bCs/>
        <w:sz w:val="20"/>
      </w:rPr>
      <w:fldChar w:fldCharType="separate"/>
    </w:r>
    <w:r w:rsidR="004278E3">
      <w:rPr>
        <w:b/>
        <w:bCs/>
        <w:noProof/>
        <w:sz w:val="20"/>
      </w:rPr>
      <w:t>P:\labadmin\Quality Management\TRAN\TRAN QSE 6-Process Control\TRAN 6008 R Emergency Release Procedure v5.docx</w:t>
    </w:r>
    <w:r w:rsidRPr="00FF454D">
      <w:rP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22F" w:rsidRDefault="00D1622F" w:rsidP="00F461F1">
      <w:r>
        <w:separator/>
      </w:r>
    </w:p>
  </w:footnote>
  <w:footnote w:type="continuationSeparator" w:id="0">
    <w:p w:rsidR="00D1622F" w:rsidRDefault="00D1622F" w:rsidP="00F46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983"/>
      <w:gridCol w:w="4983"/>
    </w:tblGrid>
    <w:tr w:rsidR="00D1622F">
      <w:trPr>
        <w:trHeight w:hRule="exact" w:val="781"/>
      </w:trPr>
      <w:tc>
        <w:tcPr>
          <w:tcW w:w="4983" w:type="dxa"/>
          <w:vAlign w:val="center"/>
        </w:tcPr>
        <w:p w:rsidR="00D1622F" w:rsidRDefault="00D1622F" w:rsidP="00FE2A0C">
          <w:pPr>
            <w:pStyle w:val="Header"/>
            <w:tabs>
              <w:tab w:val="clear" w:pos="8640"/>
            </w:tabs>
            <w:spacing w:before="120"/>
            <w:rPr>
              <w:b/>
              <w:bCs/>
            </w:rPr>
          </w:pPr>
          <w:r>
            <w:rPr>
              <w:b/>
              <w:bCs/>
            </w:rPr>
            <w:t xml:space="preserve">Blood Bank Manual </w:t>
          </w:r>
        </w:p>
        <w:p w:rsidR="00D1622F" w:rsidRDefault="00D1622F" w:rsidP="0015731C">
          <w:pPr>
            <w:pStyle w:val="Header"/>
            <w:spacing w:after="120"/>
            <w:rPr>
              <w:b/>
              <w:bCs/>
            </w:rPr>
          </w:pPr>
          <w:r>
            <w:rPr>
              <w:b/>
              <w:bCs/>
            </w:rPr>
            <w:t>Department of Pathology</w:t>
          </w:r>
        </w:p>
      </w:tc>
      <w:tc>
        <w:tcPr>
          <w:tcW w:w="4983" w:type="dxa"/>
          <w:vAlign w:val="center"/>
        </w:tcPr>
        <w:p w:rsidR="00D1622F" w:rsidRDefault="00D1622F" w:rsidP="0015731C">
          <w:pPr>
            <w:pStyle w:val="Header"/>
            <w:spacing w:before="120"/>
            <w:rPr>
              <w:b/>
              <w:bCs/>
              <w:lang w:val="fr-FR"/>
            </w:rPr>
          </w:pPr>
          <w:r>
            <w:rPr>
              <w:b/>
              <w:bCs/>
              <w:lang w:val="fr-FR"/>
            </w:rPr>
            <w:t>Document No. TRAN 6008 R</w:t>
          </w:r>
        </w:p>
        <w:p w:rsidR="00D1622F" w:rsidRDefault="00D1622F" w:rsidP="0015731C">
          <w:pPr>
            <w:pStyle w:val="Header"/>
            <w:spacing w:after="120"/>
            <w:rPr>
              <w:b/>
              <w:bCs/>
            </w:rPr>
          </w:pPr>
          <w:r>
            <w:rPr>
              <w:b/>
              <w:bCs/>
              <w:lang w:val="fr-FR"/>
            </w:rPr>
            <w:t xml:space="preserve">Page </w:t>
          </w:r>
          <w:r w:rsidR="00527AC7">
            <w:rPr>
              <w:b/>
              <w:bCs/>
            </w:rPr>
            <w:fldChar w:fldCharType="begin"/>
          </w:r>
          <w:r>
            <w:rPr>
              <w:b/>
              <w:bCs/>
            </w:rPr>
            <w:instrText xml:space="preserve"> PAGE </w:instrText>
          </w:r>
          <w:r w:rsidR="00527AC7">
            <w:rPr>
              <w:b/>
              <w:bCs/>
            </w:rPr>
            <w:fldChar w:fldCharType="separate"/>
          </w:r>
          <w:r w:rsidR="00D6497C">
            <w:rPr>
              <w:b/>
              <w:bCs/>
              <w:noProof/>
            </w:rPr>
            <w:t>1</w:t>
          </w:r>
          <w:r w:rsidR="00527AC7">
            <w:rPr>
              <w:b/>
              <w:bCs/>
            </w:rPr>
            <w:fldChar w:fldCharType="end"/>
          </w:r>
          <w:r>
            <w:rPr>
              <w:b/>
              <w:bCs/>
            </w:rPr>
            <w:t xml:space="preserve"> of </w:t>
          </w:r>
          <w:r w:rsidR="00527AC7">
            <w:rPr>
              <w:b/>
              <w:bCs/>
            </w:rPr>
            <w:fldChar w:fldCharType="begin"/>
          </w:r>
          <w:r>
            <w:rPr>
              <w:b/>
              <w:bCs/>
            </w:rPr>
            <w:instrText xml:space="preserve"> NUMPAGES </w:instrText>
          </w:r>
          <w:r w:rsidR="00527AC7">
            <w:rPr>
              <w:b/>
              <w:bCs/>
            </w:rPr>
            <w:fldChar w:fldCharType="separate"/>
          </w:r>
          <w:r w:rsidR="00D6497C">
            <w:rPr>
              <w:b/>
              <w:bCs/>
              <w:noProof/>
            </w:rPr>
            <w:t>5</w:t>
          </w:r>
          <w:r w:rsidR="00527AC7">
            <w:rPr>
              <w:b/>
              <w:bCs/>
            </w:rPr>
            <w:fldChar w:fldCharType="end"/>
          </w:r>
        </w:p>
      </w:tc>
    </w:tr>
    <w:tr w:rsidR="00D1622F">
      <w:trPr>
        <w:trHeight w:val="735"/>
      </w:trPr>
      <w:tc>
        <w:tcPr>
          <w:tcW w:w="4983" w:type="dxa"/>
        </w:tcPr>
        <w:p w:rsidR="00D1622F" w:rsidRDefault="00D1622F" w:rsidP="0015731C">
          <w:pPr>
            <w:pStyle w:val="Header"/>
            <w:spacing w:before="120"/>
            <w:rPr>
              <w:b/>
              <w:bCs/>
            </w:rPr>
          </w:pPr>
          <w:r>
            <w:rPr>
              <w:b/>
              <w:bCs/>
            </w:rPr>
            <w:t>Transfusion Services</w:t>
          </w:r>
        </w:p>
        <w:p w:rsidR="00D1622F" w:rsidRDefault="00D1622F" w:rsidP="0015731C">
          <w:pPr>
            <w:pStyle w:val="Header"/>
            <w:spacing w:after="120"/>
            <w:rPr>
              <w:b/>
              <w:bCs/>
            </w:rPr>
          </w:pPr>
          <w:r>
            <w:rPr>
              <w:b/>
              <w:bCs/>
            </w:rPr>
            <w:t>Emergency Release Procedure</w:t>
          </w:r>
        </w:p>
      </w:tc>
      <w:tc>
        <w:tcPr>
          <w:tcW w:w="4983" w:type="dxa"/>
        </w:tcPr>
        <w:p w:rsidR="00D1622F" w:rsidRDefault="00D1622F" w:rsidP="0015731C">
          <w:pPr>
            <w:pStyle w:val="Header"/>
            <w:spacing w:before="120"/>
            <w:ind w:left="2419" w:hanging="2419"/>
            <w:rPr>
              <w:b/>
              <w:bCs/>
            </w:rPr>
          </w:pPr>
          <w:r>
            <w:rPr>
              <w:b/>
              <w:bCs/>
            </w:rPr>
            <w:t>Origination: 09/2006</w:t>
          </w:r>
        </w:p>
        <w:p w:rsidR="00D1622F" w:rsidRDefault="00AC6E5F" w:rsidP="00FE2A0C">
          <w:pPr>
            <w:pStyle w:val="Header"/>
            <w:spacing w:after="120"/>
            <w:ind w:left="2217"/>
            <w:rPr>
              <w:b/>
              <w:bCs/>
            </w:rPr>
          </w:pPr>
          <w:r>
            <w:rPr>
              <w:b/>
              <w:bCs/>
            </w:rPr>
            <w:t>Version: 5</w:t>
          </w:r>
        </w:p>
      </w:tc>
    </w:tr>
  </w:tbl>
  <w:p w:rsidR="00D1622F" w:rsidRDefault="00D162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6546A"/>
    <w:multiLevelType w:val="hybridMultilevel"/>
    <w:tmpl w:val="4508B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8C4963"/>
    <w:multiLevelType w:val="hybridMultilevel"/>
    <w:tmpl w:val="18C80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1A3B18"/>
    <w:rsid w:val="00080317"/>
    <w:rsid w:val="000B0D60"/>
    <w:rsid w:val="0015731C"/>
    <w:rsid w:val="001A3B18"/>
    <w:rsid w:val="001C2309"/>
    <w:rsid w:val="001E3B92"/>
    <w:rsid w:val="0020653E"/>
    <w:rsid w:val="00250455"/>
    <w:rsid w:val="00294C70"/>
    <w:rsid w:val="002B5583"/>
    <w:rsid w:val="002E39A9"/>
    <w:rsid w:val="002E558D"/>
    <w:rsid w:val="003023F5"/>
    <w:rsid w:val="0032632E"/>
    <w:rsid w:val="003733B5"/>
    <w:rsid w:val="003B51BC"/>
    <w:rsid w:val="003D278B"/>
    <w:rsid w:val="003D3F2B"/>
    <w:rsid w:val="003F1340"/>
    <w:rsid w:val="00422E9F"/>
    <w:rsid w:val="004278E3"/>
    <w:rsid w:val="004557D6"/>
    <w:rsid w:val="00461B58"/>
    <w:rsid w:val="00497C12"/>
    <w:rsid w:val="004B7324"/>
    <w:rsid w:val="00512201"/>
    <w:rsid w:val="0051340E"/>
    <w:rsid w:val="00527AC7"/>
    <w:rsid w:val="00567465"/>
    <w:rsid w:val="00591DC9"/>
    <w:rsid w:val="005C0C5F"/>
    <w:rsid w:val="005C73EB"/>
    <w:rsid w:val="005D4968"/>
    <w:rsid w:val="00601FAD"/>
    <w:rsid w:val="00606929"/>
    <w:rsid w:val="006222DF"/>
    <w:rsid w:val="00643889"/>
    <w:rsid w:val="006F6128"/>
    <w:rsid w:val="006F6D2A"/>
    <w:rsid w:val="00721B6A"/>
    <w:rsid w:val="00725B74"/>
    <w:rsid w:val="00734940"/>
    <w:rsid w:val="00743243"/>
    <w:rsid w:val="0078590B"/>
    <w:rsid w:val="007C2626"/>
    <w:rsid w:val="007D5046"/>
    <w:rsid w:val="007D79C8"/>
    <w:rsid w:val="007F3EE4"/>
    <w:rsid w:val="008000C7"/>
    <w:rsid w:val="00812E54"/>
    <w:rsid w:val="00891BA2"/>
    <w:rsid w:val="00897E54"/>
    <w:rsid w:val="008D273B"/>
    <w:rsid w:val="00902DBD"/>
    <w:rsid w:val="009A1C65"/>
    <w:rsid w:val="009A4677"/>
    <w:rsid w:val="009F6DFD"/>
    <w:rsid w:val="00A360B5"/>
    <w:rsid w:val="00A46619"/>
    <w:rsid w:val="00A62845"/>
    <w:rsid w:val="00A668E4"/>
    <w:rsid w:val="00A66ED0"/>
    <w:rsid w:val="00AA4853"/>
    <w:rsid w:val="00AC6E5F"/>
    <w:rsid w:val="00AD4DFF"/>
    <w:rsid w:val="00AD7F25"/>
    <w:rsid w:val="00AE779D"/>
    <w:rsid w:val="00B64931"/>
    <w:rsid w:val="00BD7E2E"/>
    <w:rsid w:val="00BE10A9"/>
    <w:rsid w:val="00BE24A5"/>
    <w:rsid w:val="00BF4276"/>
    <w:rsid w:val="00C0616E"/>
    <w:rsid w:val="00C10DBC"/>
    <w:rsid w:val="00C26594"/>
    <w:rsid w:val="00CB384B"/>
    <w:rsid w:val="00CD604D"/>
    <w:rsid w:val="00CF21BC"/>
    <w:rsid w:val="00D1622F"/>
    <w:rsid w:val="00D17563"/>
    <w:rsid w:val="00D17D86"/>
    <w:rsid w:val="00D23262"/>
    <w:rsid w:val="00D27B1C"/>
    <w:rsid w:val="00D6497C"/>
    <w:rsid w:val="00D7465B"/>
    <w:rsid w:val="00D86587"/>
    <w:rsid w:val="00DA1EA8"/>
    <w:rsid w:val="00DA2924"/>
    <w:rsid w:val="00DF218F"/>
    <w:rsid w:val="00E0217A"/>
    <w:rsid w:val="00E82CDE"/>
    <w:rsid w:val="00E901FD"/>
    <w:rsid w:val="00EA4748"/>
    <w:rsid w:val="00EC7E6B"/>
    <w:rsid w:val="00F13389"/>
    <w:rsid w:val="00F14F39"/>
    <w:rsid w:val="00F45F7D"/>
    <w:rsid w:val="00F461F1"/>
    <w:rsid w:val="00F62DD8"/>
    <w:rsid w:val="00F62E32"/>
    <w:rsid w:val="00F75A74"/>
    <w:rsid w:val="00F927E7"/>
    <w:rsid w:val="00FC5636"/>
    <w:rsid w:val="00FE2A0C"/>
    <w:rsid w:val="00FF1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contacts" w:name="middlename"/>
  <w:smartTagType w:namespaceuri="urn:schemas:contacts" w:name="Sn"/>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F1"/>
    <w:pPr>
      <w:spacing w:after="0" w:line="240" w:lineRule="auto"/>
    </w:pPr>
    <w:rPr>
      <w:rFonts w:ascii="Arial" w:eastAsia="Times New Roman" w:hAnsi="Arial" w:cs="Arial"/>
      <w:sz w:val="24"/>
      <w:szCs w:val="20"/>
    </w:rPr>
  </w:style>
  <w:style w:type="paragraph" w:styleId="Heading2">
    <w:name w:val="heading 2"/>
    <w:basedOn w:val="Normal"/>
    <w:next w:val="Normal"/>
    <w:link w:val="Heading2Char"/>
    <w:qFormat/>
    <w:rsid w:val="00F46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61F1"/>
    <w:rPr>
      <w:rFonts w:ascii="Arial" w:eastAsia="Times New Roman" w:hAnsi="Arial" w:cs="Arial"/>
      <w:b/>
      <w:sz w:val="24"/>
      <w:szCs w:val="20"/>
    </w:rPr>
  </w:style>
  <w:style w:type="paragraph" w:styleId="Header">
    <w:name w:val="header"/>
    <w:basedOn w:val="Normal"/>
    <w:link w:val="HeaderChar"/>
    <w:rsid w:val="00F461F1"/>
    <w:pPr>
      <w:tabs>
        <w:tab w:val="center" w:pos="4320"/>
        <w:tab w:val="right" w:pos="8640"/>
      </w:tabs>
    </w:pPr>
  </w:style>
  <w:style w:type="character" w:customStyle="1" w:styleId="HeaderChar">
    <w:name w:val="Header Char"/>
    <w:basedOn w:val="DefaultParagraphFont"/>
    <w:link w:val="Header"/>
    <w:rsid w:val="00F461F1"/>
    <w:rPr>
      <w:rFonts w:ascii="Arial" w:eastAsia="Times New Roman" w:hAnsi="Arial" w:cs="Arial"/>
      <w:sz w:val="24"/>
      <w:szCs w:val="20"/>
    </w:rPr>
  </w:style>
  <w:style w:type="paragraph" w:styleId="Footer">
    <w:name w:val="footer"/>
    <w:basedOn w:val="Normal"/>
    <w:link w:val="FooterChar"/>
    <w:rsid w:val="00F461F1"/>
    <w:pPr>
      <w:tabs>
        <w:tab w:val="center" w:pos="4320"/>
        <w:tab w:val="right" w:pos="8640"/>
      </w:tabs>
    </w:pPr>
  </w:style>
  <w:style w:type="character" w:customStyle="1" w:styleId="FooterChar">
    <w:name w:val="Footer Char"/>
    <w:basedOn w:val="DefaultParagraphFont"/>
    <w:link w:val="Footer"/>
    <w:rsid w:val="00F461F1"/>
    <w:rPr>
      <w:rFonts w:ascii="Arial" w:eastAsia="Times New Roman" w:hAnsi="Arial" w:cs="Arial"/>
      <w:sz w:val="24"/>
      <w:szCs w:val="20"/>
    </w:rPr>
  </w:style>
  <w:style w:type="paragraph" w:styleId="NormalWeb">
    <w:name w:val="Normal (Web)"/>
    <w:basedOn w:val="Normal"/>
    <w:rsid w:val="00F461F1"/>
    <w:pPr>
      <w:spacing w:before="100" w:beforeAutospacing="1" w:after="100" w:afterAutospacing="1"/>
    </w:pPr>
    <w:rPr>
      <w:rFonts w:ascii="Arial Unicode MS" w:eastAsia="Arial Unicode MS" w:hAnsi="Arial Unicode MS" w:cs="Arial Unicode MS"/>
      <w:color w:val="000000"/>
      <w:szCs w:val="24"/>
    </w:rPr>
  </w:style>
  <w:style w:type="character" w:styleId="CommentReference">
    <w:name w:val="annotation reference"/>
    <w:basedOn w:val="DefaultParagraphFont"/>
    <w:uiPriority w:val="99"/>
    <w:semiHidden/>
    <w:unhideWhenUsed/>
    <w:rsid w:val="00F13389"/>
    <w:rPr>
      <w:sz w:val="16"/>
      <w:szCs w:val="16"/>
    </w:rPr>
  </w:style>
  <w:style w:type="paragraph" w:styleId="CommentText">
    <w:name w:val="annotation text"/>
    <w:basedOn w:val="Normal"/>
    <w:link w:val="CommentTextChar"/>
    <w:uiPriority w:val="99"/>
    <w:semiHidden/>
    <w:unhideWhenUsed/>
    <w:rsid w:val="00F13389"/>
    <w:rPr>
      <w:sz w:val="20"/>
    </w:rPr>
  </w:style>
  <w:style w:type="character" w:customStyle="1" w:styleId="CommentTextChar">
    <w:name w:val="Comment Text Char"/>
    <w:basedOn w:val="DefaultParagraphFont"/>
    <w:link w:val="CommentText"/>
    <w:uiPriority w:val="99"/>
    <w:semiHidden/>
    <w:rsid w:val="00F1338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13389"/>
    <w:rPr>
      <w:b/>
      <w:bCs/>
    </w:rPr>
  </w:style>
  <w:style w:type="character" w:customStyle="1" w:styleId="CommentSubjectChar">
    <w:name w:val="Comment Subject Char"/>
    <w:basedOn w:val="CommentTextChar"/>
    <w:link w:val="CommentSubject"/>
    <w:uiPriority w:val="99"/>
    <w:semiHidden/>
    <w:rsid w:val="00F13389"/>
    <w:rPr>
      <w:b/>
      <w:bCs/>
    </w:rPr>
  </w:style>
  <w:style w:type="paragraph" w:styleId="BalloonText">
    <w:name w:val="Balloon Text"/>
    <w:basedOn w:val="Normal"/>
    <w:link w:val="BalloonTextChar"/>
    <w:uiPriority w:val="99"/>
    <w:semiHidden/>
    <w:unhideWhenUsed/>
    <w:rsid w:val="00F13389"/>
    <w:rPr>
      <w:rFonts w:ascii="Tahoma" w:hAnsi="Tahoma" w:cs="Tahoma"/>
      <w:sz w:val="16"/>
      <w:szCs w:val="16"/>
    </w:rPr>
  </w:style>
  <w:style w:type="character" w:customStyle="1" w:styleId="BalloonTextChar">
    <w:name w:val="Balloon Text Char"/>
    <w:basedOn w:val="DefaultParagraphFont"/>
    <w:link w:val="BalloonText"/>
    <w:uiPriority w:val="99"/>
    <w:semiHidden/>
    <w:rsid w:val="00F133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3FCE9F0-D00E-4822-86F8-68828DAF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AHIS User</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jhession</cp:lastModifiedBy>
  <cp:revision>3</cp:revision>
  <cp:lastPrinted>2013-03-18T18:24:00Z</cp:lastPrinted>
  <dcterms:created xsi:type="dcterms:W3CDTF">2014-05-13T17:53:00Z</dcterms:created>
  <dcterms:modified xsi:type="dcterms:W3CDTF">2014-05-13T17:56:00Z</dcterms:modified>
</cp:coreProperties>
</file>