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5045"/>
      </w:tblGrid>
      <w:tr w:rsidR="00A704FD" w:rsidTr="00B810E6">
        <w:tc>
          <w:tcPr>
            <w:tcW w:w="4531" w:type="dxa"/>
          </w:tcPr>
          <w:p w:rsidR="00A704FD" w:rsidRDefault="00A704FD">
            <w:pPr>
              <w:pStyle w:val="Heading2"/>
              <w:keepNext w:val="0"/>
              <w:widowControl w:val="0"/>
              <w:spacing w:before="120" w:after="120"/>
              <w:ind w:left="72" w:right="72"/>
              <w:rPr>
                <w:rFonts w:eastAsia="Arial Unicode MS"/>
              </w:rPr>
            </w:pPr>
            <w:r>
              <w:t>Policy Statement</w:t>
            </w:r>
          </w:p>
        </w:tc>
        <w:tc>
          <w:tcPr>
            <w:tcW w:w="5045" w:type="dxa"/>
          </w:tcPr>
          <w:p w:rsidR="00A704FD" w:rsidRDefault="00C114B6" w:rsidP="002611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szCs w:val="24"/>
              </w:rPr>
              <w:t>When notified by</w:t>
            </w:r>
            <w:r w:rsidR="00F736DF">
              <w:rPr>
                <w:szCs w:val="24"/>
              </w:rPr>
              <w:t xml:space="preserve"> a supplier of biological products</w:t>
            </w:r>
            <w:r>
              <w:rPr>
                <w:szCs w:val="24"/>
              </w:rPr>
              <w:t xml:space="preserve">, </w:t>
            </w:r>
            <w:r w:rsidR="005F7F00">
              <w:rPr>
                <w:szCs w:val="24"/>
              </w:rPr>
              <w:t xml:space="preserve">Saint Agnes Hospital Transfusion Services maintains a process to identify and notify </w:t>
            </w:r>
            <w:r w:rsidR="00CB45C8" w:rsidRPr="00C52295">
              <w:rPr>
                <w:szCs w:val="24"/>
              </w:rPr>
              <w:t>recipients</w:t>
            </w:r>
            <w:r w:rsidR="00CB45C8">
              <w:rPr>
                <w:szCs w:val="24"/>
              </w:rPr>
              <w:t xml:space="preserve"> </w:t>
            </w:r>
            <w:r w:rsidR="00CB45C8" w:rsidRPr="00C52295">
              <w:rPr>
                <w:szCs w:val="24"/>
              </w:rPr>
              <w:t xml:space="preserve">who may have </w:t>
            </w:r>
            <w:r w:rsidR="002F7EF7">
              <w:rPr>
                <w:szCs w:val="24"/>
              </w:rPr>
              <w:t xml:space="preserve">been exposed to a </w:t>
            </w:r>
            <w:r w:rsidR="00CB45C8">
              <w:rPr>
                <w:szCs w:val="24"/>
              </w:rPr>
              <w:t xml:space="preserve">potentially infectious </w:t>
            </w:r>
            <w:r w:rsidR="002F7EF7">
              <w:rPr>
                <w:szCs w:val="24"/>
              </w:rPr>
              <w:t xml:space="preserve">agent from </w:t>
            </w:r>
            <w:r w:rsidR="00261157">
              <w:rPr>
                <w:szCs w:val="24"/>
              </w:rPr>
              <w:t>the</w:t>
            </w:r>
            <w:r w:rsidR="002F7EF7">
              <w:rPr>
                <w:szCs w:val="24"/>
              </w:rPr>
              <w:t xml:space="preserve"> </w:t>
            </w:r>
            <w:r w:rsidR="00CB45C8" w:rsidRPr="00C52295">
              <w:rPr>
                <w:szCs w:val="24"/>
              </w:rPr>
              <w:t>donor</w:t>
            </w:r>
            <w:r w:rsidR="002F7EF7">
              <w:rPr>
                <w:szCs w:val="24"/>
              </w:rPr>
              <w:t xml:space="preserve"> </w:t>
            </w:r>
            <w:r w:rsidR="00F736DF">
              <w:rPr>
                <w:szCs w:val="24"/>
              </w:rPr>
              <w:t>of a biological product</w:t>
            </w:r>
            <w:r>
              <w:rPr>
                <w:szCs w:val="24"/>
              </w:rPr>
              <w:t>.</w:t>
            </w:r>
          </w:p>
        </w:tc>
      </w:tr>
      <w:tr w:rsidR="00A704FD" w:rsidTr="00B810E6">
        <w:tc>
          <w:tcPr>
            <w:tcW w:w="4531" w:type="dxa"/>
          </w:tcPr>
          <w:p w:rsidR="00A704FD" w:rsidRDefault="00A704FD">
            <w:pPr>
              <w:pStyle w:val="Heading2"/>
              <w:keepNext w:val="0"/>
              <w:widowControl w:val="0"/>
              <w:spacing w:before="120" w:after="120"/>
              <w:ind w:left="72" w:right="72"/>
              <w:rPr>
                <w:rFonts w:eastAsia="Arial Unicode MS"/>
              </w:rPr>
            </w:pPr>
            <w:r>
              <w:t>Purpose</w:t>
            </w:r>
          </w:p>
        </w:tc>
        <w:tc>
          <w:tcPr>
            <w:tcW w:w="5045" w:type="dxa"/>
          </w:tcPr>
          <w:p w:rsidR="00A704FD" w:rsidRDefault="004F681E" w:rsidP="006D77F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t>This procedure is designed to provide the necessary instructions to respond to a market withdrawal/recall or look</w:t>
            </w:r>
            <w:r w:rsidR="007B1A68">
              <w:t>-</w:t>
            </w:r>
            <w:r>
              <w:t>back notification from a b</w:t>
            </w:r>
            <w:r w:rsidR="0038341A">
              <w:t>iological product</w:t>
            </w:r>
            <w:r>
              <w:t xml:space="preserve"> supplier. </w:t>
            </w:r>
          </w:p>
        </w:tc>
      </w:tr>
      <w:tr w:rsidR="00A704FD" w:rsidTr="00B810E6">
        <w:tc>
          <w:tcPr>
            <w:tcW w:w="4531" w:type="dxa"/>
          </w:tcPr>
          <w:p w:rsidR="00A704FD" w:rsidRDefault="00A704FD">
            <w:pPr>
              <w:pStyle w:val="Heading2"/>
              <w:keepNext w:val="0"/>
              <w:widowControl w:val="0"/>
              <w:spacing w:before="120" w:after="120"/>
              <w:ind w:left="72" w:right="72"/>
              <w:rPr>
                <w:rFonts w:eastAsia="Arial Unicode MS"/>
              </w:rPr>
            </w:pPr>
            <w:r>
              <w:t>Scope</w:t>
            </w:r>
          </w:p>
        </w:tc>
        <w:tc>
          <w:tcPr>
            <w:tcW w:w="5045" w:type="dxa"/>
          </w:tcPr>
          <w:p w:rsidR="00A704FD" w:rsidRDefault="0063262E" w:rsidP="004E0F8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This procedure applies to, but is not limited to, the following departments: Laboratory Services, </w:t>
            </w:r>
            <w:r w:rsidR="000A6A88" w:rsidRPr="00D55B5F">
              <w:t>Perioperative Services, Materials Management,</w:t>
            </w:r>
            <w:r w:rsidR="000A6A88">
              <w:t xml:space="preserve"> </w:t>
            </w:r>
            <w:r>
              <w:t>Quality and Patient Safety, Risk Management, Infection Control and Medical Records.  The procedure also affects those patients who have received b</w:t>
            </w:r>
            <w:r w:rsidR="004E0F8F">
              <w:t>iological</w:t>
            </w:r>
            <w:r>
              <w:t xml:space="preserve"> products during their </w:t>
            </w:r>
            <w:r w:rsidR="004E0F8F">
              <w:t>encounter</w:t>
            </w:r>
            <w:r>
              <w:t xml:space="preserve"> at Saint Agnes Hospital.</w:t>
            </w:r>
          </w:p>
        </w:tc>
      </w:tr>
      <w:tr w:rsidR="00A704FD" w:rsidTr="00B810E6">
        <w:tc>
          <w:tcPr>
            <w:tcW w:w="4531" w:type="dxa"/>
          </w:tcPr>
          <w:p w:rsidR="00A704FD" w:rsidRDefault="00A704FD">
            <w:pPr>
              <w:widowControl w:val="0"/>
              <w:spacing w:before="120" w:after="120"/>
              <w:ind w:left="72" w:right="72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5045" w:type="dxa"/>
          </w:tcPr>
          <w:p w:rsidR="00B3773E" w:rsidRDefault="00B3773E" w:rsidP="0075649D">
            <w:pPr>
              <w:pStyle w:val="Header"/>
              <w:tabs>
                <w:tab w:val="clear" w:pos="4320"/>
                <w:tab w:val="clear" w:pos="8640"/>
                <w:tab w:val="left" w:pos="492"/>
              </w:tabs>
              <w:spacing w:before="120" w:after="120"/>
              <w:ind w:left="14"/>
            </w:pPr>
            <w:r>
              <w:t>The associate who receives a notification from a biological product supplier is responsible for</w:t>
            </w:r>
            <w:r w:rsidR="00F91D25">
              <w:t>:</w:t>
            </w:r>
          </w:p>
          <w:p w:rsidR="00B3773E" w:rsidRDefault="00B3773E" w:rsidP="00B3773E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left" w:pos="492"/>
              </w:tabs>
            </w:pPr>
            <w:r>
              <w:t>Determining the disposition of affected product(s)</w:t>
            </w:r>
          </w:p>
          <w:p w:rsidR="00B3773E" w:rsidRDefault="00B3773E" w:rsidP="00B3773E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left" w:pos="492"/>
              </w:tabs>
            </w:pPr>
            <w:r>
              <w:t>Quarantining any product(s) in the available inventory</w:t>
            </w:r>
          </w:p>
          <w:p w:rsidR="00B3773E" w:rsidRDefault="00B3773E" w:rsidP="00B3773E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left" w:pos="492"/>
              </w:tabs>
            </w:pPr>
            <w:r>
              <w:t>Completing TRAN 8005 Fa Recall Form documentation for the Transfusion Service Medical Director/Lead Technologist to investigate and review.</w:t>
            </w:r>
          </w:p>
          <w:p w:rsidR="00A31AEB" w:rsidRDefault="00B3773E" w:rsidP="00B3773E">
            <w:pPr>
              <w:pStyle w:val="Header"/>
              <w:tabs>
                <w:tab w:val="clear" w:pos="4320"/>
                <w:tab w:val="clear" w:pos="8640"/>
                <w:tab w:val="left" w:pos="492"/>
              </w:tabs>
              <w:spacing w:before="120" w:after="120"/>
              <w:ind w:left="14"/>
            </w:pPr>
            <w:r>
              <w:t>The Transfusion Services</w:t>
            </w:r>
            <w:r w:rsidR="005764C4">
              <w:t xml:space="preserve"> Medical Director, </w:t>
            </w:r>
            <w:r>
              <w:t>Lead T</w:t>
            </w:r>
            <w:r w:rsidR="00A31AEB">
              <w:t>echnologist</w:t>
            </w:r>
            <w:r w:rsidR="00FB7524">
              <w:t xml:space="preserve"> or designee</w:t>
            </w:r>
            <w:r w:rsidR="00A31AEB">
              <w:t xml:space="preserve"> are responsible for</w:t>
            </w:r>
            <w:r w:rsidR="00EA7705">
              <w:t>:</w:t>
            </w:r>
          </w:p>
          <w:p w:rsidR="00A31AEB" w:rsidRDefault="00A31AEB" w:rsidP="00780D8A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492"/>
              </w:tabs>
            </w:pPr>
            <w:r>
              <w:t>R</w:t>
            </w:r>
            <w:r w:rsidR="00B3773E">
              <w:t>eview</w:t>
            </w:r>
            <w:r>
              <w:t xml:space="preserve"> of TRAN 8005 Fa Recall Form</w:t>
            </w:r>
            <w:r w:rsidR="00B3773E">
              <w:t xml:space="preserve"> </w:t>
            </w:r>
          </w:p>
          <w:p w:rsidR="00A704FD" w:rsidRDefault="00A31AEB" w:rsidP="00780D8A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492"/>
              </w:tabs>
            </w:pPr>
            <w:r>
              <w:t>Determination of need for patient or physician notification</w:t>
            </w:r>
          </w:p>
          <w:p w:rsidR="00A31AEB" w:rsidRDefault="00A31AEB" w:rsidP="00780D8A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492"/>
              </w:tabs>
            </w:pPr>
            <w:r>
              <w:t>Patient or physician notification process, if indicated.</w:t>
            </w:r>
          </w:p>
          <w:p w:rsidR="00A31AEB" w:rsidRDefault="00C07024" w:rsidP="00045F4A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492"/>
              </w:tabs>
              <w:spacing w:after="120"/>
            </w:pPr>
            <w:r>
              <w:lastRenderedPageBreak/>
              <w:t xml:space="preserve">Recall </w:t>
            </w:r>
            <w:r w:rsidR="00045F4A">
              <w:t>Conclusion</w:t>
            </w:r>
            <w:r>
              <w:t xml:space="preserve"> and medical record documentation as needed.</w:t>
            </w:r>
          </w:p>
        </w:tc>
      </w:tr>
      <w:tr w:rsidR="00A704FD" w:rsidTr="00B810E6">
        <w:tc>
          <w:tcPr>
            <w:tcW w:w="4531" w:type="dxa"/>
          </w:tcPr>
          <w:p w:rsidR="00A704FD" w:rsidRDefault="00A704FD">
            <w:pPr>
              <w:widowControl w:val="0"/>
              <w:spacing w:before="120" w:after="120"/>
              <w:ind w:left="72" w:right="72"/>
              <w:rPr>
                <w:b/>
              </w:rPr>
            </w:pPr>
            <w:r>
              <w:rPr>
                <w:b/>
              </w:rPr>
              <w:lastRenderedPageBreak/>
              <w:t>Related Documents</w:t>
            </w:r>
          </w:p>
        </w:tc>
        <w:tc>
          <w:tcPr>
            <w:tcW w:w="5045" w:type="dxa"/>
          </w:tcPr>
          <w:p w:rsidR="0002606A" w:rsidRDefault="0002606A" w:rsidP="00715D8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120"/>
            </w:pPr>
            <w:r>
              <w:t>TRAN 0000 QP Transfusion Services Quality Plan</w:t>
            </w:r>
          </w:p>
          <w:p w:rsidR="000A6A88" w:rsidRPr="00D55B5F" w:rsidRDefault="000A6A88" w:rsidP="000A6A8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 w:rsidRPr="00D55B5F">
              <w:t>TRAN 5001 R Tissue Bank Process and Procedure</w:t>
            </w:r>
          </w:p>
          <w:p w:rsidR="000A6A88" w:rsidRPr="00D55B5F" w:rsidRDefault="000A6A88" w:rsidP="000A6A8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 w:rsidRPr="00D55B5F">
              <w:t>TRAN 5065 R Tissue Disposition</w:t>
            </w:r>
          </w:p>
          <w:p w:rsidR="000A6A88" w:rsidRPr="00D55B5F" w:rsidRDefault="000A6A88" w:rsidP="000A6A8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 w:rsidRPr="00D55B5F">
              <w:t>TRAN 5020 Fa Quarantine Log</w:t>
            </w:r>
          </w:p>
          <w:p w:rsidR="00715D87" w:rsidRPr="00D55B5F" w:rsidRDefault="00715D8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 w:rsidRPr="00D55B5F">
              <w:t>TRAN</w:t>
            </w:r>
            <w:r w:rsidR="00076C70" w:rsidRPr="00D55B5F">
              <w:t xml:space="preserve"> </w:t>
            </w:r>
            <w:r w:rsidR="00B728EB" w:rsidRPr="00D55B5F">
              <w:t>8005</w:t>
            </w:r>
            <w:r w:rsidRPr="00D55B5F">
              <w:t xml:space="preserve"> </w:t>
            </w:r>
            <w:r w:rsidR="00A704FD" w:rsidRPr="00D55B5F">
              <w:t>F</w:t>
            </w:r>
            <w:r w:rsidR="00B728EB" w:rsidRPr="00D55B5F">
              <w:t>a Recall Form</w:t>
            </w:r>
          </w:p>
          <w:p w:rsidR="000A6A88" w:rsidRPr="00D55B5F" w:rsidRDefault="000A6A8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 w:rsidRPr="00D55B5F">
              <w:t>TRAN 8005 Fb Physician Receipt Verification Form</w:t>
            </w:r>
          </w:p>
          <w:p w:rsidR="003E5677" w:rsidRDefault="00D46A77" w:rsidP="003E5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24"/>
            </w:pPr>
            <w:r>
              <w:t>CMS 42 CFR 482.27</w:t>
            </w:r>
          </w:p>
          <w:p w:rsidR="003E5677" w:rsidRDefault="00D46A77" w:rsidP="003E5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24"/>
            </w:pPr>
            <w:r>
              <w:t>DHMH/AABB Standard 7.4.6.2</w:t>
            </w:r>
          </w:p>
          <w:p w:rsidR="00D46A77" w:rsidRDefault="00D46A77" w:rsidP="003E56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24"/>
            </w:pPr>
            <w:r>
              <w:t>CAP TRM.42120, TRM.42135, TRM.42170, and TRM.45125</w:t>
            </w:r>
          </w:p>
          <w:p w:rsidR="00D46A77" w:rsidRDefault="00D46A77" w:rsidP="00D46A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24"/>
            </w:pPr>
            <w:r>
              <w:t>TJC PC.05.01.09 EP 1 &amp; 2, TS.03.03.01 EP 4 &amp; 5</w:t>
            </w:r>
          </w:p>
        </w:tc>
      </w:tr>
    </w:tbl>
    <w:p w:rsidR="006922E5" w:rsidRPr="006922E5" w:rsidRDefault="006922E5" w:rsidP="00802CB1">
      <w:pPr>
        <w:pStyle w:val="Heading2"/>
        <w:spacing w:before="120" w:after="120"/>
        <w:ind w:right="720"/>
      </w:pPr>
      <w:r w:rsidRPr="006922E5">
        <w:t>Procedure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F485A" w:rsidTr="007F485A">
        <w:tc>
          <w:tcPr>
            <w:tcW w:w="9576" w:type="dxa"/>
          </w:tcPr>
          <w:p w:rsidR="007F485A" w:rsidRPr="007F485A" w:rsidRDefault="007F485A" w:rsidP="00802CB1">
            <w:pPr>
              <w:spacing w:before="120" w:after="120"/>
              <w:rPr>
                <w:b/>
              </w:rPr>
            </w:pPr>
            <w:r w:rsidRPr="007F485A">
              <w:rPr>
                <w:b/>
              </w:rPr>
              <w:t>Notification f</w:t>
            </w:r>
            <w:r w:rsidR="009B1FC4">
              <w:rPr>
                <w:b/>
              </w:rPr>
              <w:t>rom Biological Product Supplier</w:t>
            </w:r>
          </w:p>
        </w:tc>
      </w:tr>
      <w:tr w:rsidR="007D2B6A" w:rsidTr="007742F9">
        <w:trPr>
          <w:trHeight w:val="2607"/>
        </w:trPr>
        <w:tc>
          <w:tcPr>
            <w:tcW w:w="9576" w:type="dxa"/>
          </w:tcPr>
          <w:p w:rsidR="007D2B6A" w:rsidRDefault="007D2B6A" w:rsidP="007F485A">
            <w:pPr>
              <w:spacing w:before="120" w:after="120"/>
            </w:pPr>
            <w:r>
              <w:t>Notifications may be received by different modes of communication</w:t>
            </w:r>
          </w:p>
          <w:p w:rsidR="007D2B6A" w:rsidRDefault="007D2B6A" w:rsidP="007F485A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>E-mail</w:t>
            </w:r>
          </w:p>
          <w:p w:rsidR="007D2B6A" w:rsidRDefault="007D2B6A" w:rsidP="007F485A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>Fax</w:t>
            </w:r>
          </w:p>
          <w:p w:rsidR="007D2B6A" w:rsidRDefault="007D2B6A" w:rsidP="007F485A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>Surface mail letter</w:t>
            </w:r>
          </w:p>
          <w:p w:rsidR="007D2B6A" w:rsidRDefault="007D2B6A" w:rsidP="007F485A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>Phone call</w:t>
            </w:r>
          </w:p>
          <w:p w:rsidR="007742F9" w:rsidRDefault="007D2B6A" w:rsidP="00014D67">
            <w:pPr>
              <w:spacing w:before="120" w:after="120"/>
            </w:pPr>
            <w:r>
              <w:t xml:space="preserve">When an e-mail notification is sent to multiple </w:t>
            </w:r>
            <w:r w:rsidR="005B3CB4">
              <w:t>associates</w:t>
            </w:r>
            <w:r>
              <w:t xml:space="preserve">, the associate responding to the notification </w:t>
            </w:r>
            <w:r w:rsidR="00014D67">
              <w:t>should</w:t>
            </w:r>
            <w:r>
              <w:t xml:space="preserve"> reply to all </w:t>
            </w:r>
            <w:r w:rsidR="005B3CB4">
              <w:t>associates copied in the e-mail indicating</w:t>
            </w:r>
            <w:r>
              <w:t xml:space="preserve"> that the notification has been addressed. </w:t>
            </w:r>
          </w:p>
        </w:tc>
      </w:tr>
    </w:tbl>
    <w:p w:rsidR="00D1608D" w:rsidRDefault="00D1608D"/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7D2B6A" w:rsidTr="007742F9">
        <w:tc>
          <w:tcPr>
            <w:tcW w:w="9576" w:type="dxa"/>
            <w:gridSpan w:val="2"/>
          </w:tcPr>
          <w:p w:rsidR="007D2B6A" w:rsidRPr="007F485A" w:rsidRDefault="007D2B6A" w:rsidP="00234C08">
            <w:pPr>
              <w:spacing w:before="120" w:after="120"/>
              <w:rPr>
                <w:b/>
              </w:rPr>
            </w:pPr>
            <w:r>
              <w:rPr>
                <w:b/>
              </w:rPr>
              <w:t>Determin</w:t>
            </w:r>
            <w:r w:rsidR="00234C08">
              <w:rPr>
                <w:b/>
              </w:rPr>
              <w:t>ation of</w:t>
            </w:r>
            <w:r>
              <w:rPr>
                <w:b/>
              </w:rPr>
              <w:t xml:space="preserve"> the Disposition for Affected Product(s)</w:t>
            </w:r>
          </w:p>
        </w:tc>
      </w:tr>
      <w:tr w:rsidR="007D2B6A" w:rsidTr="007742F9">
        <w:tc>
          <w:tcPr>
            <w:tcW w:w="9576" w:type="dxa"/>
            <w:gridSpan w:val="2"/>
          </w:tcPr>
          <w:p w:rsidR="007D2B6A" w:rsidRDefault="007742F9" w:rsidP="005B3CB4">
            <w:pPr>
              <w:spacing w:before="120" w:after="120"/>
            </w:pPr>
            <w:r>
              <w:t>Check the current database for the disposition of product(s)</w:t>
            </w:r>
          </w:p>
          <w:p w:rsidR="007742F9" w:rsidRDefault="007742F9" w:rsidP="005B3CB4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For blood and blood components, perform a unit inquiry in Meditech.</w:t>
            </w:r>
          </w:p>
          <w:p w:rsidR="007742F9" w:rsidRDefault="007742F9" w:rsidP="005B3CB4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For tissue products, perform an advanced search in TRACS4Life.</w:t>
            </w:r>
          </w:p>
          <w:p w:rsidR="005B3CB4" w:rsidRPr="007742F9" w:rsidRDefault="007742F9" w:rsidP="00D1608D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If no record is found, complete</w:t>
            </w:r>
            <w:r w:rsidR="00A55420">
              <w:t xml:space="preserve"> product information section of</w:t>
            </w:r>
            <w:r>
              <w:t xml:space="preserve"> TRAN 8005 Fa for the Lead Technologist or designee to </w:t>
            </w:r>
            <w:r w:rsidR="00D1608D">
              <w:t>review and follow up</w:t>
            </w:r>
            <w:r>
              <w:t>.</w:t>
            </w:r>
          </w:p>
        </w:tc>
      </w:tr>
      <w:tr w:rsidR="00D1608D" w:rsidTr="00D1608D">
        <w:tc>
          <w:tcPr>
            <w:tcW w:w="828" w:type="dxa"/>
            <w:vMerge w:val="restart"/>
            <w:textDirection w:val="btLr"/>
          </w:tcPr>
          <w:p w:rsidR="00D1608D" w:rsidRPr="005B3CB4" w:rsidRDefault="00D1608D" w:rsidP="00D1608D">
            <w:pPr>
              <w:spacing w:before="120" w:after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Respond to the Disposition</w:t>
            </w:r>
          </w:p>
        </w:tc>
        <w:tc>
          <w:tcPr>
            <w:tcW w:w="8748" w:type="dxa"/>
          </w:tcPr>
          <w:p w:rsidR="00D1608D" w:rsidRPr="005B3CB4" w:rsidRDefault="00D1608D" w:rsidP="005B3CB4">
            <w:pPr>
              <w:spacing w:before="120" w:after="120"/>
              <w:rPr>
                <w:b/>
              </w:rPr>
            </w:pPr>
            <w:r w:rsidRPr="005B3CB4">
              <w:rPr>
                <w:b/>
              </w:rPr>
              <w:t>Products in the Available Inventory</w:t>
            </w:r>
          </w:p>
        </w:tc>
      </w:tr>
      <w:tr w:rsidR="00D1608D" w:rsidTr="00D1608D">
        <w:tc>
          <w:tcPr>
            <w:tcW w:w="828" w:type="dxa"/>
            <w:vMerge/>
          </w:tcPr>
          <w:p w:rsidR="00D1608D" w:rsidRDefault="00D1608D" w:rsidP="00D1608D">
            <w:pPr>
              <w:spacing w:before="120" w:after="120"/>
            </w:pPr>
          </w:p>
        </w:tc>
        <w:tc>
          <w:tcPr>
            <w:tcW w:w="8748" w:type="dxa"/>
          </w:tcPr>
          <w:p w:rsidR="00D1608D" w:rsidRDefault="00D1608D" w:rsidP="00D1608D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>Physically remove the product and place in quarantine</w:t>
            </w:r>
          </w:p>
          <w:p w:rsidR="00D1608D" w:rsidRDefault="00D1608D" w:rsidP="00D1608D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 xml:space="preserve">Document the product on TRAN 5020 Fa Quarantine Log </w:t>
            </w:r>
          </w:p>
          <w:p w:rsidR="00D1608D" w:rsidRDefault="00D1608D" w:rsidP="00D1608D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>Document the quarantine in the current database</w:t>
            </w:r>
          </w:p>
          <w:p w:rsidR="00D1608D" w:rsidRDefault="00D1608D" w:rsidP="00D1608D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>Complete</w:t>
            </w:r>
            <w:r w:rsidR="00A55420">
              <w:t xml:space="preserve"> product information and disposition sections of</w:t>
            </w:r>
            <w:r>
              <w:t xml:space="preserve"> TRAN 8005 Fa for the Lead Technologist or designee to review and follow up.</w:t>
            </w:r>
          </w:p>
        </w:tc>
      </w:tr>
      <w:tr w:rsidR="00D1608D" w:rsidTr="00D1608D">
        <w:tc>
          <w:tcPr>
            <w:tcW w:w="828" w:type="dxa"/>
            <w:vMerge/>
          </w:tcPr>
          <w:p w:rsidR="00D1608D" w:rsidRPr="00D1608D" w:rsidRDefault="00D1608D" w:rsidP="005B3CB4">
            <w:pPr>
              <w:spacing w:before="120" w:after="120"/>
              <w:rPr>
                <w:b/>
              </w:rPr>
            </w:pPr>
          </w:p>
        </w:tc>
        <w:tc>
          <w:tcPr>
            <w:tcW w:w="8748" w:type="dxa"/>
          </w:tcPr>
          <w:p w:rsidR="00D1608D" w:rsidRPr="00D1608D" w:rsidRDefault="00D1608D" w:rsidP="005B3CB4">
            <w:pPr>
              <w:spacing w:before="120" w:after="120"/>
              <w:rPr>
                <w:b/>
              </w:rPr>
            </w:pPr>
            <w:r w:rsidRPr="00D1608D">
              <w:rPr>
                <w:b/>
              </w:rPr>
              <w:t>Products with a Final Disposition</w:t>
            </w:r>
          </w:p>
        </w:tc>
      </w:tr>
      <w:tr w:rsidR="00D1608D" w:rsidTr="00D1608D">
        <w:tc>
          <w:tcPr>
            <w:tcW w:w="828" w:type="dxa"/>
            <w:vMerge/>
          </w:tcPr>
          <w:p w:rsidR="00D1608D" w:rsidRDefault="00D1608D" w:rsidP="00D1608D">
            <w:pPr>
              <w:spacing w:before="120" w:after="120"/>
            </w:pPr>
          </w:p>
        </w:tc>
        <w:tc>
          <w:tcPr>
            <w:tcW w:w="8748" w:type="dxa"/>
          </w:tcPr>
          <w:p w:rsidR="00D1608D" w:rsidRDefault="00D1608D" w:rsidP="005B3CB4">
            <w:pPr>
              <w:pStyle w:val="ListParagraph"/>
              <w:numPr>
                <w:ilvl w:val="0"/>
                <w:numId w:val="41"/>
              </w:numPr>
              <w:spacing w:before="120" w:after="120"/>
            </w:pPr>
            <w:r>
              <w:t>Complete</w:t>
            </w:r>
            <w:r w:rsidR="00A55420">
              <w:t xml:space="preserve"> product information and disposition sections of</w:t>
            </w:r>
            <w:r>
              <w:t xml:space="preserve"> TRAN 8005 Fa for the Lead Technologist or designee to review and follow up.</w:t>
            </w:r>
          </w:p>
          <w:p w:rsidR="00D1608D" w:rsidRDefault="00D1608D" w:rsidP="005539B5">
            <w:pPr>
              <w:pStyle w:val="ListParagraph"/>
              <w:numPr>
                <w:ilvl w:val="0"/>
                <w:numId w:val="41"/>
              </w:numPr>
              <w:spacing w:before="120" w:after="120"/>
            </w:pPr>
            <w:r>
              <w:t xml:space="preserve">For product with a final disposition of transfused, implanted, or ingested, include the </w:t>
            </w:r>
            <w:r w:rsidR="005539B5">
              <w:t>patient</w:t>
            </w:r>
            <w:r>
              <w:t xml:space="preserve"> information on TRAN 8005 Fa.</w:t>
            </w:r>
          </w:p>
        </w:tc>
      </w:tr>
    </w:tbl>
    <w:p w:rsidR="00B3773E" w:rsidRDefault="00B3773E" w:rsidP="006922E5"/>
    <w:p w:rsidR="00B3773E" w:rsidRDefault="00B3773E" w:rsidP="006922E5"/>
    <w:tbl>
      <w:tblPr>
        <w:tblStyle w:val="TableGrid"/>
        <w:tblW w:w="0" w:type="auto"/>
        <w:tblLook w:val="04A0"/>
      </w:tblPr>
      <w:tblGrid>
        <w:gridCol w:w="9576"/>
      </w:tblGrid>
      <w:tr w:rsidR="00D1608D" w:rsidTr="00825A86">
        <w:tc>
          <w:tcPr>
            <w:tcW w:w="9576" w:type="dxa"/>
          </w:tcPr>
          <w:p w:rsidR="00D1608D" w:rsidRPr="007F485A" w:rsidRDefault="00D1608D" w:rsidP="00FD4F02">
            <w:pPr>
              <w:spacing w:before="120" w:after="120"/>
              <w:rPr>
                <w:b/>
              </w:rPr>
            </w:pPr>
            <w:r>
              <w:rPr>
                <w:b/>
              </w:rPr>
              <w:t>Review</w:t>
            </w:r>
            <w:r w:rsidR="003737A8">
              <w:rPr>
                <w:b/>
              </w:rPr>
              <w:t xml:space="preserve"> </w:t>
            </w:r>
            <w:r w:rsidR="00FD4F02">
              <w:rPr>
                <w:b/>
              </w:rPr>
              <w:t>and Determination of Need for Patient or Physician Notification</w:t>
            </w:r>
          </w:p>
        </w:tc>
      </w:tr>
      <w:tr w:rsidR="00A55420" w:rsidTr="00825A86">
        <w:tc>
          <w:tcPr>
            <w:tcW w:w="9576" w:type="dxa"/>
          </w:tcPr>
          <w:p w:rsidR="00825A86" w:rsidRDefault="00825A86" w:rsidP="00825A86">
            <w:pPr>
              <w:spacing w:before="120" w:after="120"/>
            </w:pPr>
            <w:r>
              <w:t xml:space="preserve">If no record </w:t>
            </w:r>
            <w:r w:rsidR="00780AFA">
              <w:t>was</w:t>
            </w:r>
            <w:r>
              <w:t xml:space="preserve"> found for the affected product(s) during the initial inquiry, the Lead Technologist or designee must check previous databa</w:t>
            </w:r>
            <w:r w:rsidR="00225A51">
              <w:t>ses for the affected product(s)</w:t>
            </w:r>
          </w:p>
          <w:p w:rsidR="00825A86" w:rsidRDefault="00825A86" w:rsidP="00825A86">
            <w:pPr>
              <w:pStyle w:val="ListParagraph"/>
              <w:numPr>
                <w:ilvl w:val="0"/>
                <w:numId w:val="42"/>
              </w:numPr>
              <w:spacing w:before="120" w:after="120"/>
            </w:pPr>
            <w:r>
              <w:t>For</w:t>
            </w:r>
            <w:r w:rsidR="007608B7">
              <w:t xml:space="preserve"> blood and blood components, perform a search in the access database of products that didn’t transmit from the previous LIS.</w:t>
            </w:r>
          </w:p>
          <w:p w:rsidR="007608B7" w:rsidRDefault="007608B7" w:rsidP="00825A86">
            <w:pPr>
              <w:pStyle w:val="ListParagraph"/>
              <w:numPr>
                <w:ilvl w:val="0"/>
                <w:numId w:val="42"/>
              </w:numPr>
              <w:spacing w:before="120" w:after="120"/>
            </w:pPr>
            <w:r>
              <w:t>For tissue products, perform a search in the tissue access database that was previously used to track products.</w:t>
            </w:r>
          </w:p>
          <w:p w:rsidR="007608B7" w:rsidRDefault="007608B7" w:rsidP="00825A86">
            <w:pPr>
              <w:pStyle w:val="ListParagraph"/>
              <w:numPr>
                <w:ilvl w:val="0"/>
                <w:numId w:val="42"/>
              </w:numPr>
              <w:spacing w:before="120" w:after="120"/>
            </w:pPr>
            <w:r>
              <w:t>Complete documentation on TRAN 8005 Fa.</w:t>
            </w:r>
          </w:p>
          <w:p w:rsidR="007608B7" w:rsidRDefault="007608B7" w:rsidP="00825A86">
            <w:pPr>
              <w:pStyle w:val="ListParagraph"/>
              <w:numPr>
                <w:ilvl w:val="0"/>
                <w:numId w:val="42"/>
              </w:numPr>
              <w:spacing w:before="120" w:after="120"/>
            </w:pPr>
            <w:r>
              <w:t>If a product is still unable to be located, notify the supplier</w:t>
            </w:r>
            <w:r w:rsidR="00D55452">
              <w:t xml:space="preserve"> of the discrepancy and follow up as appropriate</w:t>
            </w:r>
            <w:r>
              <w:t>.</w:t>
            </w:r>
          </w:p>
          <w:p w:rsidR="009C1547" w:rsidRDefault="007608B7" w:rsidP="009C1547">
            <w:pPr>
              <w:spacing w:before="120" w:after="120"/>
            </w:pPr>
            <w:r>
              <w:t xml:space="preserve">The Lead Tech or designee </w:t>
            </w:r>
            <w:r w:rsidR="00DB44B6">
              <w:t>must</w:t>
            </w:r>
            <w:r>
              <w:t xml:space="preserve"> ensure that all relevant information is recorded on TRAN 8005 Fa</w:t>
            </w:r>
            <w:r w:rsidR="009B1FC4">
              <w:t>.</w:t>
            </w:r>
          </w:p>
          <w:p w:rsidR="009C1547" w:rsidRDefault="009C1547" w:rsidP="009C1547">
            <w:pPr>
              <w:pStyle w:val="ListParagraph"/>
              <w:numPr>
                <w:ilvl w:val="0"/>
                <w:numId w:val="44"/>
              </w:numPr>
              <w:spacing w:before="120" w:after="120"/>
            </w:pPr>
            <w:r>
              <w:t xml:space="preserve">If the recall was for product that was transfused, the Lead Tech or designee </w:t>
            </w:r>
            <w:r w:rsidR="00E625DA">
              <w:t>must</w:t>
            </w:r>
            <w:r>
              <w:t xml:space="preserve"> forward TRAN 8005 Fa and all accompanying documentation to the Transfusion Services Medical Director for review.</w:t>
            </w:r>
          </w:p>
          <w:p w:rsidR="009C1547" w:rsidRDefault="009C1547" w:rsidP="009C1547">
            <w:pPr>
              <w:pStyle w:val="ListParagraph"/>
              <w:numPr>
                <w:ilvl w:val="0"/>
                <w:numId w:val="44"/>
              </w:numPr>
              <w:spacing w:before="120" w:after="120"/>
            </w:pPr>
            <w:r>
              <w:t>If the recall was for product in the available inventory or previously discarded, there is no need for</w:t>
            </w:r>
            <w:r w:rsidR="000F76A7">
              <w:t xml:space="preserve"> review by the</w:t>
            </w:r>
            <w:r>
              <w:t xml:space="preserve"> Medical Director and the Lead Tech or designee </w:t>
            </w:r>
            <w:r w:rsidR="00E625DA">
              <w:t>must</w:t>
            </w:r>
            <w:r>
              <w:t xml:space="preserve"> sign off for the conclusion of the recall.</w:t>
            </w:r>
          </w:p>
          <w:p w:rsidR="00225A51" w:rsidRPr="00A55420" w:rsidRDefault="00225A51" w:rsidP="00CB4986">
            <w:pPr>
              <w:spacing w:before="120" w:after="120"/>
            </w:pPr>
            <w:r>
              <w:t xml:space="preserve">The Transfusion Services Medical Director or designee </w:t>
            </w:r>
            <w:r w:rsidR="00CB4986">
              <w:t>must</w:t>
            </w:r>
            <w:r>
              <w:t xml:space="preserve"> review the </w:t>
            </w:r>
            <w:r w:rsidR="008C7442">
              <w:t>nature</w:t>
            </w:r>
            <w:r w:rsidR="00007580">
              <w:t xml:space="preserve"> and timeline</w:t>
            </w:r>
            <w:r w:rsidR="008C7442">
              <w:t xml:space="preserve"> of the recall</w:t>
            </w:r>
            <w:r w:rsidR="00007580">
              <w:t xml:space="preserve"> as well as the</w:t>
            </w:r>
            <w:r w:rsidR="008C7442">
              <w:t xml:space="preserve"> potential impact on the </w:t>
            </w:r>
            <w:r w:rsidR="00234C08">
              <w:t>patient</w:t>
            </w:r>
            <w:r w:rsidR="00007580">
              <w:t xml:space="preserve"> to </w:t>
            </w:r>
            <w:r w:rsidR="008C7442">
              <w:t>determine whether the patient and/or physician should be notified.</w:t>
            </w:r>
          </w:p>
        </w:tc>
      </w:tr>
    </w:tbl>
    <w:p w:rsidR="00225A51" w:rsidRDefault="00225A51"/>
    <w:tbl>
      <w:tblPr>
        <w:tblStyle w:val="TableGrid"/>
        <w:tblW w:w="0" w:type="auto"/>
        <w:tblLook w:val="04A0"/>
      </w:tblPr>
      <w:tblGrid>
        <w:gridCol w:w="9576"/>
      </w:tblGrid>
      <w:tr w:rsidR="008C7442" w:rsidTr="00234C08">
        <w:tc>
          <w:tcPr>
            <w:tcW w:w="9576" w:type="dxa"/>
          </w:tcPr>
          <w:p w:rsidR="008C7442" w:rsidRPr="007F485A" w:rsidRDefault="008C7442" w:rsidP="00234C08">
            <w:pPr>
              <w:spacing w:before="120" w:after="120"/>
              <w:rPr>
                <w:b/>
              </w:rPr>
            </w:pPr>
            <w:r>
              <w:rPr>
                <w:b/>
              </w:rPr>
              <w:t>Notification Process for Possible HIV/HCV</w:t>
            </w:r>
          </w:p>
        </w:tc>
      </w:tr>
      <w:tr w:rsidR="00234C08" w:rsidTr="00234C08">
        <w:tc>
          <w:tcPr>
            <w:tcW w:w="9576" w:type="dxa"/>
          </w:tcPr>
          <w:p w:rsidR="00592BBD" w:rsidRDefault="00592BBD" w:rsidP="00D3525C">
            <w:pPr>
              <w:pStyle w:val="ListParagraph"/>
              <w:numPr>
                <w:ilvl w:val="0"/>
                <w:numId w:val="46"/>
              </w:numPr>
              <w:spacing w:before="120" w:after="120"/>
            </w:pPr>
            <w:r>
              <w:t>A registered letter from the Transfusion Services Medical Director along with instructions for testing and counseling resources will be sent to the patient’s last known address via surface mail.</w:t>
            </w:r>
          </w:p>
          <w:p w:rsidR="00592BBD" w:rsidRDefault="00592BBD" w:rsidP="00D3525C">
            <w:pPr>
              <w:pStyle w:val="ListParagraph"/>
              <w:numPr>
                <w:ilvl w:val="1"/>
                <w:numId w:val="46"/>
              </w:numPr>
              <w:spacing w:before="120" w:after="120"/>
            </w:pPr>
            <w:r>
              <w:t>This letter will include the name of the attending or ordering physician to enable the patient to contact them for additional information.</w:t>
            </w:r>
          </w:p>
          <w:p w:rsidR="00592BBD" w:rsidRDefault="00592BBD" w:rsidP="00D3525C">
            <w:pPr>
              <w:pStyle w:val="ListParagraph"/>
              <w:numPr>
                <w:ilvl w:val="0"/>
                <w:numId w:val="46"/>
              </w:numPr>
              <w:spacing w:before="120" w:after="120"/>
            </w:pPr>
            <w:r>
              <w:t>A certified letter will be mailed to the attending or ordering physician to make them aware that their patient was notified of exposure to a potentially infectious biological product and that they may be contacted for additional information.</w:t>
            </w:r>
          </w:p>
          <w:p w:rsidR="00D3525C" w:rsidRDefault="00D3525C" w:rsidP="00D3525C">
            <w:pPr>
              <w:pStyle w:val="ListParagraph"/>
              <w:numPr>
                <w:ilvl w:val="0"/>
                <w:numId w:val="46"/>
              </w:numPr>
              <w:spacing w:before="120" w:after="120"/>
            </w:pPr>
            <w:r>
              <w:t>If the initial effort to contact the patient was unsuccessful within 30 days, a second certified letter will be sent to the attending or ordering physician.</w:t>
            </w:r>
          </w:p>
          <w:p w:rsidR="00592BBD" w:rsidRDefault="00D3525C" w:rsidP="00D3525C">
            <w:pPr>
              <w:pStyle w:val="ListParagraph"/>
              <w:numPr>
                <w:ilvl w:val="1"/>
                <w:numId w:val="46"/>
              </w:numPr>
              <w:spacing w:before="120" w:after="120"/>
            </w:pPr>
            <w:r>
              <w:t>This letter will request assistance in contacting the patient and include a verification form for the physician to complete and return to the transfusion services, TRAN 8005 Fb.</w:t>
            </w:r>
          </w:p>
          <w:p w:rsidR="00592BBD" w:rsidRDefault="00D3525C" w:rsidP="00D3525C">
            <w:pPr>
              <w:pStyle w:val="ListParagraph"/>
              <w:numPr>
                <w:ilvl w:val="0"/>
                <w:numId w:val="46"/>
              </w:numPr>
              <w:spacing w:before="120" w:after="120"/>
            </w:pPr>
            <w:r>
              <w:t xml:space="preserve">Once contact has been made and confirmed with either the patient or the physician, the </w:t>
            </w:r>
            <w:r w:rsidR="009F6152">
              <w:t>recall</w:t>
            </w:r>
            <w:r>
              <w:t xml:space="preserve"> may be concluded and signed off by the Medical Director.</w:t>
            </w:r>
          </w:p>
          <w:p w:rsidR="00D3525C" w:rsidRDefault="00D3525C" w:rsidP="00D3525C">
            <w:pPr>
              <w:pStyle w:val="ListParagraph"/>
              <w:numPr>
                <w:ilvl w:val="0"/>
                <w:numId w:val="46"/>
              </w:numPr>
              <w:spacing w:before="120" w:after="120"/>
            </w:pPr>
            <w:r>
              <w:t xml:space="preserve">If the patient or physician was unable to be contacted at 12 weeks from the date of the recall, the </w:t>
            </w:r>
            <w:r w:rsidR="009F6152">
              <w:t>recall</w:t>
            </w:r>
            <w:r>
              <w:t xml:space="preserve"> may be concluded and signed off by the Medical Director.</w:t>
            </w:r>
          </w:p>
          <w:p w:rsidR="00D3525C" w:rsidRDefault="00D3525C" w:rsidP="00D3525C">
            <w:pPr>
              <w:pStyle w:val="ListParagraph"/>
              <w:numPr>
                <w:ilvl w:val="1"/>
                <w:numId w:val="46"/>
              </w:numPr>
              <w:spacing w:before="120" w:after="120"/>
            </w:pPr>
            <w:r>
              <w:t>The extenuating circumstances will be documented.</w:t>
            </w:r>
          </w:p>
          <w:p w:rsidR="00D3525C" w:rsidRDefault="00D3525C" w:rsidP="00592BBD">
            <w:pPr>
              <w:spacing w:before="120" w:after="120"/>
            </w:pPr>
            <w:r>
              <w:t>Notes for special circumstances</w:t>
            </w:r>
          </w:p>
          <w:p w:rsidR="00234C08" w:rsidRDefault="00592BBD" w:rsidP="00D3525C">
            <w:pPr>
              <w:pStyle w:val="ListParagraph"/>
              <w:numPr>
                <w:ilvl w:val="0"/>
                <w:numId w:val="45"/>
              </w:numPr>
              <w:spacing w:before="120" w:after="120"/>
            </w:pPr>
            <w:r>
              <w:t>If the patient is adjudged incompetent, the notification process will follow through a legal representative.</w:t>
            </w:r>
          </w:p>
          <w:p w:rsidR="00592BBD" w:rsidRPr="00234C08" w:rsidRDefault="00592BBD" w:rsidP="00D3525C">
            <w:pPr>
              <w:pStyle w:val="ListParagraph"/>
              <w:numPr>
                <w:ilvl w:val="0"/>
                <w:numId w:val="45"/>
              </w:numPr>
              <w:spacing w:before="120" w:after="120"/>
            </w:pPr>
            <w:r>
              <w:t>If the patient is a minor or deceased, the notification process will follow through a legal representative or relative.</w:t>
            </w:r>
          </w:p>
        </w:tc>
      </w:tr>
    </w:tbl>
    <w:p w:rsidR="008C7442" w:rsidRDefault="008C7442"/>
    <w:tbl>
      <w:tblPr>
        <w:tblStyle w:val="TableGrid"/>
        <w:tblW w:w="0" w:type="auto"/>
        <w:tblLook w:val="04A0"/>
      </w:tblPr>
      <w:tblGrid>
        <w:gridCol w:w="9576"/>
      </w:tblGrid>
      <w:tr w:rsidR="00780AFA" w:rsidTr="00592BBD">
        <w:tc>
          <w:tcPr>
            <w:tcW w:w="9576" w:type="dxa"/>
          </w:tcPr>
          <w:p w:rsidR="00780AFA" w:rsidRPr="007F485A" w:rsidRDefault="00780AFA" w:rsidP="00780AFA">
            <w:pPr>
              <w:spacing w:before="120" w:after="120"/>
              <w:rPr>
                <w:b/>
              </w:rPr>
            </w:pPr>
            <w:r>
              <w:rPr>
                <w:b/>
              </w:rPr>
              <w:t>Notification Process for All Other Circumstances</w:t>
            </w:r>
          </w:p>
        </w:tc>
      </w:tr>
      <w:tr w:rsidR="00780AFA" w:rsidTr="00592BBD">
        <w:tc>
          <w:tcPr>
            <w:tcW w:w="9576" w:type="dxa"/>
          </w:tcPr>
          <w:p w:rsidR="009F6152" w:rsidRDefault="009F6152" w:rsidP="009F6152">
            <w:pPr>
              <w:pStyle w:val="ListParagraph"/>
              <w:numPr>
                <w:ilvl w:val="0"/>
                <w:numId w:val="47"/>
              </w:numPr>
              <w:spacing w:before="120" w:after="120"/>
            </w:pPr>
            <w:r>
              <w:t>A certified letter from the Medical Director along with any applicable instructions will be sent via surface mail to the attending physician.</w:t>
            </w:r>
          </w:p>
          <w:p w:rsidR="009F6152" w:rsidRDefault="009F6152" w:rsidP="009F6152">
            <w:pPr>
              <w:pStyle w:val="ListParagraph"/>
              <w:numPr>
                <w:ilvl w:val="0"/>
                <w:numId w:val="47"/>
              </w:numPr>
              <w:spacing w:before="120" w:after="120"/>
            </w:pPr>
            <w:r>
              <w:t>Once receipt of the letter is confirmed, the recall may be concluded and signed off by the Medical Director.</w:t>
            </w:r>
          </w:p>
          <w:p w:rsidR="009F6152" w:rsidRDefault="009F6152" w:rsidP="009F6152">
            <w:pPr>
              <w:pStyle w:val="ListParagraph"/>
              <w:numPr>
                <w:ilvl w:val="0"/>
                <w:numId w:val="47"/>
              </w:numPr>
              <w:spacing w:before="120" w:after="120"/>
            </w:pPr>
            <w:r>
              <w:t>If no confirmation is received after 12 weeks, the recall may be concluded and signed off by the Medical Director.</w:t>
            </w:r>
          </w:p>
          <w:p w:rsidR="009F6152" w:rsidRDefault="009F6152" w:rsidP="009F6152">
            <w:pPr>
              <w:pStyle w:val="ListParagraph"/>
              <w:numPr>
                <w:ilvl w:val="0"/>
                <w:numId w:val="47"/>
              </w:numPr>
              <w:spacing w:before="120" w:after="120"/>
            </w:pPr>
            <w:r>
              <w:t>If the patient is deceased and it is determined that it was not related to the transfusion, the recall may be concluded and signed off by the Medical Director.</w:t>
            </w:r>
          </w:p>
          <w:p w:rsidR="00EC2D76" w:rsidRPr="00234C08" w:rsidRDefault="00EC2D76" w:rsidP="00EC2D76">
            <w:pPr>
              <w:spacing w:before="120" w:after="120"/>
              <w:ind w:left="360"/>
            </w:pPr>
          </w:p>
        </w:tc>
      </w:tr>
    </w:tbl>
    <w:p w:rsidR="00780AFA" w:rsidRDefault="00780AFA"/>
    <w:tbl>
      <w:tblPr>
        <w:tblStyle w:val="TableGrid"/>
        <w:tblW w:w="0" w:type="auto"/>
        <w:tblLook w:val="04A0"/>
      </w:tblPr>
      <w:tblGrid>
        <w:gridCol w:w="9576"/>
      </w:tblGrid>
      <w:tr w:rsidR="004644F4" w:rsidTr="00592BBD">
        <w:tc>
          <w:tcPr>
            <w:tcW w:w="9576" w:type="dxa"/>
          </w:tcPr>
          <w:p w:rsidR="004644F4" w:rsidRPr="007F485A" w:rsidRDefault="009176DF" w:rsidP="00045F4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Recall </w:t>
            </w:r>
            <w:r w:rsidR="00045F4A">
              <w:rPr>
                <w:b/>
              </w:rPr>
              <w:t>Conclusion</w:t>
            </w:r>
            <w:r>
              <w:rPr>
                <w:b/>
              </w:rPr>
              <w:t xml:space="preserve"> and Medical Record Documentation</w:t>
            </w:r>
          </w:p>
        </w:tc>
      </w:tr>
      <w:tr w:rsidR="004644F4" w:rsidTr="00592BBD">
        <w:tc>
          <w:tcPr>
            <w:tcW w:w="9576" w:type="dxa"/>
          </w:tcPr>
          <w:p w:rsidR="004644F4" w:rsidRDefault="00177C11" w:rsidP="00592BBD">
            <w:pPr>
              <w:spacing w:before="120" w:after="120"/>
            </w:pPr>
            <w:r>
              <w:t>All documentation related to the recall will be retained by the transfusion services for no less than ten years.</w:t>
            </w:r>
          </w:p>
          <w:p w:rsidR="00177C11" w:rsidRDefault="00177C11" w:rsidP="00177C11">
            <w:pPr>
              <w:spacing w:before="120" w:after="120"/>
            </w:pPr>
            <w:r>
              <w:t>Any notification letters will be scanned into the patient’s medical record by the Lead Tech or designee at the conclusion of the recall.</w:t>
            </w:r>
          </w:p>
          <w:p w:rsidR="0018519C" w:rsidRPr="00234C08" w:rsidRDefault="0018519C" w:rsidP="0018519C">
            <w:pPr>
              <w:spacing w:before="120" w:after="120"/>
            </w:pPr>
            <w:r>
              <w:t>If a patient was deceased and the fatality was determined to be related to the transfusion, a report to the FDA must be submitted.</w:t>
            </w:r>
          </w:p>
        </w:tc>
      </w:tr>
    </w:tbl>
    <w:p w:rsidR="004644F4" w:rsidRDefault="004644F4"/>
    <w:sectPr w:rsidR="004644F4" w:rsidSect="003E5677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D6" w:rsidRDefault="00D546D6">
      <w:r>
        <w:separator/>
      </w:r>
    </w:p>
  </w:endnote>
  <w:endnote w:type="continuationSeparator" w:id="0">
    <w:p w:rsidR="00D546D6" w:rsidRDefault="00D54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D6" w:rsidRDefault="00D546D6">
    <w:pPr>
      <w:pStyle w:val="Footer"/>
      <w:jc w:val="center"/>
      <w:rPr>
        <w:b/>
        <w:bCs/>
        <w:sz w:val="20"/>
      </w:rPr>
    </w:pPr>
    <w:smartTag w:uri="urn:schemas-microsoft-com:office:smarttags" w:element="place">
      <w:smartTag w:uri="urn:schemas:contacts" w:element="Sn">
        <w:r>
          <w:rPr>
            <w:b/>
            <w:bCs/>
            <w:sz w:val="20"/>
          </w:rPr>
          <w:t>Saint</w:t>
        </w:r>
      </w:smartTag>
      <w:r>
        <w:rPr>
          <w:b/>
          <w:bCs/>
          <w:sz w:val="20"/>
        </w:rPr>
        <w:t xml:space="preserve"> </w:t>
      </w:r>
      <w:smartTag w:uri="urn:schemas:contacts" w:element="middlename">
        <w:r>
          <w:rPr>
            <w:b/>
            <w:bCs/>
            <w:sz w:val="20"/>
          </w:rPr>
          <w:t>Agnes</w:t>
        </w:r>
      </w:smartTag>
      <w:r>
        <w:rPr>
          <w:b/>
          <w:bCs/>
          <w:sz w:val="20"/>
        </w:rPr>
        <w:t xml:space="preserve"> </w:t>
      </w:r>
      <w:smartTag w:uri="urn:schemas:contacts" w:element="Sn">
        <w:r>
          <w:rPr>
            <w:b/>
            <w:bCs/>
            <w:sz w:val="20"/>
          </w:rPr>
          <w:t>Hospital</w:t>
        </w:r>
      </w:smartTag>
    </w:smartTag>
    <w:r>
      <w:rPr>
        <w:b/>
        <w:bCs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b/>
            <w:bCs/>
            <w:sz w:val="20"/>
          </w:rPr>
          <w:t>900 S. Caton Avenue</w:t>
        </w:r>
      </w:smartTag>
      <w:r>
        <w:rPr>
          <w:b/>
          <w:bCs/>
          <w:sz w:val="20"/>
        </w:rPr>
        <w:t xml:space="preserve">, </w:t>
      </w:r>
      <w:smartTag w:uri="urn:schemas-microsoft-com:office:smarttags" w:element="City">
        <w:r>
          <w:rPr>
            <w:b/>
            <w:bCs/>
            <w:sz w:val="20"/>
          </w:rPr>
          <w:t>Baltimore</w:t>
        </w:r>
      </w:smartTag>
      <w:r>
        <w:rPr>
          <w:b/>
          <w:bCs/>
          <w:sz w:val="20"/>
        </w:rPr>
        <w:t xml:space="preserve">, </w:t>
      </w:r>
      <w:smartTag w:uri="urn:schemas-microsoft-com:office:smarttags" w:element="State">
        <w:r>
          <w:rPr>
            <w:b/>
            <w:bCs/>
            <w:sz w:val="20"/>
          </w:rPr>
          <w:t>MD</w:t>
        </w:r>
      </w:smartTag>
      <w:r>
        <w:rPr>
          <w:b/>
          <w:bCs/>
          <w:sz w:val="20"/>
        </w:rPr>
        <w:t xml:space="preserve"> </w:t>
      </w:r>
      <w:smartTag w:uri="urn:schemas-microsoft-com:office:smarttags" w:element="PostalCode">
        <w:r>
          <w:rPr>
            <w:b/>
            <w:bCs/>
            <w:sz w:val="20"/>
          </w:rPr>
          <w:t>21229</w:t>
        </w:r>
      </w:smartTag>
    </w:smartTag>
  </w:p>
  <w:p w:rsidR="00D546D6" w:rsidRDefault="00D546D6">
    <w:pPr>
      <w:pStyle w:val="Footer"/>
      <w:jc w:val="center"/>
      <w:rPr>
        <w:b/>
        <w:bCs/>
        <w:sz w:val="20"/>
      </w:rPr>
    </w:pPr>
  </w:p>
  <w:p w:rsidR="00D546D6" w:rsidRDefault="00D546D6" w:rsidP="00AF3AEE">
    <w:pPr>
      <w:pStyle w:val="Footer"/>
      <w:jc w:val="center"/>
      <w:rPr>
        <w:b/>
        <w:bCs/>
        <w:sz w:val="20"/>
      </w:rPr>
    </w:pPr>
    <w:r w:rsidRPr="00327DF1">
      <w:rPr>
        <w:b/>
        <w:bCs/>
        <w:sz w:val="20"/>
      </w:rPr>
      <w:fldChar w:fldCharType="begin"/>
    </w:r>
    <w:r w:rsidRPr="00327DF1">
      <w:rPr>
        <w:b/>
        <w:bCs/>
        <w:sz w:val="20"/>
      </w:rPr>
      <w:instrText xml:space="preserve"> FILENAME \p </w:instrText>
    </w:r>
    <w:r w:rsidRPr="00327DF1">
      <w:rPr>
        <w:b/>
        <w:bCs/>
        <w:sz w:val="20"/>
      </w:rPr>
      <w:fldChar w:fldCharType="separate"/>
    </w:r>
    <w:r>
      <w:rPr>
        <w:b/>
        <w:bCs/>
        <w:noProof/>
        <w:sz w:val="20"/>
      </w:rPr>
      <w:t>P:\labadmin\Quality Management\TRAN\TRAN QSE 8-Occurrence Management\TRAN 8005 R Biological Product Recall Program v0.docx</w:t>
    </w:r>
    <w:r w:rsidRPr="00327DF1">
      <w:rPr>
        <w:b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D6" w:rsidRDefault="00D546D6">
      <w:r>
        <w:separator/>
      </w:r>
    </w:p>
  </w:footnote>
  <w:footnote w:type="continuationSeparator" w:id="0">
    <w:p w:rsidR="00D546D6" w:rsidRDefault="00D54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4518"/>
      <w:gridCol w:w="5058"/>
    </w:tblGrid>
    <w:tr w:rsidR="00D546D6" w:rsidTr="004F315B">
      <w:trPr>
        <w:trHeight w:hRule="exact" w:val="720"/>
      </w:trPr>
      <w:tc>
        <w:tcPr>
          <w:tcW w:w="4518" w:type="dxa"/>
          <w:vAlign w:val="center"/>
        </w:tcPr>
        <w:p w:rsidR="00D546D6" w:rsidRDefault="00D546D6" w:rsidP="00F11525">
          <w:pPr>
            <w:pStyle w:val="Header"/>
            <w:spacing w:before="120"/>
            <w:rPr>
              <w:b/>
              <w:bCs/>
            </w:rPr>
          </w:pPr>
          <w:r>
            <w:rPr>
              <w:b/>
              <w:bCs/>
            </w:rPr>
            <w:t>Quality Assurance Manual</w:t>
          </w:r>
        </w:p>
        <w:p w:rsidR="00D546D6" w:rsidRDefault="00D546D6" w:rsidP="00F11525">
          <w:pPr>
            <w:pStyle w:val="Header"/>
            <w:spacing w:after="120"/>
            <w:rPr>
              <w:b/>
              <w:bCs/>
            </w:rPr>
          </w:pPr>
          <w:r>
            <w:rPr>
              <w:b/>
              <w:bCs/>
            </w:rPr>
            <w:t>Department of Pathology</w:t>
          </w:r>
        </w:p>
        <w:p w:rsidR="00D546D6" w:rsidRDefault="00D546D6">
          <w:pPr>
            <w:pStyle w:val="Header"/>
            <w:rPr>
              <w:b/>
              <w:bCs/>
            </w:rPr>
          </w:pPr>
        </w:p>
      </w:tc>
      <w:tc>
        <w:tcPr>
          <w:tcW w:w="5058" w:type="dxa"/>
          <w:vAlign w:val="center"/>
        </w:tcPr>
        <w:p w:rsidR="00D546D6" w:rsidRDefault="00D546D6" w:rsidP="00F11525">
          <w:pPr>
            <w:pStyle w:val="Header"/>
            <w:spacing w:before="120"/>
            <w:rPr>
              <w:b/>
              <w:bCs/>
            </w:rPr>
          </w:pPr>
          <w:r>
            <w:rPr>
              <w:b/>
              <w:bCs/>
            </w:rPr>
            <w:t>Document No. TRAN 8005 R</w:t>
          </w:r>
        </w:p>
        <w:p w:rsidR="00D546D6" w:rsidRDefault="00D546D6" w:rsidP="00F11525">
          <w:pPr>
            <w:pStyle w:val="Header"/>
            <w:spacing w:after="120"/>
            <w:rPr>
              <w:b/>
              <w:bCs/>
            </w:rPr>
          </w:pPr>
          <w:r>
            <w:rPr>
              <w:b/>
              <w:bCs/>
            </w:rP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1836A5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</w:instrText>
          </w:r>
          <w:r>
            <w:rPr>
              <w:b/>
              <w:bCs/>
            </w:rPr>
            <w:fldChar w:fldCharType="separate"/>
          </w:r>
          <w:r w:rsidR="001836A5">
            <w:rPr>
              <w:b/>
              <w:bCs/>
              <w:noProof/>
            </w:rPr>
            <w:t>5</w:t>
          </w:r>
          <w:r>
            <w:rPr>
              <w:b/>
              <w:bCs/>
            </w:rPr>
            <w:fldChar w:fldCharType="end"/>
          </w:r>
        </w:p>
      </w:tc>
    </w:tr>
    <w:tr w:rsidR="00D546D6" w:rsidTr="004F315B">
      <w:trPr>
        <w:trHeight w:val="678"/>
      </w:trPr>
      <w:tc>
        <w:tcPr>
          <w:tcW w:w="4518" w:type="dxa"/>
        </w:tcPr>
        <w:p w:rsidR="00D546D6" w:rsidRDefault="00D546D6" w:rsidP="00F11525">
          <w:pPr>
            <w:pStyle w:val="Header"/>
            <w:spacing w:before="120"/>
            <w:rPr>
              <w:b/>
              <w:bCs/>
            </w:rPr>
          </w:pPr>
          <w:r>
            <w:rPr>
              <w:b/>
              <w:bCs/>
            </w:rPr>
            <w:t>Transfusion Services</w:t>
          </w:r>
        </w:p>
        <w:p w:rsidR="00D546D6" w:rsidRDefault="00D546D6" w:rsidP="00F11525">
          <w:pPr>
            <w:pStyle w:val="Header"/>
            <w:spacing w:after="120"/>
            <w:rPr>
              <w:b/>
              <w:bCs/>
            </w:rPr>
          </w:pPr>
          <w:r>
            <w:rPr>
              <w:b/>
              <w:bCs/>
            </w:rPr>
            <w:t>Biological Product Recall Program</w:t>
          </w:r>
        </w:p>
      </w:tc>
      <w:tc>
        <w:tcPr>
          <w:tcW w:w="5058" w:type="dxa"/>
        </w:tcPr>
        <w:p w:rsidR="00D546D6" w:rsidRDefault="00D546D6" w:rsidP="00F11525">
          <w:pPr>
            <w:pStyle w:val="Header"/>
            <w:spacing w:before="120"/>
            <w:ind w:left="2419" w:hanging="2419"/>
            <w:rPr>
              <w:b/>
              <w:bCs/>
            </w:rPr>
          </w:pPr>
          <w:r>
            <w:rPr>
              <w:b/>
              <w:bCs/>
            </w:rPr>
            <w:t>Origination: 08/2014</w:t>
          </w:r>
        </w:p>
        <w:p w:rsidR="00D546D6" w:rsidRDefault="00D546D6" w:rsidP="00A31AEB">
          <w:pPr>
            <w:pStyle w:val="Header"/>
            <w:ind w:left="2634" w:firstLine="768"/>
            <w:rPr>
              <w:b/>
              <w:bCs/>
            </w:rPr>
          </w:pPr>
          <w:r>
            <w:rPr>
              <w:b/>
              <w:bCs/>
            </w:rPr>
            <w:t>Version: 0</w:t>
          </w:r>
        </w:p>
        <w:p w:rsidR="00D546D6" w:rsidRDefault="00D546D6">
          <w:pPr>
            <w:pStyle w:val="Header"/>
            <w:ind w:left="2412" w:hanging="2412"/>
            <w:rPr>
              <w:b/>
              <w:bCs/>
              <w:sz w:val="20"/>
            </w:rPr>
          </w:pPr>
        </w:p>
      </w:tc>
    </w:tr>
  </w:tbl>
  <w:p w:rsidR="00D546D6" w:rsidRDefault="00D54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243"/>
    <w:multiLevelType w:val="hybridMultilevel"/>
    <w:tmpl w:val="B15A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294B"/>
    <w:multiLevelType w:val="hybridMultilevel"/>
    <w:tmpl w:val="9A78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24A82"/>
    <w:multiLevelType w:val="hybridMultilevel"/>
    <w:tmpl w:val="31E8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45166"/>
    <w:multiLevelType w:val="hybridMultilevel"/>
    <w:tmpl w:val="06241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61484"/>
    <w:multiLevelType w:val="hybridMultilevel"/>
    <w:tmpl w:val="71F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B656F"/>
    <w:multiLevelType w:val="hybridMultilevel"/>
    <w:tmpl w:val="4316F5C6"/>
    <w:lvl w:ilvl="0" w:tplc="870405E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B71C5"/>
    <w:multiLevelType w:val="hybridMultilevel"/>
    <w:tmpl w:val="F5D0B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14ACC"/>
    <w:multiLevelType w:val="hybridMultilevel"/>
    <w:tmpl w:val="F7BC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2533C"/>
    <w:multiLevelType w:val="hybridMultilevel"/>
    <w:tmpl w:val="07A82116"/>
    <w:lvl w:ilvl="0" w:tplc="0204B88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E0447F"/>
    <w:multiLevelType w:val="hybridMultilevel"/>
    <w:tmpl w:val="ED7E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83D37"/>
    <w:multiLevelType w:val="hybridMultilevel"/>
    <w:tmpl w:val="A5D69590"/>
    <w:lvl w:ilvl="0" w:tplc="A9A49C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A0B5CA2"/>
    <w:multiLevelType w:val="hybridMultilevel"/>
    <w:tmpl w:val="87925A24"/>
    <w:lvl w:ilvl="0" w:tplc="7682D8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2DA3CD9"/>
    <w:multiLevelType w:val="hybridMultilevel"/>
    <w:tmpl w:val="2188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D59BF"/>
    <w:multiLevelType w:val="hybridMultilevel"/>
    <w:tmpl w:val="97C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422761"/>
    <w:multiLevelType w:val="hybridMultilevel"/>
    <w:tmpl w:val="C88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B5CEE"/>
    <w:multiLevelType w:val="multilevel"/>
    <w:tmpl w:val="6782753C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1171C"/>
    <w:multiLevelType w:val="hybridMultilevel"/>
    <w:tmpl w:val="7FF2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B338E"/>
    <w:multiLevelType w:val="hybridMultilevel"/>
    <w:tmpl w:val="F22C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32FD5"/>
    <w:multiLevelType w:val="hybridMultilevel"/>
    <w:tmpl w:val="91E6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47D6A"/>
    <w:multiLevelType w:val="hybridMultilevel"/>
    <w:tmpl w:val="3A62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02F62"/>
    <w:multiLevelType w:val="hybridMultilevel"/>
    <w:tmpl w:val="066CD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E4813"/>
    <w:multiLevelType w:val="multilevel"/>
    <w:tmpl w:val="45F0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8B12E7"/>
    <w:multiLevelType w:val="hybridMultilevel"/>
    <w:tmpl w:val="A7A4A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D17D6"/>
    <w:multiLevelType w:val="hybridMultilevel"/>
    <w:tmpl w:val="6782753C"/>
    <w:lvl w:ilvl="0" w:tplc="720C9A0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478F7"/>
    <w:multiLevelType w:val="hybridMultilevel"/>
    <w:tmpl w:val="FC282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57AA0"/>
    <w:multiLevelType w:val="hybridMultilevel"/>
    <w:tmpl w:val="1A0E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50169"/>
    <w:multiLevelType w:val="hybridMultilevel"/>
    <w:tmpl w:val="8484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20DC1"/>
    <w:multiLevelType w:val="hybridMultilevel"/>
    <w:tmpl w:val="93A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26743"/>
    <w:multiLevelType w:val="hybridMultilevel"/>
    <w:tmpl w:val="7914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06654"/>
    <w:multiLevelType w:val="hybridMultilevel"/>
    <w:tmpl w:val="C3D07B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E084B01"/>
    <w:multiLevelType w:val="hybridMultilevel"/>
    <w:tmpl w:val="467435FE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1">
    <w:nsid w:val="4E817CEC"/>
    <w:multiLevelType w:val="hybridMultilevel"/>
    <w:tmpl w:val="8794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57150A"/>
    <w:multiLevelType w:val="hybridMultilevel"/>
    <w:tmpl w:val="A18AA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C118BB"/>
    <w:multiLevelType w:val="hybridMultilevel"/>
    <w:tmpl w:val="E9CCE4AA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4">
    <w:nsid w:val="587B316F"/>
    <w:multiLevelType w:val="hybridMultilevel"/>
    <w:tmpl w:val="E0E67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AD5EC8"/>
    <w:multiLevelType w:val="multilevel"/>
    <w:tmpl w:val="374E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951800"/>
    <w:multiLevelType w:val="hybridMultilevel"/>
    <w:tmpl w:val="A11AE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C9A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201385"/>
    <w:multiLevelType w:val="multilevel"/>
    <w:tmpl w:val="A11A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953C5"/>
    <w:multiLevelType w:val="hybridMultilevel"/>
    <w:tmpl w:val="CBFE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629EF"/>
    <w:multiLevelType w:val="hybridMultilevel"/>
    <w:tmpl w:val="E426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B53DF"/>
    <w:multiLevelType w:val="hybridMultilevel"/>
    <w:tmpl w:val="8D26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42A64"/>
    <w:multiLevelType w:val="hybridMultilevel"/>
    <w:tmpl w:val="16C0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330C4"/>
    <w:multiLevelType w:val="hybridMultilevel"/>
    <w:tmpl w:val="15D6F252"/>
    <w:lvl w:ilvl="0" w:tplc="B394EB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A9168C"/>
    <w:multiLevelType w:val="hybridMultilevel"/>
    <w:tmpl w:val="5C8AA338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4">
    <w:nsid w:val="7B7C12B8"/>
    <w:multiLevelType w:val="multilevel"/>
    <w:tmpl w:val="CCDE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1924C6"/>
    <w:multiLevelType w:val="hybridMultilevel"/>
    <w:tmpl w:val="12B6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C6B27"/>
    <w:multiLevelType w:val="hybridMultilevel"/>
    <w:tmpl w:val="124E9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43"/>
  </w:num>
  <w:num w:numId="6">
    <w:abstractNumId w:val="7"/>
  </w:num>
  <w:num w:numId="7">
    <w:abstractNumId w:val="34"/>
  </w:num>
  <w:num w:numId="8">
    <w:abstractNumId w:val="29"/>
  </w:num>
  <w:num w:numId="9">
    <w:abstractNumId w:val="20"/>
  </w:num>
  <w:num w:numId="10">
    <w:abstractNumId w:val="28"/>
  </w:num>
  <w:num w:numId="11">
    <w:abstractNumId w:val="6"/>
  </w:num>
  <w:num w:numId="12">
    <w:abstractNumId w:val="3"/>
  </w:num>
  <w:num w:numId="13">
    <w:abstractNumId w:val="24"/>
  </w:num>
  <w:num w:numId="14">
    <w:abstractNumId w:val="36"/>
  </w:num>
  <w:num w:numId="15">
    <w:abstractNumId w:val="23"/>
  </w:num>
  <w:num w:numId="16">
    <w:abstractNumId w:val="35"/>
  </w:num>
  <w:num w:numId="17">
    <w:abstractNumId w:val="15"/>
  </w:num>
  <w:num w:numId="18">
    <w:abstractNumId w:val="37"/>
  </w:num>
  <w:num w:numId="19">
    <w:abstractNumId w:val="5"/>
  </w:num>
  <w:num w:numId="20">
    <w:abstractNumId w:val="21"/>
  </w:num>
  <w:num w:numId="21">
    <w:abstractNumId w:val="32"/>
  </w:num>
  <w:num w:numId="22">
    <w:abstractNumId w:val="44"/>
  </w:num>
  <w:num w:numId="23">
    <w:abstractNumId w:val="1"/>
  </w:num>
  <w:num w:numId="24">
    <w:abstractNumId w:val="13"/>
  </w:num>
  <w:num w:numId="25">
    <w:abstractNumId w:val="14"/>
  </w:num>
  <w:num w:numId="26">
    <w:abstractNumId w:val="16"/>
  </w:num>
  <w:num w:numId="27">
    <w:abstractNumId w:val="46"/>
  </w:num>
  <w:num w:numId="28">
    <w:abstractNumId w:val="27"/>
  </w:num>
  <w:num w:numId="29">
    <w:abstractNumId w:val="25"/>
  </w:num>
  <w:num w:numId="30">
    <w:abstractNumId w:val="38"/>
  </w:num>
  <w:num w:numId="31">
    <w:abstractNumId w:val="26"/>
  </w:num>
  <w:num w:numId="32">
    <w:abstractNumId w:val="33"/>
  </w:num>
  <w:num w:numId="33">
    <w:abstractNumId w:val="30"/>
  </w:num>
  <w:num w:numId="34">
    <w:abstractNumId w:val="19"/>
  </w:num>
  <w:num w:numId="35">
    <w:abstractNumId w:val="9"/>
  </w:num>
  <w:num w:numId="36">
    <w:abstractNumId w:val="45"/>
  </w:num>
  <w:num w:numId="37">
    <w:abstractNumId w:val="22"/>
  </w:num>
  <w:num w:numId="38">
    <w:abstractNumId w:val="18"/>
  </w:num>
  <w:num w:numId="39">
    <w:abstractNumId w:val="41"/>
  </w:num>
  <w:num w:numId="40">
    <w:abstractNumId w:val="40"/>
  </w:num>
  <w:num w:numId="41">
    <w:abstractNumId w:val="17"/>
  </w:num>
  <w:num w:numId="42">
    <w:abstractNumId w:val="4"/>
  </w:num>
  <w:num w:numId="43">
    <w:abstractNumId w:val="31"/>
  </w:num>
  <w:num w:numId="44">
    <w:abstractNumId w:val="0"/>
  </w:num>
  <w:num w:numId="45">
    <w:abstractNumId w:val="39"/>
  </w:num>
  <w:num w:numId="46">
    <w:abstractNumId w:val="2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627BB"/>
    <w:rsid w:val="00006694"/>
    <w:rsid w:val="00007580"/>
    <w:rsid w:val="00014D67"/>
    <w:rsid w:val="0002606A"/>
    <w:rsid w:val="000408BE"/>
    <w:rsid w:val="0004386E"/>
    <w:rsid w:val="00044F55"/>
    <w:rsid w:val="00045F4A"/>
    <w:rsid w:val="00076C70"/>
    <w:rsid w:val="000968A0"/>
    <w:rsid w:val="000A1B8C"/>
    <w:rsid w:val="000A6A88"/>
    <w:rsid w:val="000E5D14"/>
    <w:rsid w:val="000F2F4A"/>
    <w:rsid w:val="000F76A7"/>
    <w:rsid w:val="00104FC9"/>
    <w:rsid w:val="001241D3"/>
    <w:rsid w:val="00151C3B"/>
    <w:rsid w:val="00151F46"/>
    <w:rsid w:val="00177C11"/>
    <w:rsid w:val="001836A5"/>
    <w:rsid w:val="0018519C"/>
    <w:rsid w:val="001B3FE9"/>
    <w:rsid w:val="001D0EAD"/>
    <w:rsid w:val="00201063"/>
    <w:rsid w:val="0021467B"/>
    <w:rsid w:val="00221041"/>
    <w:rsid w:val="00225A51"/>
    <w:rsid w:val="00234C08"/>
    <w:rsid w:val="0025523B"/>
    <w:rsid w:val="00261157"/>
    <w:rsid w:val="002644A5"/>
    <w:rsid w:val="00292C66"/>
    <w:rsid w:val="002A40D7"/>
    <w:rsid w:val="002C355E"/>
    <w:rsid w:val="002D2287"/>
    <w:rsid w:val="002D756E"/>
    <w:rsid w:val="002F1192"/>
    <w:rsid w:val="002F7EF7"/>
    <w:rsid w:val="00304022"/>
    <w:rsid w:val="00327DF1"/>
    <w:rsid w:val="003737A8"/>
    <w:rsid w:val="00382034"/>
    <w:rsid w:val="0038341A"/>
    <w:rsid w:val="00394344"/>
    <w:rsid w:val="003B74D9"/>
    <w:rsid w:val="003B7C2A"/>
    <w:rsid w:val="003D1053"/>
    <w:rsid w:val="003D6950"/>
    <w:rsid w:val="003E5677"/>
    <w:rsid w:val="003E7DA9"/>
    <w:rsid w:val="00404895"/>
    <w:rsid w:val="00413CBA"/>
    <w:rsid w:val="00431B48"/>
    <w:rsid w:val="004428A2"/>
    <w:rsid w:val="004644F4"/>
    <w:rsid w:val="004851CE"/>
    <w:rsid w:val="00494CE1"/>
    <w:rsid w:val="004A542C"/>
    <w:rsid w:val="004C389D"/>
    <w:rsid w:val="004E0F8F"/>
    <w:rsid w:val="004F2CC3"/>
    <w:rsid w:val="004F315B"/>
    <w:rsid w:val="004F681E"/>
    <w:rsid w:val="00522EF5"/>
    <w:rsid w:val="00524CB5"/>
    <w:rsid w:val="005515C6"/>
    <w:rsid w:val="005539B5"/>
    <w:rsid w:val="005764C4"/>
    <w:rsid w:val="00576587"/>
    <w:rsid w:val="00592BBD"/>
    <w:rsid w:val="00592C01"/>
    <w:rsid w:val="005A5398"/>
    <w:rsid w:val="005B1992"/>
    <w:rsid w:val="005B3CB4"/>
    <w:rsid w:val="005F7F00"/>
    <w:rsid w:val="0063262E"/>
    <w:rsid w:val="00644C5B"/>
    <w:rsid w:val="00654800"/>
    <w:rsid w:val="00672D61"/>
    <w:rsid w:val="00683DAF"/>
    <w:rsid w:val="006922E5"/>
    <w:rsid w:val="006C06F7"/>
    <w:rsid w:val="006D6695"/>
    <w:rsid w:val="006D77F8"/>
    <w:rsid w:val="006E0D2E"/>
    <w:rsid w:val="006E11C4"/>
    <w:rsid w:val="006E151D"/>
    <w:rsid w:val="00704262"/>
    <w:rsid w:val="007106C2"/>
    <w:rsid w:val="00715D87"/>
    <w:rsid w:val="00716315"/>
    <w:rsid w:val="00747B76"/>
    <w:rsid w:val="0075649D"/>
    <w:rsid w:val="007608B7"/>
    <w:rsid w:val="007742F9"/>
    <w:rsid w:val="00780AFA"/>
    <w:rsid w:val="00780D8A"/>
    <w:rsid w:val="007B1A68"/>
    <w:rsid w:val="007C7E19"/>
    <w:rsid w:val="007D2B6A"/>
    <w:rsid w:val="007F485A"/>
    <w:rsid w:val="00802CB1"/>
    <w:rsid w:val="00825A86"/>
    <w:rsid w:val="008303B2"/>
    <w:rsid w:val="00831BFA"/>
    <w:rsid w:val="00832CD9"/>
    <w:rsid w:val="0087074E"/>
    <w:rsid w:val="008A4ECD"/>
    <w:rsid w:val="008B1AB7"/>
    <w:rsid w:val="008C7442"/>
    <w:rsid w:val="009060FA"/>
    <w:rsid w:val="0090665B"/>
    <w:rsid w:val="009176DF"/>
    <w:rsid w:val="009311A3"/>
    <w:rsid w:val="009444BD"/>
    <w:rsid w:val="009472FD"/>
    <w:rsid w:val="00962F3D"/>
    <w:rsid w:val="009B1FC4"/>
    <w:rsid w:val="009B48EA"/>
    <w:rsid w:val="009C1547"/>
    <w:rsid w:val="009F614C"/>
    <w:rsid w:val="009F6152"/>
    <w:rsid w:val="009F7D19"/>
    <w:rsid w:val="00A070E0"/>
    <w:rsid w:val="00A072F7"/>
    <w:rsid w:val="00A12F3C"/>
    <w:rsid w:val="00A31AEB"/>
    <w:rsid w:val="00A41A48"/>
    <w:rsid w:val="00A55420"/>
    <w:rsid w:val="00A704FD"/>
    <w:rsid w:val="00A85DE4"/>
    <w:rsid w:val="00AA1474"/>
    <w:rsid w:val="00AB399B"/>
    <w:rsid w:val="00AF3AEE"/>
    <w:rsid w:val="00B00697"/>
    <w:rsid w:val="00B3773E"/>
    <w:rsid w:val="00B43164"/>
    <w:rsid w:val="00B720FB"/>
    <w:rsid w:val="00B728EB"/>
    <w:rsid w:val="00B810E6"/>
    <w:rsid w:val="00B97CE4"/>
    <w:rsid w:val="00BA1E67"/>
    <w:rsid w:val="00BC22CD"/>
    <w:rsid w:val="00C06E28"/>
    <w:rsid w:val="00C07024"/>
    <w:rsid w:val="00C114B6"/>
    <w:rsid w:val="00C11D91"/>
    <w:rsid w:val="00C3102A"/>
    <w:rsid w:val="00C627BB"/>
    <w:rsid w:val="00C8486F"/>
    <w:rsid w:val="00CB45C8"/>
    <w:rsid w:val="00CB4986"/>
    <w:rsid w:val="00CC4A7A"/>
    <w:rsid w:val="00CD77B8"/>
    <w:rsid w:val="00CE0923"/>
    <w:rsid w:val="00D1608D"/>
    <w:rsid w:val="00D16BF1"/>
    <w:rsid w:val="00D27ACC"/>
    <w:rsid w:val="00D3525C"/>
    <w:rsid w:val="00D46A77"/>
    <w:rsid w:val="00D546D6"/>
    <w:rsid w:val="00D55452"/>
    <w:rsid w:val="00D55B5F"/>
    <w:rsid w:val="00D71E1C"/>
    <w:rsid w:val="00D76135"/>
    <w:rsid w:val="00D83D3C"/>
    <w:rsid w:val="00D933CB"/>
    <w:rsid w:val="00DB44B6"/>
    <w:rsid w:val="00E139BB"/>
    <w:rsid w:val="00E625DA"/>
    <w:rsid w:val="00EA5B75"/>
    <w:rsid w:val="00EA7705"/>
    <w:rsid w:val="00EC0916"/>
    <w:rsid w:val="00EC2D76"/>
    <w:rsid w:val="00EE703B"/>
    <w:rsid w:val="00EF23AF"/>
    <w:rsid w:val="00F10AB9"/>
    <w:rsid w:val="00F11525"/>
    <w:rsid w:val="00F2256B"/>
    <w:rsid w:val="00F237F6"/>
    <w:rsid w:val="00F408B7"/>
    <w:rsid w:val="00F736DF"/>
    <w:rsid w:val="00F7621F"/>
    <w:rsid w:val="00F83794"/>
    <w:rsid w:val="00F91D25"/>
    <w:rsid w:val="00F9401D"/>
    <w:rsid w:val="00FA0FA2"/>
    <w:rsid w:val="00FA32AB"/>
    <w:rsid w:val="00FB7524"/>
    <w:rsid w:val="00FD2EFD"/>
    <w:rsid w:val="00FD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56E"/>
    <w:rPr>
      <w:rFonts w:ascii="Arial" w:hAnsi="Arial" w:cs="Arial"/>
      <w:sz w:val="24"/>
    </w:rPr>
  </w:style>
  <w:style w:type="paragraph" w:styleId="Heading1">
    <w:name w:val="heading 1"/>
    <w:basedOn w:val="Normal"/>
    <w:qFormat/>
    <w:rsid w:val="002D756E"/>
    <w:pPr>
      <w:spacing w:before="100" w:beforeAutospacing="1" w:after="100" w:afterAutospacing="1"/>
      <w:outlineLvl w:val="0"/>
    </w:pPr>
    <w:rPr>
      <w:rFonts w:eastAsia="Arial Unicode MS"/>
      <w:b/>
      <w:bCs/>
      <w:color w:val="800000"/>
      <w:kern w:val="36"/>
      <w:sz w:val="30"/>
      <w:szCs w:val="30"/>
    </w:rPr>
  </w:style>
  <w:style w:type="paragraph" w:styleId="Heading2">
    <w:name w:val="heading 2"/>
    <w:basedOn w:val="Normal"/>
    <w:next w:val="Normal"/>
    <w:qFormat/>
    <w:rsid w:val="002D756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b/>
    </w:rPr>
  </w:style>
  <w:style w:type="paragraph" w:styleId="Heading3">
    <w:name w:val="heading 3"/>
    <w:basedOn w:val="Normal"/>
    <w:qFormat/>
    <w:rsid w:val="002D756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2D756E"/>
    <w:pPr>
      <w:keepNext/>
      <w:ind w:left="1800"/>
      <w:outlineLvl w:val="3"/>
    </w:pPr>
    <w:rPr>
      <w:rFonts w:eastAsia="Arial Unicode MS"/>
      <w:b/>
      <w:u w:val="single"/>
    </w:rPr>
  </w:style>
  <w:style w:type="paragraph" w:styleId="Heading5">
    <w:name w:val="heading 5"/>
    <w:basedOn w:val="Normal"/>
    <w:next w:val="Normal"/>
    <w:qFormat/>
    <w:rsid w:val="002D756E"/>
    <w:pPr>
      <w:keepNext/>
      <w:autoSpaceDE w:val="0"/>
      <w:autoSpaceDN w:val="0"/>
      <w:adjustRightInd w:val="0"/>
      <w:ind w:right="-24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D756E"/>
    <w:pPr>
      <w:keepNext/>
      <w:outlineLvl w:val="5"/>
    </w:pPr>
    <w:rPr>
      <w:rFonts w:eastAsia="Arial Unicode MS"/>
      <w:b/>
      <w:sz w:val="22"/>
    </w:rPr>
  </w:style>
  <w:style w:type="paragraph" w:styleId="Heading7">
    <w:name w:val="heading 7"/>
    <w:basedOn w:val="Normal"/>
    <w:next w:val="Normal"/>
    <w:qFormat/>
    <w:rsid w:val="002D756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75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756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2D756E"/>
  </w:style>
  <w:style w:type="paragraph" w:customStyle="1" w:styleId="Space">
    <w:name w:val="Space"/>
    <w:basedOn w:val="Normal"/>
    <w:rsid w:val="002D756E"/>
    <w:pPr>
      <w:spacing w:line="200" w:lineRule="atLeast"/>
    </w:pPr>
    <w:rPr>
      <w:rFonts w:ascii="Helvetica" w:hAnsi="Helvetica"/>
      <w:color w:val="000000"/>
      <w:sz w:val="20"/>
    </w:rPr>
  </w:style>
  <w:style w:type="paragraph" w:customStyle="1" w:styleId="TxBrp2">
    <w:name w:val="TxBr_p2"/>
    <w:basedOn w:val="Normal"/>
    <w:rsid w:val="002D756E"/>
    <w:pPr>
      <w:widowControl w:val="0"/>
      <w:tabs>
        <w:tab w:val="left" w:pos="0"/>
        <w:tab w:val="left" w:pos="204"/>
      </w:tabs>
      <w:spacing w:line="242" w:lineRule="exact"/>
    </w:pPr>
  </w:style>
  <w:style w:type="paragraph" w:customStyle="1" w:styleId="Default">
    <w:name w:val="Default"/>
    <w:rsid w:val="002D7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2D756E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qFormat/>
    <w:rsid w:val="002D756E"/>
    <w:rPr>
      <w:b/>
      <w:bCs/>
    </w:rPr>
  </w:style>
  <w:style w:type="character" w:styleId="Hyperlink">
    <w:name w:val="Hyperlink"/>
    <w:basedOn w:val="DefaultParagraphFont"/>
    <w:rsid w:val="006E11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03B"/>
    <w:pPr>
      <w:ind w:left="720"/>
      <w:contextualSpacing/>
    </w:pPr>
  </w:style>
  <w:style w:type="table" w:styleId="TableGrid">
    <w:name w:val="Table Grid"/>
    <w:basedOn w:val="TableNormal"/>
    <w:rsid w:val="007F4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2568B-32BE-4E2C-B6D7-2AA75AF0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1164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</vt:lpstr>
    </vt:vector>
  </TitlesOfParts>
  <Company>is</Company>
  <LinksUpToDate>false</LinksUpToDate>
  <CharactersWithSpaces>7229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mailto:fatalities2@cber.fda.gov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</dc:title>
  <dc:subject/>
  <dc:creator>Robert SanLuis</dc:creator>
  <cp:keywords/>
  <dc:description/>
  <cp:lastModifiedBy>jhession</cp:lastModifiedBy>
  <cp:revision>7</cp:revision>
  <cp:lastPrinted>2014-08-01T14:46:00Z</cp:lastPrinted>
  <dcterms:created xsi:type="dcterms:W3CDTF">2014-07-31T16:13:00Z</dcterms:created>
  <dcterms:modified xsi:type="dcterms:W3CDTF">2014-08-01T16:09:00Z</dcterms:modified>
</cp:coreProperties>
</file>