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8"/>
        <w:gridCol w:w="2356"/>
        <w:gridCol w:w="1178"/>
        <w:gridCol w:w="1178"/>
        <w:gridCol w:w="2356"/>
      </w:tblGrid>
      <w:tr w:rsidR="00E120F6" w:rsidRPr="00E120F6" w:rsidTr="00396A7A">
        <w:tc>
          <w:tcPr>
            <w:tcW w:w="2508" w:type="dxa"/>
          </w:tcPr>
          <w:p w:rsidR="00E120F6" w:rsidRPr="00E120F6" w:rsidRDefault="00E120F6" w:rsidP="00396A7A">
            <w:pPr>
              <w:pStyle w:val="Heading2"/>
              <w:keepNext w:val="0"/>
              <w:widowControl w:val="0"/>
              <w:spacing w:before="120" w:after="120"/>
              <w:ind w:left="72" w:right="72"/>
              <w:rPr>
                <w:rFonts w:eastAsia="Arial Unicode MS"/>
                <w:szCs w:val="24"/>
              </w:rPr>
            </w:pPr>
            <w:r w:rsidRPr="00E120F6">
              <w:rPr>
                <w:szCs w:val="24"/>
              </w:rPr>
              <w:t>Policy Statement</w:t>
            </w:r>
          </w:p>
        </w:tc>
        <w:tc>
          <w:tcPr>
            <w:tcW w:w="7068" w:type="dxa"/>
            <w:gridSpan w:val="4"/>
          </w:tcPr>
          <w:p w:rsidR="003F609A" w:rsidRPr="00E120F6" w:rsidRDefault="00F71615" w:rsidP="00F71615">
            <w:pPr>
              <w:tabs>
                <w:tab w:val="left" w:pos="720"/>
                <w:tab w:val="left" w:pos="1440"/>
                <w:tab w:val="left" w:pos="2160"/>
                <w:tab w:val="left" w:pos="2484"/>
              </w:tabs>
              <w:spacing w:before="120" w:after="120"/>
              <w:rPr>
                <w:szCs w:val="24"/>
              </w:rPr>
            </w:pPr>
            <w:r>
              <w:rPr>
                <w:szCs w:val="24"/>
              </w:rPr>
              <w:t>When more than one instrument/method is u</w:t>
            </w:r>
            <w:r w:rsidR="002A46ED">
              <w:rPr>
                <w:szCs w:val="24"/>
              </w:rPr>
              <w:t>sed to test for a given analyte</w:t>
            </w:r>
            <w:r>
              <w:rPr>
                <w:szCs w:val="24"/>
              </w:rPr>
              <w:t xml:space="preserve"> the instruments/methods are checked against each other at least twice a year for comparability of results.</w:t>
            </w:r>
          </w:p>
        </w:tc>
      </w:tr>
      <w:tr w:rsidR="00E120F6" w:rsidRPr="00E120F6" w:rsidTr="00396A7A">
        <w:tc>
          <w:tcPr>
            <w:tcW w:w="2508" w:type="dxa"/>
          </w:tcPr>
          <w:p w:rsidR="00E120F6" w:rsidRPr="00E120F6" w:rsidRDefault="00E120F6" w:rsidP="00396A7A">
            <w:pPr>
              <w:pStyle w:val="Heading2"/>
              <w:keepNext w:val="0"/>
              <w:widowControl w:val="0"/>
              <w:spacing w:before="120" w:after="120"/>
              <w:ind w:left="72" w:right="72"/>
              <w:rPr>
                <w:rFonts w:eastAsia="Arial Unicode MS"/>
                <w:szCs w:val="24"/>
              </w:rPr>
            </w:pPr>
            <w:r w:rsidRPr="00E120F6">
              <w:rPr>
                <w:szCs w:val="24"/>
              </w:rPr>
              <w:t>Purpose</w:t>
            </w:r>
          </w:p>
        </w:tc>
        <w:tc>
          <w:tcPr>
            <w:tcW w:w="7068" w:type="dxa"/>
            <w:gridSpan w:val="4"/>
          </w:tcPr>
          <w:p w:rsidR="00E120F6" w:rsidRPr="00E120F6" w:rsidRDefault="00F71615" w:rsidP="0030567D">
            <w:pPr>
              <w:spacing w:before="120" w:after="120"/>
              <w:rPr>
                <w:szCs w:val="24"/>
              </w:rPr>
            </w:pPr>
            <w:r>
              <w:rPr>
                <w:szCs w:val="24"/>
              </w:rPr>
              <w:t>To ensure that results are reproducible between different instruments/methods within acceptable limits.</w:t>
            </w:r>
          </w:p>
        </w:tc>
      </w:tr>
      <w:tr w:rsidR="00E120F6" w:rsidRPr="00E120F6" w:rsidTr="00396A7A">
        <w:tc>
          <w:tcPr>
            <w:tcW w:w="2508" w:type="dxa"/>
          </w:tcPr>
          <w:p w:rsidR="00E120F6" w:rsidRPr="00E120F6" w:rsidRDefault="00E120F6" w:rsidP="00396A7A">
            <w:pPr>
              <w:pStyle w:val="Heading2"/>
              <w:keepNext w:val="0"/>
              <w:widowControl w:val="0"/>
              <w:spacing w:before="120" w:after="120"/>
              <w:ind w:left="72" w:right="72"/>
              <w:rPr>
                <w:rFonts w:eastAsia="Arial Unicode MS"/>
                <w:szCs w:val="24"/>
              </w:rPr>
            </w:pPr>
            <w:r w:rsidRPr="00E120F6">
              <w:rPr>
                <w:szCs w:val="24"/>
              </w:rPr>
              <w:t>Scope</w:t>
            </w:r>
          </w:p>
        </w:tc>
        <w:tc>
          <w:tcPr>
            <w:tcW w:w="7068" w:type="dxa"/>
            <w:gridSpan w:val="4"/>
          </w:tcPr>
          <w:p w:rsidR="00E120F6" w:rsidRPr="00E120F6" w:rsidRDefault="00F71615" w:rsidP="00CB1A36">
            <w:pPr>
              <w:spacing w:before="120" w:after="120"/>
              <w:rPr>
                <w:szCs w:val="24"/>
              </w:rPr>
            </w:pPr>
            <w:r>
              <w:rPr>
                <w:szCs w:val="24"/>
              </w:rPr>
              <w:t>This applies to all testing in the Transfusion Services.</w:t>
            </w:r>
          </w:p>
        </w:tc>
      </w:tr>
      <w:tr w:rsidR="00E25FCA" w:rsidRPr="00E120F6" w:rsidTr="00396A7A">
        <w:tc>
          <w:tcPr>
            <w:tcW w:w="2508" w:type="dxa"/>
          </w:tcPr>
          <w:p w:rsidR="00E25FCA" w:rsidRPr="00E120F6" w:rsidRDefault="00E25FCA" w:rsidP="00396A7A">
            <w:pPr>
              <w:pStyle w:val="Heading2"/>
              <w:keepNext w:val="0"/>
              <w:widowControl w:val="0"/>
              <w:spacing w:before="120" w:after="120"/>
              <w:ind w:left="72" w:right="72"/>
              <w:rPr>
                <w:szCs w:val="24"/>
              </w:rPr>
            </w:pPr>
            <w:r>
              <w:rPr>
                <w:szCs w:val="24"/>
              </w:rPr>
              <w:t>Responsibility</w:t>
            </w:r>
          </w:p>
        </w:tc>
        <w:tc>
          <w:tcPr>
            <w:tcW w:w="7068" w:type="dxa"/>
            <w:gridSpan w:val="4"/>
          </w:tcPr>
          <w:p w:rsidR="009B1A74" w:rsidRDefault="00C26055" w:rsidP="00C26055">
            <w:pPr>
              <w:spacing w:before="120" w:after="120"/>
              <w:rPr>
                <w:szCs w:val="24"/>
              </w:rPr>
            </w:pPr>
            <w:r>
              <w:rPr>
                <w:szCs w:val="24"/>
              </w:rPr>
              <w:t xml:space="preserve">The Medical Director is responsible for </w:t>
            </w:r>
            <w:r w:rsidR="00E04898">
              <w:rPr>
                <w:szCs w:val="24"/>
              </w:rPr>
              <w:t xml:space="preserve">review and </w:t>
            </w:r>
            <w:r>
              <w:rPr>
                <w:szCs w:val="24"/>
              </w:rPr>
              <w:t>approval</w:t>
            </w:r>
            <w:r w:rsidR="00E04898">
              <w:rPr>
                <w:szCs w:val="24"/>
              </w:rPr>
              <w:t xml:space="preserve"> </w:t>
            </w:r>
            <w:r>
              <w:rPr>
                <w:szCs w:val="24"/>
              </w:rPr>
              <w:t>o</w:t>
            </w:r>
            <w:r w:rsidR="009B1A74">
              <w:rPr>
                <w:szCs w:val="24"/>
              </w:rPr>
              <w:t>f comparability studies.</w:t>
            </w:r>
          </w:p>
          <w:p w:rsidR="009B1A74" w:rsidRDefault="00C26055" w:rsidP="00C26055">
            <w:pPr>
              <w:spacing w:before="120" w:after="120"/>
              <w:rPr>
                <w:szCs w:val="24"/>
              </w:rPr>
            </w:pPr>
            <w:r>
              <w:rPr>
                <w:szCs w:val="24"/>
              </w:rPr>
              <w:t>The Lead Technologist</w:t>
            </w:r>
            <w:r w:rsidR="008E17D6">
              <w:rPr>
                <w:szCs w:val="24"/>
              </w:rPr>
              <w:t xml:space="preserve"> or designee</w:t>
            </w:r>
            <w:r>
              <w:rPr>
                <w:szCs w:val="24"/>
              </w:rPr>
              <w:t xml:space="preserve"> is responsible for ensuring comparability studies are performe</w:t>
            </w:r>
            <w:r w:rsidR="008E17D6">
              <w:rPr>
                <w:szCs w:val="24"/>
              </w:rPr>
              <w:t xml:space="preserve">d in their required timeframes and for </w:t>
            </w:r>
            <w:r w:rsidR="002744F3">
              <w:rPr>
                <w:szCs w:val="24"/>
              </w:rPr>
              <w:t>documenting</w:t>
            </w:r>
            <w:r w:rsidR="008E17D6">
              <w:rPr>
                <w:szCs w:val="24"/>
              </w:rPr>
              <w:t xml:space="preserve"> the comparability study report.</w:t>
            </w:r>
          </w:p>
          <w:p w:rsidR="00E25FCA" w:rsidRDefault="009B1A74" w:rsidP="00C26055">
            <w:pPr>
              <w:spacing w:before="120" w:after="120"/>
              <w:rPr>
                <w:szCs w:val="24"/>
              </w:rPr>
            </w:pPr>
            <w:r>
              <w:rPr>
                <w:szCs w:val="24"/>
              </w:rPr>
              <w:t>The Medical Technologist (I and</w:t>
            </w:r>
            <w:r w:rsidR="00C26055">
              <w:rPr>
                <w:szCs w:val="24"/>
              </w:rPr>
              <w:t xml:space="preserve"> II)</w:t>
            </w:r>
            <w:r>
              <w:rPr>
                <w:szCs w:val="24"/>
              </w:rPr>
              <w:t xml:space="preserve"> is</w:t>
            </w:r>
            <w:r w:rsidR="00C26055">
              <w:rPr>
                <w:szCs w:val="24"/>
              </w:rPr>
              <w:t xml:space="preserve"> responsible for performing comparability studies when instructed.</w:t>
            </w:r>
          </w:p>
        </w:tc>
      </w:tr>
      <w:tr w:rsidR="004A02B3" w:rsidRPr="00E120F6" w:rsidTr="00F018EC">
        <w:tc>
          <w:tcPr>
            <w:tcW w:w="9576" w:type="dxa"/>
            <w:gridSpan w:val="5"/>
          </w:tcPr>
          <w:p w:rsidR="004A02B3" w:rsidRDefault="004A02B3" w:rsidP="00C26055">
            <w:pPr>
              <w:spacing w:before="120" w:after="120"/>
              <w:rPr>
                <w:szCs w:val="24"/>
              </w:rPr>
            </w:pPr>
          </w:p>
        </w:tc>
      </w:tr>
      <w:tr w:rsidR="00D9132D" w:rsidRPr="00E120F6" w:rsidTr="007969E4">
        <w:trPr>
          <w:trHeight w:val="516"/>
        </w:trPr>
        <w:tc>
          <w:tcPr>
            <w:tcW w:w="2508" w:type="dxa"/>
            <w:vMerge w:val="restart"/>
          </w:tcPr>
          <w:p w:rsidR="00D9132D" w:rsidRDefault="00936460" w:rsidP="00AE339D">
            <w:pPr>
              <w:pStyle w:val="Heading2"/>
              <w:keepNext w:val="0"/>
              <w:widowControl w:val="0"/>
              <w:spacing w:before="120" w:after="120"/>
              <w:ind w:right="72"/>
              <w:rPr>
                <w:szCs w:val="24"/>
              </w:rPr>
            </w:pPr>
            <w:r>
              <w:rPr>
                <w:szCs w:val="24"/>
              </w:rPr>
              <w:t>Study Testing Required</w:t>
            </w:r>
          </w:p>
        </w:tc>
        <w:tc>
          <w:tcPr>
            <w:tcW w:w="2356" w:type="dxa"/>
          </w:tcPr>
          <w:p w:rsidR="00D9132D" w:rsidRPr="00D9132D" w:rsidRDefault="00D9132D" w:rsidP="00D9132D">
            <w:pPr>
              <w:spacing w:before="120" w:after="120"/>
              <w:jc w:val="center"/>
              <w:rPr>
                <w:b/>
                <w:szCs w:val="24"/>
              </w:rPr>
            </w:pPr>
            <w:r w:rsidRPr="00D9132D">
              <w:rPr>
                <w:b/>
                <w:szCs w:val="24"/>
              </w:rPr>
              <w:t>Tube Testing</w:t>
            </w:r>
          </w:p>
        </w:tc>
        <w:tc>
          <w:tcPr>
            <w:tcW w:w="2356" w:type="dxa"/>
            <w:gridSpan w:val="2"/>
          </w:tcPr>
          <w:p w:rsidR="00D9132D" w:rsidRPr="00D9132D" w:rsidRDefault="00D9132D" w:rsidP="00D9132D">
            <w:pPr>
              <w:spacing w:before="120" w:after="120"/>
              <w:jc w:val="center"/>
              <w:rPr>
                <w:b/>
                <w:szCs w:val="24"/>
              </w:rPr>
            </w:pPr>
            <w:r w:rsidRPr="00D9132D">
              <w:rPr>
                <w:b/>
                <w:szCs w:val="24"/>
              </w:rPr>
              <w:t>Manual Gel</w:t>
            </w:r>
          </w:p>
        </w:tc>
        <w:tc>
          <w:tcPr>
            <w:tcW w:w="2356" w:type="dxa"/>
          </w:tcPr>
          <w:p w:rsidR="00D9132D" w:rsidRPr="00D9132D" w:rsidRDefault="00D9132D" w:rsidP="00D9132D">
            <w:pPr>
              <w:spacing w:before="120" w:after="120"/>
              <w:jc w:val="center"/>
              <w:rPr>
                <w:b/>
                <w:szCs w:val="24"/>
              </w:rPr>
            </w:pPr>
            <w:r w:rsidRPr="00D9132D">
              <w:rPr>
                <w:b/>
                <w:szCs w:val="24"/>
              </w:rPr>
              <w:t>ProVue Gel</w:t>
            </w:r>
          </w:p>
        </w:tc>
      </w:tr>
      <w:tr w:rsidR="00D9132D" w:rsidRPr="00E120F6" w:rsidTr="007969E4">
        <w:trPr>
          <w:trHeight w:val="516"/>
        </w:trPr>
        <w:tc>
          <w:tcPr>
            <w:tcW w:w="2508" w:type="dxa"/>
            <w:vMerge/>
          </w:tcPr>
          <w:p w:rsidR="00D9132D" w:rsidRDefault="00D9132D" w:rsidP="00396A7A">
            <w:pPr>
              <w:pStyle w:val="Heading2"/>
              <w:keepNext w:val="0"/>
              <w:widowControl w:val="0"/>
              <w:spacing w:before="120" w:after="120"/>
              <w:ind w:left="72" w:right="72"/>
              <w:rPr>
                <w:szCs w:val="24"/>
              </w:rPr>
            </w:pPr>
          </w:p>
        </w:tc>
        <w:tc>
          <w:tcPr>
            <w:tcW w:w="2356" w:type="dxa"/>
          </w:tcPr>
          <w:p w:rsidR="00D9132D" w:rsidRDefault="00D9132D" w:rsidP="00D9132D">
            <w:pPr>
              <w:spacing w:before="120" w:after="120"/>
              <w:jc w:val="center"/>
              <w:rPr>
                <w:szCs w:val="24"/>
              </w:rPr>
            </w:pPr>
            <w:r>
              <w:rPr>
                <w:szCs w:val="24"/>
              </w:rPr>
              <w:t>Blood Type</w:t>
            </w:r>
          </w:p>
        </w:tc>
        <w:tc>
          <w:tcPr>
            <w:tcW w:w="2356" w:type="dxa"/>
            <w:gridSpan w:val="2"/>
          </w:tcPr>
          <w:p w:rsidR="00D9132D" w:rsidRDefault="00D9132D" w:rsidP="00D9132D">
            <w:pPr>
              <w:spacing w:before="120" w:after="120"/>
              <w:jc w:val="center"/>
              <w:rPr>
                <w:szCs w:val="24"/>
              </w:rPr>
            </w:pPr>
          </w:p>
        </w:tc>
        <w:tc>
          <w:tcPr>
            <w:tcW w:w="2356" w:type="dxa"/>
          </w:tcPr>
          <w:p w:rsidR="00D9132D" w:rsidRDefault="00D9132D" w:rsidP="00D9132D">
            <w:pPr>
              <w:spacing w:before="120" w:after="120"/>
              <w:jc w:val="center"/>
              <w:rPr>
                <w:szCs w:val="24"/>
              </w:rPr>
            </w:pPr>
            <w:r>
              <w:rPr>
                <w:szCs w:val="24"/>
              </w:rPr>
              <w:t>Blood Type</w:t>
            </w:r>
          </w:p>
        </w:tc>
      </w:tr>
      <w:tr w:rsidR="00D9132D" w:rsidRPr="00E120F6" w:rsidTr="007969E4">
        <w:trPr>
          <w:trHeight w:val="516"/>
        </w:trPr>
        <w:tc>
          <w:tcPr>
            <w:tcW w:w="2508" w:type="dxa"/>
            <w:vMerge/>
          </w:tcPr>
          <w:p w:rsidR="00D9132D" w:rsidRDefault="00D9132D" w:rsidP="00396A7A">
            <w:pPr>
              <w:pStyle w:val="Heading2"/>
              <w:keepNext w:val="0"/>
              <w:widowControl w:val="0"/>
              <w:spacing w:before="120" w:after="120"/>
              <w:ind w:left="72" w:right="72"/>
              <w:rPr>
                <w:szCs w:val="24"/>
              </w:rPr>
            </w:pPr>
          </w:p>
        </w:tc>
        <w:tc>
          <w:tcPr>
            <w:tcW w:w="2356" w:type="dxa"/>
          </w:tcPr>
          <w:p w:rsidR="00D9132D" w:rsidRDefault="00D9132D" w:rsidP="00D9132D">
            <w:pPr>
              <w:spacing w:before="120" w:after="120"/>
              <w:jc w:val="center"/>
              <w:rPr>
                <w:szCs w:val="24"/>
              </w:rPr>
            </w:pPr>
            <w:r>
              <w:rPr>
                <w:szCs w:val="24"/>
              </w:rPr>
              <w:t>DAT</w:t>
            </w:r>
          </w:p>
        </w:tc>
        <w:tc>
          <w:tcPr>
            <w:tcW w:w="2356" w:type="dxa"/>
            <w:gridSpan w:val="2"/>
          </w:tcPr>
          <w:p w:rsidR="00D9132D" w:rsidRDefault="00D9132D" w:rsidP="00D9132D">
            <w:pPr>
              <w:spacing w:before="120" w:after="120"/>
              <w:jc w:val="center"/>
              <w:rPr>
                <w:szCs w:val="24"/>
              </w:rPr>
            </w:pPr>
            <w:r>
              <w:rPr>
                <w:szCs w:val="24"/>
              </w:rPr>
              <w:t>DAT</w:t>
            </w:r>
          </w:p>
        </w:tc>
        <w:tc>
          <w:tcPr>
            <w:tcW w:w="2356" w:type="dxa"/>
          </w:tcPr>
          <w:p w:rsidR="00D9132D" w:rsidRDefault="00D9132D" w:rsidP="00D9132D">
            <w:pPr>
              <w:spacing w:before="120" w:after="120"/>
              <w:jc w:val="center"/>
              <w:rPr>
                <w:szCs w:val="24"/>
              </w:rPr>
            </w:pPr>
          </w:p>
        </w:tc>
      </w:tr>
      <w:tr w:rsidR="00D9132D" w:rsidRPr="00E120F6" w:rsidTr="007969E4">
        <w:trPr>
          <w:trHeight w:val="516"/>
        </w:trPr>
        <w:tc>
          <w:tcPr>
            <w:tcW w:w="2508" w:type="dxa"/>
            <w:vMerge/>
          </w:tcPr>
          <w:p w:rsidR="00D9132D" w:rsidRDefault="00D9132D" w:rsidP="00396A7A">
            <w:pPr>
              <w:pStyle w:val="Heading2"/>
              <w:keepNext w:val="0"/>
              <w:widowControl w:val="0"/>
              <w:spacing w:before="120" w:after="120"/>
              <w:ind w:left="72" w:right="72"/>
              <w:rPr>
                <w:szCs w:val="24"/>
              </w:rPr>
            </w:pPr>
          </w:p>
        </w:tc>
        <w:tc>
          <w:tcPr>
            <w:tcW w:w="2356" w:type="dxa"/>
          </w:tcPr>
          <w:p w:rsidR="00D9132D" w:rsidRDefault="00D9132D" w:rsidP="00D9132D">
            <w:pPr>
              <w:spacing w:before="120" w:after="120"/>
              <w:jc w:val="center"/>
              <w:rPr>
                <w:szCs w:val="24"/>
              </w:rPr>
            </w:pPr>
            <w:r>
              <w:rPr>
                <w:szCs w:val="24"/>
              </w:rPr>
              <w:t>Antibody Screen</w:t>
            </w:r>
          </w:p>
        </w:tc>
        <w:tc>
          <w:tcPr>
            <w:tcW w:w="2356" w:type="dxa"/>
            <w:gridSpan w:val="2"/>
          </w:tcPr>
          <w:p w:rsidR="00D9132D" w:rsidRDefault="00D9132D" w:rsidP="00D9132D">
            <w:pPr>
              <w:spacing w:before="120" w:after="120"/>
              <w:jc w:val="center"/>
              <w:rPr>
                <w:szCs w:val="24"/>
              </w:rPr>
            </w:pPr>
            <w:r>
              <w:rPr>
                <w:szCs w:val="24"/>
              </w:rPr>
              <w:t>Antibody Screen</w:t>
            </w:r>
          </w:p>
        </w:tc>
        <w:tc>
          <w:tcPr>
            <w:tcW w:w="2356" w:type="dxa"/>
          </w:tcPr>
          <w:p w:rsidR="00D9132D" w:rsidRDefault="00D9132D" w:rsidP="00D9132D">
            <w:pPr>
              <w:spacing w:before="120" w:after="120"/>
              <w:jc w:val="center"/>
              <w:rPr>
                <w:szCs w:val="24"/>
              </w:rPr>
            </w:pPr>
            <w:r>
              <w:rPr>
                <w:szCs w:val="24"/>
              </w:rPr>
              <w:t>Antibody Screen</w:t>
            </w:r>
          </w:p>
        </w:tc>
      </w:tr>
      <w:tr w:rsidR="007969E4" w:rsidRPr="00E120F6" w:rsidTr="007969E4">
        <w:trPr>
          <w:trHeight w:val="516"/>
        </w:trPr>
        <w:tc>
          <w:tcPr>
            <w:tcW w:w="2508" w:type="dxa"/>
            <w:vMerge/>
          </w:tcPr>
          <w:p w:rsidR="007969E4" w:rsidRDefault="007969E4" w:rsidP="00396A7A">
            <w:pPr>
              <w:pStyle w:val="Heading2"/>
              <w:keepNext w:val="0"/>
              <w:widowControl w:val="0"/>
              <w:spacing w:before="120" w:after="120"/>
              <w:ind w:left="72" w:right="72"/>
              <w:rPr>
                <w:szCs w:val="24"/>
              </w:rPr>
            </w:pPr>
          </w:p>
        </w:tc>
        <w:tc>
          <w:tcPr>
            <w:tcW w:w="2356" w:type="dxa"/>
          </w:tcPr>
          <w:p w:rsidR="007969E4" w:rsidRDefault="007969E4" w:rsidP="00D9132D">
            <w:pPr>
              <w:spacing w:before="120" w:after="120"/>
              <w:jc w:val="center"/>
              <w:rPr>
                <w:szCs w:val="24"/>
              </w:rPr>
            </w:pPr>
            <w:r>
              <w:rPr>
                <w:szCs w:val="24"/>
              </w:rPr>
              <w:t>Antibody ID</w:t>
            </w:r>
          </w:p>
        </w:tc>
        <w:tc>
          <w:tcPr>
            <w:tcW w:w="2356" w:type="dxa"/>
            <w:gridSpan w:val="2"/>
          </w:tcPr>
          <w:p w:rsidR="007969E4" w:rsidRDefault="007969E4" w:rsidP="00D9132D">
            <w:pPr>
              <w:spacing w:before="120" w:after="120"/>
              <w:jc w:val="center"/>
              <w:rPr>
                <w:szCs w:val="24"/>
              </w:rPr>
            </w:pPr>
            <w:r>
              <w:rPr>
                <w:szCs w:val="24"/>
              </w:rPr>
              <w:t>Antibody ID</w:t>
            </w:r>
          </w:p>
        </w:tc>
        <w:tc>
          <w:tcPr>
            <w:tcW w:w="2356" w:type="dxa"/>
          </w:tcPr>
          <w:p w:rsidR="007969E4" w:rsidRDefault="007969E4" w:rsidP="00D9132D">
            <w:pPr>
              <w:spacing w:before="120" w:after="120"/>
              <w:jc w:val="center"/>
              <w:rPr>
                <w:szCs w:val="24"/>
              </w:rPr>
            </w:pPr>
          </w:p>
        </w:tc>
      </w:tr>
      <w:tr w:rsidR="0033503A" w:rsidRPr="00E120F6" w:rsidTr="00E72BBE">
        <w:tc>
          <w:tcPr>
            <w:tcW w:w="2508" w:type="dxa"/>
            <w:vMerge w:val="restart"/>
          </w:tcPr>
          <w:p w:rsidR="0033503A" w:rsidRDefault="0033503A" w:rsidP="00CF4764">
            <w:pPr>
              <w:pStyle w:val="Heading2"/>
              <w:keepNext w:val="0"/>
              <w:widowControl w:val="0"/>
              <w:spacing w:before="120" w:after="120"/>
              <w:ind w:left="72" w:right="72"/>
              <w:rPr>
                <w:szCs w:val="24"/>
              </w:rPr>
            </w:pPr>
            <w:r>
              <w:rPr>
                <w:szCs w:val="24"/>
              </w:rPr>
              <w:t xml:space="preserve">Number of </w:t>
            </w:r>
            <w:r w:rsidR="00CF4764">
              <w:rPr>
                <w:szCs w:val="24"/>
              </w:rPr>
              <w:t>Tests</w:t>
            </w:r>
            <w:r w:rsidR="00D256FB">
              <w:rPr>
                <w:szCs w:val="24"/>
              </w:rPr>
              <w:t xml:space="preserve"> for </w:t>
            </w:r>
            <w:r w:rsidR="00AE339D">
              <w:rPr>
                <w:szCs w:val="24"/>
              </w:rPr>
              <w:t>Comparability</w:t>
            </w:r>
            <w:r w:rsidR="00D256FB">
              <w:rPr>
                <w:szCs w:val="24"/>
              </w:rPr>
              <w:t xml:space="preserve"> Study</w:t>
            </w:r>
          </w:p>
        </w:tc>
        <w:tc>
          <w:tcPr>
            <w:tcW w:w="3534" w:type="dxa"/>
            <w:gridSpan w:val="2"/>
          </w:tcPr>
          <w:p w:rsidR="0033503A" w:rsidRDefault="0033503A" w:rsidP="00D9132D">
            <w:pPr>
              <w:spacing w:before="120" w:after="120"/>
              <w:jc w:val="center"/>
              <w:rPr>
                <w:szCs w:val="24"/>
              </w:rPr>
            </w:pPr>
            <w:r>
              <w:rPr>
                <w:szCs w:val="24"/>
              </w:rPr>
              <w:t>Blood Type</w:t>
            </w:r>
          </w:p>
        </w:tc>
        <w:tc>
          <w:tcPr>
            <w:tcW w:w="3534" w:type="dxa"/>
            <w:gridSpan w:val="2"/>
          </w:tcPr>
          <w:p w:rsidR="0033503A" w:rsidRPr="009E6679" w:rsidRDefault="002D22A4" w:rsidP="00D9132D">
            <w:pPr>
              <w:spacing w:before="120" w:after="120"/>
              <w:jc w:val="center"/>
              <w:rPr>
                <w:szCs w:val="24"/>
              </w:rPr>
            </w:pPr>
            <w:r w:rsidRPr="009E6679">
              <w:rPr>
                <w:szCs w:val="24"/>
              </w:rPr>
              <w:t>1</w:t>
            </w:r>
            <w:r w:rsidR="009E6679" w:rsidRPr="009E6679">
              <w:rPr>
                <w:szCs w:val="24"/>
              </w:rPr>
              <w:t xml:space="preserve">Rh-positive, </w:t>
            </w:r>
            <w:r w:rsidRPr="009E6679">
              <w:rPr>
                <w:szCs w:val="24"/>
              </w:rPr>
              <w:t>1</w:t>
            </w:r>
            <w:r w:rsidR="0033503A" w:rsidRPr="009E6679">
              <w:rPr>
                <w:szCs w:val="24"/>
              </w:rPr>
              <w:t>Rh-negative</w:t>
            </w:r>
          </w:p>
        </w:tc>
      </w:tr>
      <w:tr w:rsidR="0033503A" w:rsidRPr="00E120F6" w:rsidTr="00E72BBE">
        <w:tc>
          <w:tcPr>
            <w:tcW w:w="2508" w:type="dxa"/>
            <w:vMerge/>
          </w:tcPr>
          <w:p w:rsidR="0033503A" w:rsidRDefault="0033503A" w:rsidP="00396A7A">
            <w:pPr>
              <w:pStyle w:val="Heading2"/>
              <w:keepNext w:val="0"/>
              <w:widowControl w:val="0"/>
              <w:spacing w:before="120" w:after="120"/>
              <w:ind w:left="72" w:right="72"/>
              <w:rPr>
                <w:szCs w:val="24"/>
              </w:rPr>
            </w:pPr>
          </w:p>
        </w:tc>
        <w:tc>
          <w:tcPr>
            <w:tcW w:w="3534" w:type="dxa"/>
            <w:gridSpan w:val="2"/>
          </w:tcPr>
          <w:p w:rsidR="0033503A" w:rsidRDefault="0033503A" w:rsidP="00D9132D">
            <w:pPr>
              <w:spacing w:before="120" w:after="120"/>
              <w:jc w:val="center"/>
              <w:rPr>
                <w:szCs w:val="24"/>
              </w:rPr>
            </w:pPr>
            <w:r>
              <w:rPr>
                <w:szCs w:val="24"/>
              </w:rPr>
              <w:t>DAT</w:t>
            </w:r>
          </w:p>
        </w:tc>
        <w:tc>
          <w:tcPr>
            <w:tcW w:w="3534" w:type="dxa"/>
            <w:gridSpan w:val="2"/>
          </w:tcPr>
          <w:p w:rsidR="0033503A" w:rsidRPr="009E6679" w:rsidRDefault="002D22A4" w:rsidP="00D9132D">
            <w:pPr>
              <w:spacing w:before="120" w:after="120"/>
              <w:jc w:val="center"/>
              <w:rPr>
                <w:szCs w:val="24"/>
              </w:rPr>
            </w:pPr>
            <w:r w:rsidRPr="009E6679">
              <w:rPr>
                <w:szCs w:val="24"/>
              </w:rPr>
              <w:t>1</w:t>
            </w:r>
            <w:r w:rsidR="009E6679" w:rsidRPr="009E6679">
              <w:rPr>
                <w:szCs w:val="24"/>
              </w:rPr>
              <w:t xml:space="preserve">positive, </w:t>
            </w:r>
            <w:r w:rsidRPr="009E6679">
              <w:rPr>
                <w:szCs w:val="24"/>
              </w:rPr>
              <w:t>1</w:t>
            </w:r>
            <w:r w:rsidR="0033503A" w:rsidRPr="009E6679">
              <w:rPr>
                <w:szCs w:val="24"/>
              </w:rPr>
              <w:t>negative</w:t>
            </w:r>
          </w:p>
        </w:tc>
      </w:tr>
      <w:tr w:rsidR="0033503A" w:rsidRPr="00E120F6" w:rsidTr="00E72BBE">
        <w:tc>
          <w:tcPr>
            <w:tcW w:w="2508" w:type="dxa"/>
            <w:vMerge/>
          </w:tcPr>
          <w:p w:rsidR="0033503A" w:rsidRDefault="0033503A" w:rsidP="00396A7A">
            <w:pPr>
              <w:pStyle w:val="Heading2"/>
              <w:keepNext w:val="0"/>
              <w:widowControl w:val="0"/>
              <w:spacing w:before="120" w:after="120"/>
              <w:ind w:left="72" w:right="72"/>
              <w:rPr>
                <w:szCs w:val="24"/>
              </w:rPr>
            </w:pPr>
          </w:p>
        </w:tc>
        <w:tc>
          <w:tcPr>
            <w:tcW w:w="3534" w:type="dxa"/>
            <w:gridSpan w:val="2"/>
          </w:tcPr>
          <w:p w:rsidR="0033503A" w:rsidRDefault="0033503A" w:rsidP="00D9132D">
            <w:pPr>
              <w:spacing w:before="120" w:after="120"/>
              <w:jc w:val="center"/>
              <w:rPr>
                <w:szCs w:val="24"/>
              </w:rPr>
            </w:pPr>
            <w:r>
              <w:rPr>
                <w:szCs w:val="24"/>
              </w:rPr>
              <w:t>Antibody Screen</w:t>
            </w:r>
          </w:p>
        </w:tc>
        <w:tc>
          <w:tcPr>
            <w:tcW w:w="3534" w:type="dxa"/>
            <w:gridSpan w:val="2"/>
          </w:tcPr>
          <w:p w:rsidR="0033503A" w:rsidRPr="009E6679" w:rsidRDefault="002D22A4" w:rsidP="0033503A">
            <w:pPr>
              <w:spacing w:before="120" w:after="120"/>
              <w:jc w:val="center"/>
              <w:rPr>
                <w:szCs w:val="24"/>
              </w:rPr>
            </w:pPr>
            <w:r w:rsidRPr="009E6679">
              <w:rPr>
                <w:szCs w:val="24"/>
              </w:rPr>
              <w:t>1</w:t>
            </w:r>
            <w:r w:rsidR="0033503A" w:rsidRPr="009E6679">
              <w:rPr>
                <w:szCs w:val="24"/>
              </w:rPr>
              <w:t xml:space="preserve">positive, </w:t>
            </w:r>
            <w:r w:rsidRPr="009E6679">
              <w:rPr>
                <w:szCs w:val="24"/>
              </w:rPr>
              <w:t>1</w:t>
            </w:r>
            <w:r w:rsidR="0033503A" w:rsidRPr="009E6679">
              <w:rPr>
                <w:szCs w:val="24"/>
              </w:rPr>
              <w:t>negative</w:t>
            </w:r>
          </w:p>
        </w:tc>
      </w:tr>
      <w:tr w:rsidR="0033503A" w:rsidRPr="00E120F6" w:rsidTr="00CD0607">
        <w:trPr>
          <w:trHeight w:val="737"/>
        </w:trPr>
        <w:tc>
          <w:tcPr>
            <w:tcW w:w="2508" w:type="dxa"/>
            <w:vMerge/>
          </w:tcPr>
          <w:p w:rsidR="0033503A" w:rsidRDefault="0033503A" w:rsidP="00396A7A">
            <w:pPr>
              <w:pStyle w:val="Heading2"/>
              <w:keepNext w:val="0"/>
              <w:widowControl w:val="0"/>
              <w:spacing w:before="120" w:after="120"/>
              <w:ind w:left="72" w:right="72"/>
              <w:rPr>
                <w:szCs w:val="24"/>
              </w:rPr>
            </w:pPr>
          </w:p>
        </w:tc>
        <w:tc>
          <w:tcPr>
            <w:tcW w:w="3534" w:type="dxa"/>
            <w:gridSpan w:val="2"/>
          </w:tcPr>
          <w:p w:rsidR="0033503A" w:rsidRDefault="0033503A" w:rsidP="00D9132D">
            <w:pPr>
              <w:spacing w:before="120" w:after="120"/>
              <w:jc w:val="center"/>
              <w:rPr>
                <w:szCs w:val="24"/>
              </w:rPr>
            </w:pPr>
            <w:r>
              <w:rPr>
                <w:szCs w:val="24"/>
              </w:rPr>
              <w:t>Antibody ID</w:t>
            </w:r>
          </w:p>
        </w:tc>
        <w:tc>
          <w:tcPr>
            <w:tcW w:w="3534" w:type="dxa"/>
            <w:gridSpan w:val="2"/>
          </w:tcPr>
          <w:p w:rsidR="0033503A" w:rsidRDefault="0033503A" w:rsidP="00D9132D">
            <w:pPr>
              <w:spacing w:before="120" w:after="120"/>
              <w:jc w:val="center"/>
              <w:rPr>
                <w:szCs w:val="24"/>
              </w:rPr>
            </w:pPr>
            <w:r>
              <w:rPr>
                <w:szCs w:val="24"/>
              </w:rPr>
              <w:t xml:space="preserve">Positive Screens from </w:t>
            </w:r>
            <w:r w:rsidR="00AE339D">
              <w:rPr>
                <w:szCs w:val="24"/>
              </w:rPr>
              <w:t>Comparability</w:t>
            </w:r>
            <w:r>
              <w:rPr>
                <w:szCs w:val="24"/>
              </w:rPr>
              <w:t xml:space="preserve"> Study</w:t>
            </w:r>
          </w:p>
        </w:tc>
      </w:tr>
      <w:tr w:rsidR="0033503A" w:rsidRPr="00E120F6" w:rsidTr="00E72BBE">
        <w:tc>
          <w:tcPr>
            <w:tcW w:w="2508" w:type="dxa"/>
          </w:tcPr>
          <w:p w:rsidR="0033503A" w:rsidRDefault="00CB71B5" w:rsidP="00396A7A">
            <w:pPr>
              <w:pStyle w:val="Heading2"/>
              <w:keepNext w:val="0"/>
              <w:widowControl w:val="0"/>
              <w:spacing w:before="120" w:after="120"/>
              <w:ind w:left="72" w:right="72"/>
              <w:rPr>
                <w:szCs w:val="24"/>
              </w:rPr>
            </w:pPr>
            <w:r>
              <w:rPr>
                <w:szCs w:val="24"/>
              </w:rPr>
              <w:t>Study Schedule</w:t>
            </w:r>
          </w:p>
        </w:tc>
        <w:tc>
          <w:tcPr>
            <w:tcW w:w="7068" w:type="dxa"/>
            <w:gridSpan w:val="4"/>
          </w:tcPr>
          <w:p w:rsidR="00B210BA" w:rsidRDefault="00CD0607" w:rsidP="00CD0607">
            <w:pPr>
              <w:spacing w:before="120" w:after="120"/>
              <w:rPr>
                <w:szCs w:val="24"/>
              </w:rPr>
            </w:pPr>
            <w:r>
              <w:rPr>
                <w:szCs w:val="24"/>
              </w:rPr>
              <w:t xml:space="preserve">Two comparability studies are required each year. </w:t>
            </w:r>
            <w:r w:rsidR="00B210BA">
              <w:rPr>
                <w:szCs w:val="24"/>
              </w:rPr>
              <w:t xml:space="preserve">The required number of </w:t>
            </w:r>
            <w:r>
              <w:rPr>
                <w:szCs w:val="24"/>
              </w:rPr>
              <w:t>tests</w:t>
            </w:r>
            <w:r w:rsidR="00B210BA">
              <w:rPr>
                <w:szCs w:val="24"/>
              </w:rPr>
              <w:t xml:space="preserve"> for </w:t>
            </w:r>
            <w:r>
              <w:rPr>
                <w:szCs w:val="24"/>
              </w:rPr>
              <w:t>each</w:t>
            </w:r>
            <w:r w:rsidR="00B210BA">
              <w:rPr>
                <w:szCs w:val="24"/>
              </w:rPr>
              <w:t xml:space="preserve"> </w:t>
            </w:r>
            <w:r w:rsidR="00AE339D">
              <w:rPr>
                <w:szCs w:val="24"/>
              </w:rPr>
              <w:t>comparability</w:t>
            </w:r>
            <w:r>
              <w:rPr>
                <w:szCs w:val="24"/>
              </w:rPr>
              <w:t xml:space="preserve"> study</w:t>
            </w:r>
            <w:r w:rsidR="00B210BA">
              <w:rPr>
                <w:szCs w:val="24"/>
              </w:rPr>
              <w:t xml:space="preserve"> should be completed and documented during the first half of the calendar year and again during the second half of the calendar year.</w:t>
            </w:r>
          </w:p>
        </w:tc>
      </w:tr>
      <w:tr w:rsidR="00B210BA" w:rsidRPr="00E120F6" w:rsidTr="00E72BBE">
        <w:tc>
          <w:tcPr>
            <w:tcW w:w="2508" w:type="dxa"/>
          </w:tcPr>
          <w:p w:rsidR="00B210BA" w:rsidRDefault="00B210BA" w:rsidP="00396A7A">
            <w:pPr>
              <w:pStyle w:val="Heading2"/>
              <w:keepNext w:val="0"/>
              <w:widowControl w:val="0"/>
              <w:spacing w:before="120" w:after="120"/>
              <w:ind w:left="72" w:right="72"/>
              <w:rPr>
                <w:szCs w:val="24"/>
              </w:rPr>
            </w:pPr>
            <w:r>
              <w:rPr>
                <w:szCs w:val="24"/>
              </w:rPr>
              <w:lastRenderedPageBreak/>
              <w:t>Selection of Samples</w:t>
            </w:r>
          </w:p>
        </w:tc>
        <w:tc>
          <w:tcPr>
            <w:tcW w:w="7068" w:type="dxa"/>
            <w:gridSpan w:val="4"/>
          </w:tcPr>
          <w:p w:rsidR="00B210BA" w:rsidRDefault="002A46ED" w:rsidP="002A46ED">
            <w:pPr>
              <w:spacing w:before="120" w:after="120"/>
              <w:rPr>
                <w:szCs w:val="24"/>
              </w:rPr>
            </w:pPr>
            <w:r>
              <w:rPr>
                <w:szCs w:val="24"/>
              </w:rPr>
              <w:t>Select samples for comparability studies based on the results from the primary method of testing; e.g. the primary method of testing blood type is the ProVue analyzer. Select 5-Rh-positive and 5 Rh-negative samples from ProVue testing to compare against tube testing.</w:t>
            </w:r>
          </w:p>
        </w:tc>
      </w:tr>
      <w:tr w:rsidR="000955B9" w:rsidRPr="00E120F6" w:rsidTr="00E72BBE">
        <w:tc>
          <w:tcPr>
            <w:tcW w:w="2508" w:type="dxa"/>
          </w:tcPr>
          <w:p w:rsidR="000955B9" w:rsidRDefault="000955B9" w:rsidP="00396A7A">
            <w:pPr>
              <w:pStyle w:val="Heading2"/>
              <w:keepNext w:val="0"/>
              <w:widowControl w:val="0"/>
              <w:spacing w:before="120" w:after="120"/>
              <w:ind w:left="72" w:right="72"/>
              <w:rPr>
                <w:szCs w:val="24"/>
              </w:rPr>
            </w:pPr>
            <w:r>
              <w:rPr>
                <w:szCs w:val="24"/>
              </w:rPr>
              <w:t xml:space="preserve">Documentation of </w:t>
            </w:r>
            <w:r w:rsidR="00AE339D">
              <w:rPr>
                <w:szCs w:val="24"/>
              </w:rPr>
              <w:t>Comparability</w:t>
            </w:r>
            <w:r>
              <w:rPr>
                <w:szCs w:val="24"/>
              </w:rPr>
              <w:t xml:space="preserve"> Study</w:t>
            </w:r>
          </w:p>
        </w:tc>
        <w:tc>
          <w:tcPr>
            <w:tcW w:w="7068" w:type="dxa"/>
            <w:gridSpan w:val="4"/>
          </w:tcPr>
          <w:p w:rsidR="000955B9" w:rsidRDefault="00D11006" w:rsidP="00494F70">
            <w:pPr>
              <w:spacing w:before="120" w:after="120"/>
              <w:rPr>
                <w:szCs w:val="24"/>
              </w:rPr>
            </w:pPr>
            <w:r>
              <w:rPr>
                <w:szCs w:val="24"/>
              </w:rPr>
              <w:t xml:space="preserve">The results and interpretation of testing will be displayed </w:t>
            </w:r>
            <w:r w:rsidR="008046C8">
              <w:rPr>
                <w:szCs w:val="24"/>
              </w:rPr>
              <w:t xml:space="preserve">in tables in a written </w:t>
            </w:r>
            <w:r w:rsidR="00494F70">
              <w:rPr>
                <w:szCs w:val="24"/>
              </w:rPr>
              <w:t>report</w:t>
            </w:r>
            <w:r w:rsidR="00E61080">
              <w:rPr>
                <w:szCs w:val="24"/>
              </w:rPr>
              <w:t>, see TRAN 6500 F</w:t>
            </w:r>
            <w:r w:rsidR="008046C8">
              <w:rPr>
                <w:szCs w:val="24"/>
              </w:rPr>
              <w:t xml:space="preserve">. Discrepancies between methods will be explained in </w:t>
            </w:r>
            <w:r w:rsidR="00494F70">
              <w:rPr>
                <w:szCs w:val="24"/>
              </w:rPr>
              <w:t>the</w:t>
            </w:r>
            <w:r w:rsidR="008046C8">
              <w:rPr>
                <w:szCs w:val="24"/>
              </w:rPr>
              <w:t xml:space="preserve"> written report accompanying the results and interpretations.</w:t>
            </w:r>
          </w:p>
        </w:tc>
      </w:tr>
      <w:tr w:rsidR="00F66D3A" w:rsidRPr="00E120F6" w:rsidTr="00E72BBE">
        <w:tc>
          <w:tcPr>
            <w:tcW w:w="2508" w:type="dxa"/>
          </w:tcPr>
          <w:p w:rsidR="00F66D3A" w:rsidRDefault="00F66D3A" w:rsidP="00396A7A">
            <w:pPr>
              <w:pStyle w:val="Heading2"/>
              <w:keepNext w:val="0"/>
              <w:widowControl w:val="0"/>
              <w:spacing w:before="120" w:after="120"/>
              <w:ind w:left="72" w:right="72"/>
              <w:rPr>
                <w:szCs w:val="24"/>
              </w:rPr>
            </w:pPr>
            <w:r>
              <w:rPr>
                <w:szCs w:val="24"/>
              </w:rPr>
              <w:t>Criteria for Acceptability</w:t>
            </w:r>
          </w:p>
        </w:tc>
        <w:tc>
          <w:tcPr>
            <w:tcW w:w="7068" w:type="dxa"/>
            <w:gridSpan w:val="4"/>
          </w:tcPr>
          <w:p w:rsidR="00C97F42" w:rsidRPr="00C97F42" w:rsidRDefault="00C97F42" w:rsidP="00C97F42">
            <w:pPr>
              <w:spacing w:before="120" w:after="120"/>
              <w:rPr>
                <w:szCs w:val="24"/>
              </w:rPr>
            </w:pPr>
            <w:r w:rsidRPr="00C97F42">
              <w:rPr>
                <w:szCs w:val="24"/>
              </w:rPr>
              <w:t>It is well known that the methods used in the identification of antigens and antibodies have differences in sensitivity and specificity; different enhancement media, incubation times and temperatures, cell suspensions and patient-related variables all interplay. Some antigens and antibodies are only able to be identified under specific circumstances. This variation is used to assist the technologist in the identification process, especially when a patient has multiple antibodies, antibody of undetermined specificity and/or warm/cold autoantibodies. This variation should not be presented between instruments of the same model and version.</w:t>
            </w:r>
          </w:p>
          <w:p w:rsidR="008E17D6" w:rsidRPr="00C97F42" w:rsidRDefault="00C97F42" w:rsidP="00C97F42">
            <w:pPr>
              <w:spacing w:before="120" w:after="120"/>
              <w:rPr>
                <w:sz w:val="20"/>
                <w:szCs w:val="24"/>
              </w:rPr>
            </w:pPr>
            <w:r w:rsidRPr="00C97F42">
              <w:rPr>
                <w:szCs w:val="24"/>
              </w:rPr>
              <w:t>The lead technologist or designee who reviews the comparability study will determine whether any discrepancy between results or interpretation are acceptable and forwards this to the medical director for approval.</w:t>
            </w:r>
          </w:p>
        </w:tc>
      </w:tr>
      <w:tr w:rsidR="00566BBC" w:rsidRPr="00E120F6" w:rsidTr="00E72BBE">
        <w:tc>
          <w:tcPr>
            <w:tcW w:w="2508" w:type="dxa"/>
          </w:tcPr>
          <w:p w:rsidR="00566BBC" w:rsidRDefault="00566BBC" w:rsidP="00396A7A">
            <w:pPr>
              <w:pStyle w:val="Heading2"/>
              <w:keepNext w:val="0"/>
              <w:widowControl w:val="0"/>
              <w:spacing w:before="120" w:after="120"/>
              <w:ind w:left="72" w:right="72"/>
              <w:rPr>
                <w:szCs w:val="24"/>
              </w:rPr>
            </w:pPr>
            <w:r>
              <w:rPr>
                <w:szCs w:val="24"/>
              </w:rPr>
              <w:t>References</w:t>
            </w:r>
          </w:p>
        </w:tc>
        <w:tc>
          <w:tcPr>
            <w:tcW w:w="7068" w:type="dxa"/>
            <w:gridSpan w:val="4"/>
          </w:tcPr>
          <w:p w:rsidR="00566BBC" w:rsidRDefault="00566BBC" w:rsidP="00566BBC">
            <w:pPr>
              <w:spacing w:before="120" w:after="120"/>
              <w:ind w:left="372" w:hanging="372"/>
              <w:rPr>
                <w:szCs w:val="24"/>
              </w:rPr>
            </w:pPr>
            <w:r>
              <w:rPr>
                <w:szCs w:val="24"/>
              </w:rPr>
              <w:t>Rumsey, DH, Ciesielski, DJ. “New protocols in serologic testing: a review of techniques to meet today’s challenges.” Immunohematology. 2000; 16(4): 131-137.</w:t>
            </w:r>
          </w:p>
          <w:p w:rsidR="00566BBC" w:rsidRDefault="00566BBC" w:rsidP="00566BBC">
            <w:pPr>
              <w:spacing w:before="120" w:after="120"/>
              <w:ind w:left="372" w:hanging="372"/>
              <w:rPr>
                <w:szCs w:val="24"/>
              </w:rPr>
            </w:pPr>
            <w:r>
              <w:rPr>
                <w:szCs w:val="24"/>
              </w:rPr>
              <w:t>Novaretti, MC, Silveira, EJ, Filho, EC, Dorlhiac-Llacer, PE, Chamome, DA. “Comparison of tube and gel techniques for antibody identification.” Immunohematology. 2000; 16(4): 138-141.</w:t>
            </w:r>
          </w:p>
          <w:p w:rsidR="00566BBC" w:rsidRDefault="00566BBC" w:rsidP="00566BBC">
            <w:pPr>
              <w:spacing w:before="120" w:after="120"/>
              <w:ind w:left="372" w:hanging="372"/>
              <w:rPr>
                <w:szCs w:val="24"/>
              </w:rPr>
            </w:pPr>
            <w:r>
              <w:rPr>
                <w:szCs w:val="24"/>
              </w:rPr>
              <w:t>Das, SS, Chaudhary, R, Khetan, D. “A comparison of conventional tube test and gel technique in evaluation of direct antiglobulin test.” Hematology. 2007 Apr; 12(2): 175-178.</w:t>
            </w:r>
          </w:p>
        </w:tc>
      </w:tr>
    </w:tbl>
    <w:p w:rsidR="00485FF1" w:rsidRDefault="00485FF1" w:rsidP="00556D1E">
      <w:pPr>
        <w:rPr>
          <w:szCs w:val="24"/>
        </w:rPr>
      </w:pPr>
    </w:p>
    <w:p w:rsidR="00D9132D" w:rsidRDefault="00D9132D" w:rsidP="00556D1E">
      <w:pPr>
        <w:rPr>
          <w:szCs w:val="24"/>
        </w:rPr>
      </w:pPr>
    </w:p>
    <w:p w:rsidR="00BF114F" w:rsidRDefault="00BF114F" w:rsidP="00556D1E">
      <w:pPr>
        <w:rPr>
          <w:szCs w:val="24"/>
        </w:rPr>
      </w:pPr>
    </w:p>
    <w:sectPr w:rsidR="00BF114F" w:rsidSect="00F823E1">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006" w:rsidRDefault="00D11006" w:rsidP="00611AD4">
      <w:r>
        <w:separator/>
      </w:r>
    </w:p>
  </w:endnote>
  <w:endnote w:type="continuationSeparator" w:id="0">
    <w:p w:rsidR="00D11006" w:rsidRDefault="00D11006" w:rsidP="0061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06" w:rsidRDefault="00D11006" w:rsidP="00295210">
    <w:pPr>
      <w:pStyle w:val="Footer"/>
      <w:jc w:val="center"/>
      <w:rPr>
        <w:b/>
        <w:bCs/>
        <w:sz w:val="20"/>
      </w:rPr>
    </w:pPr>
    <w:r>
      <w:rPr>
        <w:b/>
        <w:bCs/>
        <w:sz w:val="20"/>
      </w:rPr>
      <w:t>Saint</w:t>
    </w:r>
    <w:r w:rsidRPr="00FB5AA4">
      <w:rPr>
        <w:b/>
        <w:bCs/>
        <w:sz w:val="20"/>
      </w:rPr>
      <w:t xml:space="preserve"> Agnes Hospital, 900 S. Caton Avenue, </w:t>
    </w:r>
    <w:smartTag w:uri="urn:schemas-microsoft-com:office:smarttags" w:element="City">
      <w:r w:rsidRPr="00FB5AA4">
        <w:rPr>
          <w:b/>
          <w:bCs/>
          <w:sz w:val="20"/>
        </w:rPr>
        <w:t>Baltimore</w:t>
      </w:r>
    </w:smartTag>
    <w:r w:rsidRPr="00FB5AA4">
      <w:rPr>
        <w:b/>
        <w:bCs/>
        <w:sz w:val="20"/>
      </w:rPr>
      <w:t xml:space="preserve">, </w:t>
    </w:r>
    <w:smartTag w:uri="urn:schemas-microsoft-com:office:smarttags" w:element="State">
      <w:r w:rsidRPr="00FB5AA4">
        <w:rPr>
          <w:b/>
          <w:bCs/>
          <w:sz w:val="20"/>
        </w:rPr>
        <w:t>MD</w:t>
      </w:r>
    </w:smartTag>
    <w:r w:rsidRPr="00FB5AA4">
      <w:rPr>
        <w:b/>
        <w:bCs/>
        <w:sz w:val="20"/>
      </w:rPr>
      <w:t xml:space="preserve"> </w:t>
    </w:r>
    <w:smartTag w:uri="urn:schemas-microsoft-com:office:smarttags" w:element="PostalCode">
      <w:r w:rsidRPr="00FB5AA4">
        <w:rPr>
          <w:b/>
          <w:bCs/>
          <w:sz w:val="20"/>
        </w:rPr>
        <w:t>21229</w:t>
      </w:r>
    </w:smartTag>
  </w:p>
  <w:p w:rsidR="00D11006" w:rsidRPr="00FB5AA4" w:rsidRDefault="00D11006" w:rsidP="00295210">
    <w:pPr>
      <w:pStyle w:val="Footer"/>
      <w:jc w:val="center"/>
      <w:rPr>
        <w:b/>
        <w:bCs/>
        <w:sz w:val="20"/>
      </w:rPr>
    </w:pPr>
  </w:p>
  <w:p w:rsidR="00D11006" w:rsidRPr="00295210" w:rsidRDefault="00812D0E" w:rsidP="00295210">
    <w:pPr>
      <w:pStyle w:val="Footer"/>
      <w:jc w:val="center"/>
      <w:rPr>
        <w:b/>
        <w:bCs/>
        <w:sz w:val="20"/>
      </w:rPr>
    </w:pPr>
    <w:r w:rsidRPr="008548D8">
      <w:rPr>
        <w:b/>
        <w:bCs/>
        <w:sz w:val="20"/>
      </w:rPr>
      <w:fldChar w:fldCharType="begin"/>
    </w:r>
    <w:r w:rsidR="00D11006" w:rsidRPr="008548D8">
      <w:rPr>
        <w:b/>
        <w:bCs/>
        <w:sz w:val="20"/>
      </w:rPr>
      <w:instrText xml:space="preserve"> FILENAME \p </w:instrText>
    </w:r>
    <w:r w:rsidRPr="008548D8">
      <w:rPr>
        <w:b/>
        <w:bCs/>
        <w:sz w:val="20"/>
      </w:rPr>
      <w:fldChar w:fldCharType="separate"/>
    </w:r>
    <w:r w:rsidR="007254E1">
      <w:rPr>
        <w:b/>
        <w:bCs/>
        <w:noProof/>
        <w:sz w:val="20"/>
      </w:rPr>
      <w:t>P:\labadmin\Quality Management\TRAN\TRAN QSE 6-Process Control\TRAN 6000 R Comparability of Instruments and Methods v0.docx</w:t>
    </w:r>
    <w:r w:rsidRPr="008548D8">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006" w:rsidRDefault="00D11006" w:rsidP="00611AD4">
      <w:r>
        <w:separator/>
      </w:r>
    </w:p>
  </w:footnote>
  <w:footnote w:type="continuationSeparator" w:id="0">
    <w:p w:rsidR="00D11006" w:rsidRDefault="00D11006" w:rsidP="00611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115" w:type="dxa"/>
        <w:bottom w:w="43" w:type="dxa"/>
        <w:right w:w="115" w:type="dxa"/>
      </w:tblCellMar>
      <w:tblLook w:val="0000"/>
    </w:tblPr>
    <w:tblGrid>
      <w:gridCol w:w="5058"/>
      <w:gridCol w:w="4518"/>
    </w:tblGrid>
    <w:tr w:rsidR="00D11006" w:rsidRPr="00CE3B72" w:rsidTr="00F71615">
      <w:trPr>
        <w:trHeight w:hRule="exact" w:val="790"/>
        <w:jc w:val="center"/>
      </w:trPr>
      <w:tc>
        <w:tcPr>
          <w:tcW w:w="5058" w:type="dxa"/>
          <w:vAlign w:val="center"/>
        </w:tcPr>
        <w:p w:rsidR="00D11006" w:rsidRPr="00611AD4" w:rsidRDefault="00812D0E" w:rsidP="00F71615">
          <w:pPr>
            <w:pStyle w:val="Header"/>
            <w:spacing w:before="120"/>
            <w:rPr>
              <w:b/>
              <w:bCs/>
            </w:rPr>
          </w:pPr>
          <w:sdt>
            <w:sdtPr>
              <w:rPr>
                <w:b/>
                <w:bCs/>
              </w:rPr>
              <w:id w:val="591946188"/>
              <w:docPartObj>
                <w:docPartGallery w:val="Watermarks"/>
                <w:docPartUnique/>
              </w:docPartObj>
            </w:sdtPr>
            <w:sdtContent/>
          </w:sdt>
          <w:r w:rsidR="00D11006" w:rsidRPr="00611AD4">
            <w:rPr>
              <w:b/>
              <w:bCs/>
            </w:rPr>
            <w:t>Blood Bank Manual</w:t>
          </w:r>
        </w:p>
        <w:p w:rsidR="00D11006" w:rsidRPr="00611AD4" w:rsidRDefault="00D11006" w:rsidP="00F71615">
          <w:pPr>
            <w:pStyle w:val="Header"/>
            <w:spacing w:after="120"/>
            <w:rPr>
              <w:b/>
              <w:bCs/>
            </w:rPr>
          </w:pPr>
          <w:r w:rsidRPr="00611AD4">
            <w:rPr>
              <w:b/>
              <w:bCs/>
            </w:rPr>
            <w:t>Department of Pathology</w:t>
          </w:r>
        </w:p>
      </w:tc>
      <w:tc>
        <w:tcPr>
          <w:tcW w:w="4518" w:type="dxa"/>
          <w:vAlign w:val="center"/>
        </w:tcPr>
        <w:p w:rsidR="00D11006" w:rsidRPr="00611AD4" w:rsidRDefault="00D11006" w:rsidP="00F71615">
          <w:pPr>
            <w:pStyle w:val="Header"/>
            <w:spacing w:before="120"/>
            <w:rPr>
              <w:b/>
              <w:bCs/>
            </w:rPr>
          </w:pPr>
          <w:r>
            <w:rPr>
              <w:b/>
              <w:bCs/>
            </w:rPr>
            <w:t>Document No. TRAN</w:t>
          </w:r>
          <w:r w:rsidRPr="00611AD4">
            <w:rPr>
              <w:b/>
              <w:bCs/>
            </w:rPr>
            <w:t xml:space="preserve"> </w:t>
          </w:r>
          <w:r w:rsidRPr="009E6679">
            <w:rPr>
              <w:b/>
              <w:bCs/>
            </w:rPr>
            <w:t>6</w:t>
          </w:r>
          <w:r w:rsidR="002D22A4" w:rsidRPr="009E6679">
            <w:rPr>
              <w:b/>
              <w:bCs/>
            </w:rPr>
            <w:t>0</w:t>
          </w:r>
          <w:r w:rsidRPr="009E6679">
            <w:rPr>
              <w:b/>
              <w:bCs/>
            </w:rPr>
            <w:t>00 R</w:t>
          </w:r>
        </w:p>
        <w:p w:rsidR="00D11006" w:rsidRPr="00611AD4" w:rsidRDefault="00D11006" w:rsidP="00F71615">
          <w:pPr>
            <w:pStyle w:val="Header"/>
            <w:spacing w:after="120"/>
            <w:rPr>
              <w:b/>
              <w:bCs/>
            </w:rPr>
          </w:pPr>
          <w:r w:rsidRPr="00611AD4">
            <w:rPr>
              <w:b/>
              <w:bCs/>
            </w:rPr>
            <w:t xml:space="preserve">Page </w:t>
          </w:r>
          <w:r w:rsidR="00812D0E" w:rsidRPr="00611AD4">
            <w:rPr>
              <w:b/>
              <w:bCs/>
            </w:rPr>
            <w:fldChar w:fldCharType="begin"/>
          </w:r>
          <w:r w:rsidRPr="00611AD4">
            <w:rPr>
              <w:b/>
              <w:bCs/>
            </w:rPr>
            <w:instrText xml:space="preserve"> PAGE </w:instrText>
          </w:r>
          <w:r w:rsidR="00812D0E" w:rsidRPr="00611AD4">
            <w:rPr>
              <w:b/>
              <w:bCs/>
            </w:rPr>
            <w:fldChar w:fldCharType="separate"/>
          </w:r>
          <w:r w:rsidR="007254E1">
            <w:rPr>
              <w:b/>
              <w:bCs/>
              <w:noProof/>
            </w:rPr>
            <w:t>1</w:t>
          </w:r>
          <w:r w:rsidR="00812D0E" w:rsidRPr="00611AD4">
            <w:rPr>
              <w:b/>
              <w:bCs/>
            </w:rPr>
            <w:fldChar w:fldCharType="end"/>
          </w:r>
          <w:r w:rsidRPr="00611AD4">
            <w:rPr>
              <w:b/>
              <w:bCs/>
            </w:rPr>
            <w:t xml:space="preserve"> of </w:t>
          </w:r>
          <w:r w:rsidR="00812D0E" w:rsidRPr="00611AD4">
            <w:rPr>
              <w:b/>
              <w:bCs/>
            </w:rPr>
            <w:fldChar w:fldCharType="begin"/>
          </w:r>
          <w:r w:rsidRPr="00611AD4">
            <w:rPr>
              <w:b/>
              <w:bCs/>
            </w:rPr>
            <w:instrText xml:space="preserve"> NUMPAGES </w:instrText>
          </w:r>
          <w:r w:rsidR="00812D0E" w:rsidRPr="00611AD4">
            <w:rPr>
              <w:b/>
              <w:bCs/>
            </w:rPr>
            <w:fldChar w:fldCharType="separate"/>
          </w:r>
          <w:r w:rsidR="007254E1">
            <w:rPr>
              <w:b/>
              <w:bCs/>
              <w:noProof/>
            </w:rPr>
            <w:t>2</w:t>
          </w:r>
          <w:r w:rsidR="00812D0E" w:rsidRPr="00611AD4">
            <w:rPr>
              <w:b/>
              <w:bCs/>
            </w:rPr>
            <w:fldChar w:fldCharType="end"/>
          </w:r>
        </w:p>
      </w:tc>
    </w:tr>
    <w:tr w:rsidR="00D11006" w:rsidRPr="00CE3B72" w:rsidTr="00F71615">
      <w:trPr>
        <w:trHeight w:val="650"/>
        <w:jc w:val="center"/>
      </w:trPr>
      <w:tc>
        <w:tcPr>
          <w:tcW w:w="5058" w:type="dxa"/>
        </w:tcPr>
        <w:p w:rsidR="00D11006" w:rsidRPr="00611AD4" w:rsidRDefault="00D11006" w:rsidP="00F71615">
          <w:pPr>
            <w:pStyle w:val="Header"/>
            <w:spacing w:before="120"/>
            <w:rPr>
              <w:b/>
              <w:bCs/>
            </w:rPr>
          </w:pPr>
          <w:r w:rsidRPr="00611AD4">
            <w:rPr>
              <w:b/>
              <w:bCs/>
            </w:rPr>
            <w:t>Transfusion Services</w:t>
          </w:r>
        </w:p>
        <w:p w:rsidR="00D11006" w:rsidRPr="00611AD4" w:rsidRDefault="00D11006" w:rsidP="00F71615">
          <w:pPr>
            <w:pStyle w:val="Header"/>
            <w:spacing w:after="120"/>
            <w:rPr>
              <w:b/>
              <w:bCs/>
            </w:rPr>
          </w:pPr>
          <w:r>
            <w:rPr>
              <w:b/>
              <w:bCs/>
            </w:rPr>
            <w:t>Comparability of Instruments/Methods</w:t>
          </w:r>
        </w:p>
      </w:tc>
      <w:tc>
        <w:tcPr>
          <w:tcW w:w="4518" w:type="dxa"/>
        </w:tcPr>
        <w:p w:rsidR="00D11006" w:rsidRPr="00611AD4" w:rsidRDefault="009E6679" w:rsidP="00F71615">
          <w:pPr>
            <w:pStyle w:val="Header"/>
            <w:spacing w:before="120"/>
            <w:ind w:left="2412" w:hanging="2412"/>
            <w:rPr>
              <w:b/>
              <w:bCs/>
            </w:rPr>
          </w:pPr>
          <w:r>
            <w:rPr>
              <w:b/>
              <w:bCs/>
            </w:rPr>
            <w:t>Origination: 08/2014</w:t>
          </w:r>
        </w:p>
        <w:p w:rsidR="00D11006" w:rsidRPr="00611AD4" w:rsidRDefault="00D11006" w:rsidP="00F71615">
          <w:pPr>
            <w:pStyle w:val="Header"/>
            <w:spacing w:after="120"/>
            <w:ind w:left="2412"/>
            <w:rPr>
              <w:b/>
              <w:bCs/>
            </w:rPr>
          </w:pPr>
          <w:r>
            <w:rPr>
              <w:b/>
              <w:bCs/>
            </w:rPr>
            <w:t>Version: 0</w:t>
          </w:r>
        </w:p>
      </w:tc>
    </w:tr>
  </w:tbl>
  <w:p w:rsidR="00D11006" w:rsidRPr="00556D1E" w:rsidRDefault="00D11006" w:rsidP="00556D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8DA"/>
    <w:multiLevelType w:val="hybridMultilevel"/>
    <w:tmpl w:val="90AE0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A5799"/>
    <w:multiLevelType w:val="hybridMultilevel"/>
    <w:tmpl w:val="AD808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42026"/>
    <w:multiLevelType w:val="hybridMultilevel"/>
    <w:tmpl w:val="4B6C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308A2"/>
    <w:multiLevelType w:val="hybridMultilevel"/>
    <w:tmpl w:val="AC8A9718"/>
    <w:lvl w:ilvl="0" w:tplc="D870F5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92B0D"/>
    <w:multiLevelType w:val="hybridMultilevel"/>
    <w:tmpl w:val="5AC48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CF4960"/>
    <w:multiLevelType w:val="hybridMultilevel"/>
    <w:tmpl w:val="CC2435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020FFE"/>
    <w:multiLevelType w:val="hybridMultilevel"/>
    <w:tmpl w:val="6E4614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100803"/>
    <w:multiLevelType w:val="hybridMultilevel"/>
    <w:tmpl w:val="0C1A9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E30F0"/>
    <w:multiLevelType w:val="hybridMultilevel"/>
    <w:tmpl w:val="412ECE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6A571D"/>
    <w:multiLevelType w:val="hybridMultilevel"/>
    <w:tmpl w:val="F7A2BAFE"/>
    <w:lvl w:ilvl="0" w:tplc="D870F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205F9"/>
    <w:multiLevelType w:val="hybridMultilevel"/>
    <w:tmpl w:val="AF0A89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B20162"/>
    <w:multiLevelType w:val="hybridMultilevel"/>
    <w:tmpl w:val="586C7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553B9"/>
    <w:multiLevelType w:val="hybridMultilevel"/>
    <w:tmpl w:val="4FA027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3A7BAB"/>
    <w:multiLevelType w:val="hybridMultilevel"/>
    <w:tmpl w:val="AAC8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D1276"/>
    <w:multiLevelType w:val="hybridMultilevel"/>
    <w:tmpl w:val="F458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0B789B"/>
    <w:multiLevelType w:val="hybridMultilevel"/>
    <w:tmpl w:val="19C020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8"/>
  </w:num>
  <w:num w:numId="4">
    <w:abstractNumId w:val="12"/>
  </w:num>
  <w:num w:numId="5">
    <w:abstractNumId w:val="10"/>
  </w:num>
  <w:num w:numId="6">
    <w:abstractNumId w:val="5"/>
  </w:num>
  <w:num w:numId="7">
    <w:abstractNumId w:val="14"/>
  </w:num>
  <w:num w:numId="8">
    <w:abstractNumId w:val="1"/>
  </w:num>
  <w:num w:numId="9">
    <w:abstractNumId w:val="11"/>
  </w:num>
  <w:num w:numId="10">
    <w:abstractNumId w:val="3"/>
  </w:num>
  <w:num w:numId="11">
    <w:abstractNumId w:val="6"/>
  </w:num>
  <w:num w:numId="12">
    <w:abstractNumId w:val="9"/>
  </w:num>
  <w:num w:numId="13">
    <w:abstractNumId w:val="2"/>
  </w:num>
  <w:num w:numId="14">
    <w:abstractNumId w:val="13"/>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611AD4"/>
    <w:rsid w:val="00011F05"/>
    <w:rsid w:val="00022D57"/>
    <w:rsid w:val="00023E76"/>
    <w:rsid w:val="00031C24"/>
    <w:rsid w:val="00034508"/>
    <w:rsid w:val="00050948"/>
    <w:rsid w:val="00060C2F"/>
    <w:rsid w:val="00062F4E"/>
    <w:rsid w:val="00063134"/>
    <w:rsid w:val="00081CC3"/>
    <w:rsid w:val="00091EBB"/>
    <w:rsid w:val="0009324B"/>
    <w:rsid w:val="000955B9"/>
    <w:rsid w:val="000C063D"/>
    <w:rsid w:val="000C6258"/>
    <w:rsid w:val="000E7786"/>
    <w:rsid w:val="00105297"/>
    <w:rsid w:val="00124270"/>
    <w:rsid w:val="00127CFD"/>
    <w:rsid w:val="00193587"/>
    <w:rsid w:val="001952BC"/>
    <w:rsid w:val="001A2303"/>
    <w:rsid w:val="001B3127"/>
    <w:rsid w:val="001B75D6"/>
    <w:rsid w:val="001C616D"/>
    <w:rsid w:val="001C6FF1"/>
    <w:rsid w:val="001E49C2"/>
    <w:rsid w:val="001E4B60"/>
    <w:rsid w:val="001E5D16"/>
    <w:rsid w:val="001F2807"/>
    <w:rsid w:val="001F2BFA"/>
    <w:rsid w:val="00221EB9"/>
    <w:rsid w:val="00222054"/>
    <w:rsid w:val="0022381F"/>
    <w:rsid w:val="00250BF4"/>
    <w:rsid w:val="0025501F"/>
    <w:rsid w:val="00272140"/>
    <w:rsid w:val="002744F3"/>
    <w:rsid w:val="00282631"/>
    <w:rsid w:val="00295210"/>
    <w:rsid w:val="002A46ED"/>
    <w:rsid w:val="002A50CF"/>
    <w:rsid w:val="002D22A4"/>
    <w:rsid w:val="002E2062"/>
    <w:rsid w:val="002F5A16"/>
    <w:rsid w:val="003042EC"/>
    <w:rsid w:val="0030567D"/>
    <w:rsid w:val="0031534E"/>
    <w:rsid w:val="0033503A"/>
    <w:rsid w:val="00345253"/>
    <w:rsid w:val="00350273"/>
    <w:rsid w:val="0035373B"/>
    <w:rsid w:val="00362A26"/>
    <w:rsid w:val="00366593"/>
    <w:rsid w:val="003671CD"/>
    <w:rsid w:val="00372E64"/>
    <w:rsid w:val="00373DC8"/>
    <w:rsid w:val="0037703A"/>
    <w:rsid w:val="00383D55"/>
    <w:rsid w:val="00390033"/>
    <w:rsid w:val="00394814"/>
    <w:rsid w:val="00396A7A"/>
    <w:rsid w:val="003B0A10"/>
    <w:rsid w:val="003B2959"/>
    <w:rsid w:val="003B60DB"/>
    <w:rsid w:val="003C3A10"/>
    <w:rsid w:val="003C49AF"/>
    <w:rsid w:val="003D41DC"/>
    <w:rsid w:val="003F609A"/>
    <w:rsid w:val="003F7094"/>
    <w:rsid w:val="00417369"/>
    <w:rsid w:val="004241DA"/>
    <w:rsid w:val="00431D0E"/>
    <w:rsid w:val="0043262B"/>
    <w:rsid w:val="004419DE"/>
    <w:rsid w:val="0046128D"/>
    <w:rsid w:val="004623FF"/>
    <w:rsid w:val="00467B7A"/>
    <w:rsid w:val="00470D20"/>
    <w:rsid w:val="00485FF1"/>
    <w:rsid w:val="00494F70"/>
    <w:rsid w:val="004A02B3"/>
    <w:rsid w:val="004B1235"/>
    <w:rsid w:val="004B2FA7"/>
    <w:rsid w:val="004E6835"/>
    <w:rsid w:val="004F306B"/>
    <w:rsid w:val="00505EE9"/>
    <w:rsid w:val="00506C68"/>
    <w:rsid w:val="00514A79"/>
    <w:rsid w:val="00522EB9"/>
    <w:rsid w:val="00522F7B"/>
    <w:rsid w:val="0053627E"/>
    <w:rsid w:val="00542F40"/>
    <w:rsid w:val="00547524"/>
    <w:rsid w:val="00550D58"/>
    <w:rsid w:val="00556D1E"/>
    <w:rsid w:val="00566BBC"/>
    <w:rsid w:val="00567227"/>
    <w:rsid w:val="00570010"/>
    <w:rsid w:val="00570706"/>
    <w:rsid w:val="0059094F"/>
    <w:rsid w:val="005A290B"/>
    <w:rsid w:val="005D0F80"/>
    <w:rsid w:val="005F297E"/>
    <w:rsid w:val="005F368B"/>
    <w:rsid w:val="005F36B7"/>
    <w:rsid w:val="00611AD4"/>
    <w:rsid w:val="00612555"/>
    <w:rsid w:val="006320AF"/>
    <w:rsid w:val="0064178D"/>
    <w:rsid w:val="006643B2"/>
    <w:rsid w:val="006658E6"/>
    <w:rsid w:val="00666862"/>
    <w:rsid w:val="006729D0"/>
    <w:rsid w:val="00675FAD"/>
    <w:rsid w:val="006811DA"/>
    <w:rsid w:val="00692517"/>
    <w:rsid w:val="006947AC"/>
    <w:rsid w:val="006B027E"/>
    <w:rsid w:val="006C2352"/>
    <w:rsid w:val="006C4BB0"/>
    <w:rsid w:val="006C6D9D"/>
    <w:rsid w:val="006C6E7E"/>
    <w:rsid w:val="006D616A"/>
    <w:rsid w:val="006D6B94"/>
    <w:rsid w:val="006E1F0E"/>
    <w:rsid w:val="00712C66"/>
    <w:rsid w:val="007254E1"/>
    <w:rsid w:val="00726581"/>
    <w:rsid w:val="00727207"/>
    <w:rsid w:val="00735E66"/>
    <w:rsid w:val="007361A9"/>
    <w:rsid w:val="00744BD5"/>
    <w:rsid w:val="00772789"/>
    <w:rsid w:val="007969E4"/>
    <w:rsid w:val="007A6599"/>
    <w:rsid w:val="007B3637"/>
    <w:rsid w:val="007C03EC"/>
    <w:rsid w:val="007C164A"/>
    <w:rsid w:val="007C6AC8"/>
    <w:rsid w:val="007D51C8"/>
    <w:rsid w:val="007E4F5B"/>
    <w:rsid w:val="007E5FDB"/>
    <w:rsid w:val="007F2CA9"/>
    <w:rsid w:val="008046C8"/>
    <w:rsid w:val="008077B1"/>
    <w:rsid w:val="0081152E"/>
    <w:rsid w:val="00812C27"/>
    <w:rsid w:val="00812D0E"/>
    <w:rsid w:val="00814127"/>
    <w:rsid w:val="0086580B"/>
    <w:rsid w:val="008779B6"/>
    <w:rsid w:val="008825AB"/>
    <w:rsid w:val="008853C5"/>
    <w:rsid w:val="008C27F9"/>
    <w:rsid w:val="008D7296"/>
    <w:rsid w:val="008E17D6"/>
    <w:rsid w:val="00900983"/>
    <w:rsid w:val="00913C10"/>
    <w:rsid w:val="00936460"/>
    <w:rsid w:val="00937BDC"/>
    <w:rsid w:val="00950DD3"/>
    <w:rsid w:val="00973F05"/>
    <w:rsid w:val="009A47FA"/>
    <w:rsid w:val="009B1A74"/>
    <w:rsid w:val="009C5F21"/>
    <w:rsid w:val="009D65D3"/>
    <w:rsid w:val="009E6679"/>
    <w:rsid w:val="00A128D6"/>
    <w:rsid w:val="00A15CB8"/>
    <w:rsid w:val="00A41AC3"/>
    <w:rsid w:val="00A60273"/>
    <w:rsid w:val="00A84C5E"/>
    <w:rsid w:val="00A95B8C"/>
    <w:rsid w:val="00A96212"/>
    <w:rsid w:val="00A978E4"/>
    <w:rsid w:val="00AA41A9"/>
    <w:rsid w:val="00AD0C3A"/>
    <w:rsid w:val="00AE20AC"/>
    <w:rsid w:val="00AE2956"/>
    <w:rsid w:val="00AE339D"/>
    <w:rsid w:val="00AE5008"/>
    <w:rsid w:val="00AE5BBB"/>
    <w:rsid w:val="00B01857"/>
    <w:rsid w:val="00B05AFB"/>
    <w:rsid w:val="00B15262"/>
    <w:rsid w:val="00B210BA"/>
    <w:rsid w:val="00B233DE"/>
    <w:rsid w:val="00B27360"/>
    <w:rsid w:val="00B31293"/>
    <w:rsid w:val="00B41202"/>
    <w:rsid w:val="00B42437"/>
    <w:rsid w:val="00B449C5"/>
    <w:rsid w:val="00B527CE"/>
    <w:rsid w:val="00B55983"/>
    <w:rsid w:val="00B77CB7"/>
    <w:rsid w:val="00B848DA"/>
    <w:rsid w:val="00B91393"/>
    <w:rsid w:val="00BB0D77"/>
    <w:rsid w:val="00BB504A"/>
    <w:rsid w:val="00BF0746"/>
    <w:rsid w:val="00BF114F"/>
    <w:rsid w:val="00C1234C"/>
    <w:rsid w:val="00C13B5B"/>
    <w:rsid w:val="00C20148"/>
    <w:rsid w:val="00C26055"/>
    <w:rsid w:val="00C3127B"/>
    <w:rsid w:val="00C3740C"/>
    <w:rsid w:val="00C469A1"/>
    <w:rsid w:val="00C5015E"/>
    <w:rsid w:val="00C52383"/>
    <w:rsid w:val="00C603E2"/>
    <w:rsid w:val="00C67950"/>
    <w:rsid w:val="00C7009A"/>
    <w:rsid w:val="00C77A41"/>
    <w:rsid w:val="00C83D3D"/>
    <w:rsid w:val="00C96576"/>
    <w:rsid w:val="00C97F42"/>
    <w:rsid w:val="00CB1586"/>
    <w:rsid w:val="00CB1A36"/>
    <w:rsid w:val="00CB71B5"/>
    <w:rsid w:val="00CC4F98"/>
    <w:rsid w:val="00CD0607"/>
    <w:rsid w:val="00CD47E9"/>
    <w:rsid w:val="00CF4764"/>
    <w:rsid w:val="00D03843"/>
    <w:rsid w:val="00D03DCA"/>
    <w:rsid w:val="00D11006"/>
    <w:rsid w:val="00D1234F"/>
    <w:rsid w:val="00D256FB"/>
    <w:rsid w:val="00D647D3"/>
    <w:rsid w:val="00D84FC5"/>
    <w:rsid w:val="00D8638E"/>
    <w:rsid w:val="00D868AD"/>
    <w:rsid w:val="00D9132D"/>
    <w:rsid w:val="00DC64BE"/>
    <w:rsid w:val="00DE2BA8"/>
    <w:rsid w:val="00DE3D04"/>
    <w:rsid w:val="00DE6009"/>
    <w:rsid w:val="00DF34C1"/>
    <w:rsid w:val="00E02D12"/>
    <w:rsid w:val="00E04898"/>
    <w:rsid w:val="00E120F6"/>
    <w:rsid w:val="00E1473F"/>
    <w:rsid w:val="00E25FCA"/>
    <w:rsid w:val="00E33F92"/>
    <w:rsid w:val="00E50F12"/>
    <w:rsid w:val="00E56FF7"/>
    <w:rsid w:val="00E61080"/>
    <w:rsid w:val="00E72BBE"/>
    <w:rsid w:val="00E86B99"/>
    <w:rsid w:val="00EA59AD"/>
    <w:rsid w:val="00ED7C8E"/>
    <w:rsid w:val="00EE7E84"/>
    <w:rsid w:val="00EF26F0"/>
    <w:rsid w:val="00F06817"/>
    <w:rsid w:val="00F11E45"/>
    <w:rsid w:val="00F13BF3"/>
    <w:rsid w:val="00F20F4D"/>
    <w:rsid w:val="00F31D6F"/>
    <w:rsid w:val="00F43D76"/>
    <w:rsid w:val="00F579A5"/>
    <w:rsid w:val="00F66D3A"/>
    <w:rsid w:val="00F67120"/>
    <w:rsid w:val="00F71615"/>
    <w:rsid w:val="00F751A4"/>
    <w:rsid w:val="00F762D0"/>
    <w:rsid w:val="00F801BC"/>
    <w:rsid w:val="00F823E1"/>
    <w:rsid w:val="00F90DDB"/>
    <w:rsid w:val="00F915DE"/>
    <w:rsid w:val="00F96FB6"/>
    <w:rsid w:val="00FF46FB"/>
    <w:rsid w:val="00FF7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F6"/>
    <w:pPr>
      <w:spacing w:after="0" w:line="240" w:lineRule="auto"/>
    </w:pPr>
    <w:rPr>
      <w:rFonts w:ascii="Arial" w:eastAsia="Times New Roman" w:hAnsi="Arial" w:cs="Arial"/>
      <w:sz w:val="24"/>
      <w:szCs w:val="20"/>
    </w:rPr>
  </w:style>
  <w:style w:type="paragraph" w:styleId="Heading2">
    <w:name w:val="heading 2"/>
    <w:basedOn w:val="Normal"/>
    <w:next w:val="Normal"/>
    <w:link w:val="Heading2Char"/>
    <w:qFormat/>
    <w:rsid w:val="00E120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1AD4"/>
    <w:pPr>
      <w:tabs>
        <w:tab w:val="center" w:pos="4680"/>
        <w:tab w:val="right" w:pos="9360"/>
      </w:tabs>
    </w:pPr>
  </w:style>
  <w:style w:type="character" w:customStyle="1" w:styleId="HeaderChar">
    <w:name w:val="Header Char"/>
    <w:basedOn w:val="DefaultParagraphFont"/>
    <w:link w:val="Header"/>
    <w:uiPriority w:val="99"/>
    <w:rsid w:val="00611AD4"/>
  </w:style>
  <w:style w:type="paragraph" w:styleId="Footer">
    <w:name w:val="footer"/>
    <w:basedOn w:val="Normal"/>
    <w:link w:val="FooterChar"/>
    <w:unhideWhenUsed/>
    <w:rsid w:val="00611AD4"/>
    <w:pPr>
      <w:tabs>
        <w:tab w:val="center" w:pos="4680"/>
        <w:tab w:val="right" w:pos="9360"/>
      </w:tabs>
    </w:pPr>
  </w:style>
  <w:style w:type="character" w:customStyle="1" w:styleId="FooterChar">
    <w:name w:val="Footer Char"/>
    <w:basedOn w:val="DefaultParagraphFont"/>
    <w:link w:val="Footer"/>
    <w:uiPriority w:val="99"/>
    <w:semiHidden/>
    <w:rsid w:val="00611AD4"/>
  </w:style>
  <w:style w:type="paragraph" w:styleId="BalloonText">
    <w:name w:val="Balloon Text"/>
    <w:basedOn w:val="Normal"/>
    <w:link w:val="BalloonTextChar"/>
    <w:uiPriority w:val="99"/>
    <w:semiHidden/>
    <w:unhideWhenUsed/>
    <w:rsid w:val="00611AD4"/>
    <w:rPr>
      <w:rFonts w:ascii="Tahoma" w:hAnsi="Tahoma" w:cs="Tahoma"/>
      <w:sz w:val="16"/>
      <w:szCs w:val="16"/>
    </w:rPr>
  </w:style>
  <w:style w:type="character" w:customStyle="1" w:styleId="BalloonTextChar">
    <w:name w:val="Balloon Text Char"/>
    <w:basedOn w:val="DefaultParagraphFont"/>
    <w:link w:val="BalloonText"/>
    <w:uiPriority w:val="99"/>
    <w:semiHidden/>
    <w:rsid w:val="00611AD4"/>
    <w:rPr>
      <w:rFonts w:ascii="Tahoma" w:hAnsi="Tahoma" w:cs="Tahoma"/>
      <w:sz w:val="16"/>
      <w:szCs w:val="16"/>
    </w:rPr>
  </w:style>
  <w:style w:type="character" w:customStyle="1" w:styleId="Heading2Char">
    <w:name w:val="Heading 2 Char"/>
    <w:basedOn w:val="DefaultParagraphFont"/>
    <w:link w:val="Heading2"/>
    <w:rsid w:val="00E120F6"/>
    <w:rPr>
      <w:rFonts w:ascii="Arial" w:eastAsia="Times New Roman" w:hAnsi="Arial" w:cs="Arial"/>
      <w:b/>
      <w:sz w:val="24"/>
      <w:szCs w:val="20"/>
    </w:rPr>
  </w:style>
  <w:style w:type="paragraph" w:styleId="ListParagraph">
    <w:name w:val="List Paragraph"/>
    <w:basedOn w:val="Normal"/>
    <w:uiPriority w:val="34"/>
    <w:qFormat/>
    <w:rsid w:val="006658E6"/>
    <w:pPr>
      <w:ind w:left="720"/>
      <w:contextualSpacing/>
    </w:pPr>
  </w:style>
</w:styles>
</file>

<file path=word/webSettings.xml><?xml version="1.0" encoding="utf-8"?>
<w:webSettings xmlns:r="http://schemas.openxmlformats.org/officeDocument/2006/relationships" xmlns:w="http://schemas.openxmlformats.org/wordprocessingml/2006/main">
  <w:divs>
    <w:div w:id="13866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46AF5-4877-49A1-AE1B-8989B1B4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AHIS User</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jhession</cp:lastModifiedBy>
  <cp:revision>8</cp:revision>
  <cp:lastPrinted>2014-08-15T13:58:00Z</cp:lastPrinted>
  <dcterms:created xsi:type="dcterms:W3CDTF">2014-04-22T13:42:00Z</dcterms:created>
  <dcterms:modified xsi:type="dcterms:W3CDTF">2014-08-15T13:58:00Z</dcterms:modified>
</cp:coreProperties>
</file>