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10998" w:type="dxa"/>
        <w:tblLook w:val="0000" w:firstRow="0" w:lastRow="0" w:firstColumn="0" w:lastColumn="0" w:noHBand="0" w:noVBand="0"/>
      </w:tblPr>
      <w:tblGrid>
        <w:gridCol w:w="3078"/>
        <w:gridCol w:w="7920"/>
      </w:tblGrid>
      <w:tr w:rsidR="008C14B2" w:rsidRPr="00F3349F" w:rsidTr="008C14B2">
        <w:trPr>
          <w:cantSplit/>
          <w:trHeight w:val="357"/>
        </w:trPr>
        <w:tc>
          <w:tcPr>
            <w:tcW w:w="3078" w:type="dxa"/>
            <w:vMerge w:val="restart"/>
          </w:tcPr>
          <w:p w:rsidR="008C14B2" w:rsidRPr="00BF482B" w:rsidRDefault="00B44001" w:rsidP="008C14B2">
            <w:pPr>
              <w:pStyle w:val="Header"/>
              <w:rPr>
                <w:rFonts w:cs="Arial"/>
                <w:b w:val="0"/>
                <w:szCs w:val="22"/>
                <w:lang w:val="en-US" w:eastAsia="en-US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581150" cy="371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8C14B2" w:rsidRPr="00671EDC" w:rsidRDefault="00671EDC" w:rsidP="008C14B2">
            <w:pPr>
              <w:spacing w:after="0"/>
              <w:jc w:val="right"/>
              <w:rPr>
                <w:rFonts w:ascii="Arial" w:hAnsi="Arial" w:cs="Arial"/>
                <w:b/>
                <w:color w:val="0000CC"/>
              </w:rPr>
            </w:pPr>
            <w:r w:rsidRPr="00671EDC">
              <w:rPr>
                <w:rFonts w:ascii="Arial" w:hAnsi="Arial" w:cs="Arial"/>
                <w:b/>
                <w:color w:val="0000CC"/>
                <w:sz w:val="28"/>
              </w:rPr>
              <w:t>WORK INSTRUCTION</w:t>
            </w:r>
          </w:p>
        </w:tc>
      </w:tr>
      <w:tr w:rsidR="008C14B2" w:rsidRPr="00F3349F" w:rsidTr="008C14B2">
        <w:trPr>
          <w:cantSplit/>
          <w:trHeight w:val="330"/>
        </w:trPr>
        <w:tc>
          <w:tcPr>
            <w:tcW w:w="3078" w:type="dxa"/>
            <w:vMerge/>
            <w:tcBorders>
              <w:bottom w:val="single" w:sz="12" w:space="0" w:color="auto"/>
            </w:tcBorders>
          </w:tcPr>
          <w:p w:rsidR="008C14B2" w:rsidRPr="00BF482B" w:rsidRDefault="008C14B2" w:rsidP="008C14B2">
            <w:pPr>
              <w:pStyle w:val="Header"/>
              <w:rPr>
                <w:rFonts w:cs="Arial"/>
                <w:noProof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bottom w:val="single" w:sz="12" w:space="0" w:color="auto"/>
            </w:tcBorders>
            <w:vAlign w:val="center"/>
          </w:tcPr>
          <w:p w:rsidR="008C14B2" w:rsidRPr="00C908BF" w:rsidRDefault="00ED2E8D" w:rsidP="008C14B2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R-W-UA-2210-00</w:t>
            </w:r>
          </w:p>
        </w:tc>
      </w:tr>
      <w:tr w:rsidR="008C14B2" w:rsidRPr="00F3349F" w:rsidTr="008C14B2">
        <w:trPr>
          <w:cantSplit/>
          <w:trHeight w:val="345"/>
        </w:trPr>
        <w:tc>
          <w:tcPr>
            <w:tcW w:w="10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4B2" w:rsidRPr="00C908BF" w:rsidRDefault="00ED2E8D" w:rsidP="00C34AD2">
            <w:pPr>
              <w:pStyle w:val="DOC-TITLE"/>
            </w:pPr>
            <w:r>
              <w:t>hcg pregnancy rapid test</w:t>
            </w:r>
          </w:p>
        </w:tc>
      </w:tr>
      <w:tr w:rsidR="008C14B2" w:rsidRPr="00F3349F" w:rsidTr="008C14B2">
        <w:trPr>
          <w:cantSplit/>
          <w:trHeight w:val="345"/>
        </w:trPr>
        <w:tc>
          <w:tcPr>
            <w:tcW w:w="10998" w:type="dxa"/>
            <w:gridSpan w:val="2"/>
            <w:tcBorders>
              <w:top w:val="single" w:sz="12" w:space="0" w:color="auto"/>
            </w:tcBorders>
            <w:vAlign w:val="center"/>
          </w:tcPr>
          <w:p w:rsidR="008C14B2" w:rsidRPr="00BF482B" w:rsidRDefault="00ED2E8D" w:rsidP="008C14B2">
            <w:pPr>
              <w:pStyle w:val="BodyText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b/>
                <w:sz w:val="16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sz w:val="16"/>
                <w:lang w:val="en-US" w:eastAsia="en-US"/>
              </w:rPr>
            </w:r>
            <w:r w:rsidR="00083B67">
              <w:rPr>
                <w:b/>
                <w:sz w:val="16"/>
                <w:lang w:val="en-US" w:eastAsia="en-US"/>
              </w:rPr>
              <w:fldChar w:fldCharType="separate"/>
            </w:r>
            <w:r>
              <w:rPr>
                <w:b/>
                <w:sz w:val="16"/>
                <w:lang w:val="en-US" w:eastAsia="en-US"/>
              </w:rPr>
              <w:fldChar w:fldCharType="end"/>
            </w:r>
            <w:bookmarkEnd w:id="1"/>
            <w:r w:rsidR="008C14B2" w:rsidRPr="00BF482B">
              <w:rPr>
                <w:b/>
                <w:sz w:val="16"/>
                <w:lang w:val="en-US" w:eastAsia="en-US"/>
              </w:rPr>
              <w:t xml:space="preserve"> St. Joseph Medical Center Tacoma, WA</w:t>
            </w:r>
            <w:r w:rsidR="008C14B2" w:rsidRPr="00BF482B">
              <w:rPr>
                <w:b/>
                <w:sz w:val="16"/>
                <w:lang w:val="en-US" w:eastAsia="en-US"/>
              </w:rPr>
              <w:tab/>
              <w:t xml:space="preserve">   </w:t>
            </w:r>
            <w:r>
              <w:rPr>
                <w:b/>
                <w:sz w:val="16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b/>
                <w:sz w:val="16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sz w:val="16"/>
                <w:lang w:val="en-US" w:eastAsia="en-US"/>
              </w:rPr>
            </w:r>
            <w:r w:rsidR="00083B67">
              <w:rPr>
                <w:b/>
                <w:sz w:val="16"/>
                <w:lang w:val="en-US" w:eastAsia="en-US"/>
              </w:rPr>
              <w:fldChar w:fldCharType="separate"/>
            </w:r>
            <w:r>
              <w:rPr>
                <w:b/>
                <w:sz w:val="16"/>
                <w:lang w:val="en-US" w:eastAsia="en-US"/>
              </w:rPr>
              <w:fldChar w:fldCharType="end"/>
            </w:r>
            <w:bookmarkEnd w:id="2"/>
            <w:r w:rsidR="008C14B2" w:rsidRPr="00BF482B">
              <w:rPr>
                <w:b/>
                <w:sz w:val="16"/>
                <w:lang w:val="en-US" w:eastAsia="en-US"/>
              </w:rPr>
              <w:t xml:space="preserve"> St. Clare Hospital Lakewood, WA</w:t>
            </w:r>
            <w:r w:rsidR="008C14B2" w:rsidRPr="00BF482B">
              <w:rPr>
                <w:b/>
                <w:sz w:val="16"/>
                <w:lang w:val="en-US" w:eastAsia="en-US"/>
              </w:rPr>
              <w:tab/>
            </w:r>
            <w:r w:rsidR="008C14B2" w:rsidRPr="00BF482B">
              <w:rPr>
                <w:b/>
                <w:sz w:val="16"/>
                <w:lang w:val="en-US" w:eastAsia="en-US"/>
              </w:rPr>
              <w:tab/>
              <w:t xml:space="preserve">     </w:t>
            </w:r>
            <w:r>
              <w:rPr>
                <w:b/>
                <w:sz w:val="16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b/>
                <w:sz w:val="16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sz w:val="16"/>
                <w:lang w:val="en-US" w:eastAsia="en-US"/>
              </w:rPr>
            </w:r>
            <w:r w:rsidR="00083B67">
              <w:rPr>
                <w:b/>
                <w:sz w:val="16"/>
                <w:lang w:val="en-US" w:eastAsia="en-US"/>
              </w:rPr>
              <w:fldChar w:fldCharType="separate"/>
            </w:r>
            <w:r>
              <w:rPr>
                <w:b/>
                <w:sz w:val="16"/>
                <w:lang w:val="en-US" w:eastAsia="en-US"/>
              </w:rPr>
              <w:fldChar w:fldCharType="end"/>
            </w:r>
            <w:bookmarkEnd w:id="3"/>
            <w:r w:rsidR="008C14B2" w:rsidRPr="00BF482B">
              <w:rPr>
                <w:b/>
                <w:sz w:val="16"/>
                <w:lang w:val="en-US" w:eastAsia="en-US"/>
              </w:rPr>
              <w:t xml:space="preserve"> St. Elizabeth Hospital Enumclaw, WA</w:t>
            </w:r>
          </w:p>
          <w:p w:rsidR="008C14B2" w:rsidRPr="00BF482B" w:rsidRDefault="00ED2E8D" w:rsidP="00ED2E8D">
            <w:pPr>
              <w:pStyle w:val="BodyText"/>
              <w:rPr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"/>
            <w:r>
              <w:rPr>
                <w:b/>
                <w:sz w:val="16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sz w:val="16"/>
                <w:lang w:val="en-US" w:eastAsia="en-US"/>
              </w:rPr>
            </w:r>
            <w:r w:rsidR="00083B67">
              <w:rPr>
                <w:b/>
                <w:sz w:val="16"/>
                <w:lang w:val="en-US" w:eastAsia="en-US"/>
              </w:rPr>
              <w:fldChar w:fldCharType="separate"/>
            </w:r>
            <w:r>
              <w:rPr>
                <w:b/>
                <w:sz w:val="16"/>
                <w:lang w:val="en-US" w:eastAsia="en-US"/>
              </w:rPr>
              <w:fldChar w:fldCharType="end"/>
            </w:r>
            <w:bookmarkEnd w:id="4"/>
            <w:r w:rsidR="008C14B2" w:rsidRPr="00BF482B">
              <w:rPr>
                <w:b/>
                <w:sz w:val="16"/>
                <w:lang w:val="en-US" w:eastAsia="en-US"/>
              </w:rPr>
              <w:t xml:space="preserve"> St. Francis Hospital Federal Way, WA  </w:t>
            </w:r>
            <w:r w:rsidR="008C14B2" w:rsidRPr="00BF482B">
              <w:rPr>
                <w:b/>
                <w:sz w:val="16"/>
                <w:lang w:val="en-US" w:eastAsia="en-US"/>
              </w:rPr>
              <w:tab/>
              <w:t xml:space="preserve">   </w:t>
            </w:r>
            <w:r>
              <w:rPr>
                <w:b/>
                <w:sz w:val="16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b/>
                <w:sz w:val="16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sz w:val="16"/>
                <w:lang w:val="en-US" w:eastAsia="en-US"/>
              </w:rPr>
            </w:r>
            <w:r w:rsidR="00083B67">
              <w:rPr>
                <w:b/>
                <w:sz w:val="16"/>
                <w:lang w:val="en-US" w:eastAsia="en-US"/>
              </w:rPr>
              <w:fldChar w:fldCharType="separate"/>
            </w:r>
            <w:r>
              <w:rPr>
                <w:b/>
                <w:sz w:val="16"/>
                <w:lang w:val="en-US" w:eastAsia="en-US"/>
              </w:rPr>
              <w:fldChar w:fldCharType="end"/>
            </w:r>
            <w:bookmarkEnd w:id="5"/>
            <w:r w:rsidR="008C14B2" w:rsidRPr="00BF482B">
              <w:rPr>
                <w:b/>
                <w:sz w:val="16"/>
                <w:lang w:val="en-US" w:eastAsia="en-US"/>
              </w:rPr>
              <w:t xml:space="preserve"> St. Anthony Hospital Gig Harbor, WA</w:t>
            </w:r>
            <w:r w:rsidR="008C14B2" w:rsidRPr="00BF482B">
              <w:rPr>
                <w:b/>
                <w:sz w:val="16"/>
                <w:lang w:val="en-US" w:eastAsia="en-US"/>
              </w:rPr>
              <w:tab/>
              <w:t xml:space="preserve">     </w:t>
            </w:r>
            <w:bookmarkStart w:id="6" w:name="Check8"/>
            <w:r w:rsidR="00A97309" w:rsidRPr="00BF482B">
              <w:rPr>
                <w:b/>
                <w:sz w:val="16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4B2" w:rsidRPr="00BF482B">
              <w:rPr>
                <w:b/>
                <w:sz w:val="16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sz w:val="16"/>
                <w:lang w:val="en-US" w:eastAsia="en-US"/>
              </w:rPr>
            </w:r>
            <w:r w:rsidR="00083B67">
              <w:rPr>
                <w:b/>
                <w:sz w:val="16"/>
                <w:lang w:val="en-US" w:eastAsia="en-US"/>
              </w:rPr>
              <w:fldChar w:fldCharType="separate"/>
            </w:r>
            <w:r w:rsidR="00A97309" w:rsidRPr="00BF482B">
              <w:rPr>
                <w:b/>
                <w:sz w:val="16"/>
                <w:lang w:val="en-US" w:eastAsia="en-US"/>
              </w:rPr>
              <w:fldChar w:fldCharType="end"/>
            </w:r>
            <w:bookmarkEnd w:id="6"/>
            <w:r w:rsidR="008C14B2" w:rsidRPr="00BF482B">
              <w:rPr>
                <w:b/>
                <w:sz w:val="16"/>
                <w:lang w:val="en-US" w:eastAsia="en-US"/>
              </w:rPr>
              <w:t xml:space="preserve"> PSC</w:t>
            </w:r>
          </w:p>
        </w:tc>
      </w:tr>
    </w:tbl>
    <w:p w:rsidR="00ED2E8D" w:rsidRPr="00ED2E8D" w:rsidRDefault="00ED2E8D" w:rsidP="001C41B8">
      <w:pPr>
        <w:pStyle w:val="DOC-BodyText"/>
        <w:rPr>
          <w:b/>
          <w:lang w:val="en-US"/>
        </w:rPr>
      </w:pPr>
    </w:p>
    <w:p w:rsidR="00BF3E00" w:rsidRDefault="00ED2E8D" w:rsidP="001C41B8">
      <w:pPr>
        <w:pStyle w:val="DOC-BodyText"/>
        <w:rPr>
          <w:b/>
          <w:lang w:val="en-US"/>
        </w:rPr>
      </w:pPr>
      <w:r w:rsidRPr="00ED2E8D">
        <w:rPr>
          <w:b/>
          <w:lang w:val="en-US"/>
        </w:rPr>
        <w:t>PURPOSE</w:t>
      </w:r>
    </w:p>
    <w:p w:rsidR="00ED2E8D" w:rsidRDefault="00ED2E8D" w:rsidP="001C41B8">
      <w:pPr>
        <w:pStyle w:val="DOC-BodyText"/>
        <w:rPr>
          <w:b/>
          <w:lang w:val="en-US"/>
        </w:rPr>
      </w:pPr>
    </w:p>
    <w:p w:rsidR="00ED2E8D" w:rsidRDefault="00ED2E8D" w:rsidP="001C41B8">
      <w:pPr>
        <w:pStyle w:val="DOC-BodyText"/>
        <w:rPr>
          <w:lang w:val="en-US"/>
        </w:rPr>
      </w:pPr>
      <w:r>
        <w:rPr>
          <w:lang w:val="en-US"/>
        </w:rPr>
        <w:t>To provide instructions for the qualitative detection of human chorionic gonadotropin (</w:t>
      </w:r>
      <w:proofErr w:type="spellStart"/>
      <w:proofErr w:type="gramStart"/>
      <w:r>
        <w:rPr>
          <w:lang w:val="en-US"/>
        </w:rPr>
        <w:t>hCG</w:t>
      </w:r>
      <w:proofErr w:type="spellEnd"/>
      <w:proofErr w:type="gramEnd"/>
      <w:r>
        <w:rPr>
          <w:lang w:val="en-US"/>
        </w:rPr>
        <w:t>) in serum or urine.</w:t>
      </w:r>
    </w:p>
    <w:p w:rsidR="00ED2E8D" w:rsidRDefault="00ED2E8D" w:rsidP="001C41B8">
      <w:pPr>
        <w:pStyle w:val="DOC-BodyText"/>
        <w:rPr>
          <w:lang w:val="en-US"/>
        </w:rPr>
      </w:pPr>
    </w:p>
    <w:p w:rsidR="00ED2E8D" w:rsidRPr="00ED2E8D" w:rsidRDefault="00ED2E8D" w:rsidP="001C41B8">
      <w:pPr>
        <w:pStyle w:val="DOC-BodyText"/>
        <w:rPr>
          <w:b/>
          <w:lang w:val="en-US"/>
        </w:rPr>
      </w:pPr>
    </w:p>
    <w:p w:rsidR="00ED2E8D" w:rsidRDefault="00ED2E8D" w:rsidP="001C41B8">
      <w:pPr>
        <w:pStyle w:val="DOC-BodyText"/>
        <w:rPr>
          <w:b/>
          <w:lang w:val="en-US"/>
        </w:rPr>
      </w:pPr>
      <w:r w:rsidRPr="00ED2E8D">
        <w:rPr>
          <w:b/>
          <w:lang w:val="en-US"/>
        </w:rPr>
        <w:t>BACKGROUND</w:t>
      </w:r>
    </w:p>
    <w:p w:rsidR="00ED2E8D" w:rsidRDefault="00ED2E8D" w:rsidP="001C41B8">
      <w:pPr>
        <w:pStyle w:val="DOC-BodyText"/>
        <w:rPr>
          <w:b/>
          <w:lang w:val="en-US"/>
        </w:rPr>
      </w:pPr>
    </w:p>
    <w:p w:rsidR="00ED2E8D" w:rsidRDefault="00ED2E8D" w:rsidP="001C41B8">
      <w:pPr>
        <w:pStyle w:val="DOC-BodyText"/>
        <w:rPr>
          <w:lang w:val="en-US"/>
        </w:rPr>
      </w:pPr>
      <w:r>
        <w:rPr>
          <w:lang w:val="en-US"/>
        </w:rPr>
        <w:t xml:space="preserve">The </w:t>
      </w:r>
      <w:proofErr w:type="spellStart"/>
      <w:proofErr w:type="gramStart"/>
      <w:r>
        <w:rPr>
          <w:lang w:val="en-US"/>
        </w:rPr>
        <w:t>hCG</w:t>
      </w:r>
      <w:proofErr w:type="spellEnd"/>
      <w:proofErr w:type="gramEnd"/>
      <w:r>
        <w:rPr>
          <w:lang w:val="en-US"/>
        </w:rPr>
        <w:t xml:space="preserve"> Combo Rapid Test is a rapid chromatographic immunoassay for the qualitative detection of human chorionic gonadotropin (</w:t>
      </w:r>
      <w:proofErr w:type="spellStart"/>
      <w:r>
        <w:rPr>
          <w:lang w:val="en-US"/>
        </w:rPr>
        <w:t>hCG</w:t>
      </w:r>
      <w:proofErr w:type="spellEnd"/>
      <w:r>
        <w:rPr>
          <w:lang w:val="en-US"/>
        </w:rPr>
        <w:t xml:space="preserve">) in serum or urine to aid in the early detection of pregnancy. The test detects the presence of </w:t>
      </w:r>
      <w:proofErr w:type="spellStart"/>
      <w:proofErr w:type="gramStart"/>
      <w:r>
        <w:rPr>
          <w:lang w:val="en-US"/>
        </w:rPr>
        <w:t>hCG</w:t>
      </w:r>
      <w:proofErr w:type="spellEnd"/>
      <w:proofErr w:type="gramEnd"/>
      <w:r>
        <w:rPr>
          <w:lang w:val="en-US"/>
        </w:rPr>
        <w:t xml:space="preserve"> at the sensitivity of 10 </w:t>
      </w:r>
      <w:proofErr w:type="spellStart"/>
      <w:r>
        <w:rPr>
          <w:lang w:val="en-US"/>
        </w:rPr>
        <w:t>mlU</w:t>
      </w:r>
      <w:proofErr w:type="spellEnd"/>
      <w:r>
        <w:rPr>
          <w:lang w:val="en-US"/>
        </w:rPr>
        <w:t xml:space="preserve">/ml in serum and 20mIU/ml in urine. </w:t>
      </w:r>
      <w:r w:rsidR="008040DB">
        <w:rPr>
          <w:lang w:val="en-US"/>
        </w:rPr>
        <w:t>The assay utilizes a combination of antibodies including mouse monoclonal anti-</w:t>
      </w:r>
      <w:proofErr w:type="spellStart"/>
      <w:r w:rsidR="008040DB">
        <w:rPr>
          <w:lang w:val="en-US"/>
        </w:rPr>
        <w:t>hCG</w:t>
      </w:r>
      <w:proofErr w:type="spellEnd"/>
      <w:r w:rsidR="008040DB">
        <w:rPr>
          <w:lang w:val="en-US"/>
        </w:rPr>
        <w:t xml:space="preserve"> antibodies and goat polyclonal anti-</w:t>
      </w:r>
      <w:proofErr w:type="spellStart"/>
      <w:r w:rsidR="008040DB">
        <w:rPr>
          <w:lang w:val="en-US"/>
        </w:rPr>
        <w:t>hCG</w:t>
      </w:r>
      <w:proofErr w:type="spellEnd"/>
      <w:r w:rsidR="008040DB">
        <w:rPr>
          <w:lang w:val="en-US"/>
        </w:rPr>
        <w:t xml:space="preserve"> antibodies to selectively detect elevated levels of </w:t>
      </w:r>
      <w:proofErr w:type="spellStart"/>
      <w:proofErr w:type="gramStart"/>
      <w:r w:rsidR="008040DB">
        <w:rPr>
          <w:lang w:val="en-US"/>
        </w:rPr>
        <w:t>hCG</w:t>
      </w:r>
      <w:proofErr w:type="spellEnd"/>
      <w:proofErr w:type="gramEnd"/>
      <w:r w:rsidR="008040DB">
        <w:rPr>
          <w:lang w:val="en-US"/>
        </w:rPr>
        <w:t xml:space="preserve">.  The specimen migrates via capillary action along the membrane to react with the colored conjugate. </w:t>
      </w:r>
    </w:p>
    <w:p w:rsidR="008040DB" w:rsidRDefault="008040DB" w:rsidP="001C41B8">
      <w:pPr>
        <w:pStyle w:val="DOC-BodyText"/>
        <w:rPr>
          <w:lang w:val="en-US"/>
        </w:rPr>
      </w:pPr>
    </w:p>
    <w:p w:rsidR="008040DB" w:rsidRPr="008040DB" w:rsidRDefault="008040DB" w:rsidP="001C41B8">
      <w:pPr>
        <w:pStyle w:val="DOC-BodyText"/>
        <w:rPr>
          <w:b/>
          <w:lang w:val="en-US"/>
        </w:rPr>
      </w:pPr>
    </w:p>
    <w:p w:rsidR="008040DB" w:rsidRPr="008040DB" w:rsidRDefault="008040DB" w:rsidP="001C41B8">
      <w:pPr>
        <w:pStyle w:val="DOC-BodyText"/>
        <w:rPr>
          <w:b/>
          <w:lang w:val="en-US"/>
        </w:rPr>
      </w:pPr>
      <w:r w:rsidRPr="008040DB">
        <w:rPr>
          <w:b/>
          <w:lang w:val="en-US"/>
        </w:rPr>
        <w:t>SUPPLIES</w:t>
      </w:r>
    </w:p>
    <w:p w:rsidR="00F3349F" w:rsidRPr="00C908BF" w:rsidRDefault="00F3349F" w:rsidP="00C908BF">
      <w:pPr>
        <w:pStyle w:val="DOC-BodyText"/>
        <w:rPr>
          <w:rFonts w:cs="Arial"/>
        </w:rPr>
      </w:pPr>
    </w:p>
    <w:p w:rsidR="00B44001" w:rsidRDefault="008040DB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1.   Kit contains 30 individually packaged test cassettes</w:t>
      </w:r>
      <w:r w:rsidR="00B44001">
        <w:rPr>
          <w:rFonts w:cs="Arial"/>
          <w:lang w:val="en-US"/>
        </w:rPr>
        <w:t xml:space="preserve"> and disposable dropper.  Store at room temperature, 15-30˚</w:t>
      </w:r>
      <w:r w:rsidR="003B3E81">
        <w:rPr>
          <w:rFonts w:cs="Arial"/>
          <w:lang w:val="en-US"/>
        </w:rPr>
        <w:t xml:space="preserve">C or refrigerate at 2-8˚C.  Do not freeze. </w:t>
      </w:r>
      <w:r w:rsidR="00A7479F">
        <w:rPr>
          <w:rFonts w:cs="Arial"/>
          <w:lang w:val="en-US"/>
        </w:rPr>
        <w:t xml:space="preserve"> Record date opened and tech initials on kit when kit is put into use. </w:t>
      </w:r>
    </w:p>
    <w:p w:rsidR="00B44001" w:rsidRDefault="00B44001" w:rsidP="00C908BF">
      <w:pPr>
        <w:pStyle w:val="DOC-BodyText"/>
        <w:rPr>
          <w:rFonts w:cs="Arial"/>
          <w:lang w:val="en-US"/>
        </w:rPr>
      </w:pPr>
    </w:p>
    <w:p w:rsidR="00CD5385" w:rsidRDefault="00B44001" w:rsidP="00C908BF">
      <w:pPr>
        <w:pStyle w:val="DOC-BodyText"/>
        <w:rPr>
          <w:rFonts w:cs="Arial"/>
          <w:lang w:val="en-US"/>
        </w:rPr>
      </w:pPr>
      <w:r>
        <w:rPr>
          <w:rFonts w:cs="Arial"/>
          <w:lang w:val="en-US"/>
        </w:rPr>
        <w:t>2.   Sure-</w:t>
      </w:r>
      <w:proofErr w:type="spellStart"/>
      <w:r>
        <w:rPr>
          <w:rFonts w:cs="Arial"/>
          <w:lang w:val="en-US"/>
        </w:rPr>
        <w:t>Vue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hCG</w:t>
      </w:r>
      <w:proofErr w:type="spellEnd"/>
      <w:r>
        <w:rPr>
          <w:rFonts w:cs="Arial"/>
          <w:lang w:val="en-US"/>
        </w:rPr>
        <w:t xml:space="preserve">-STAT controls are stored refrigerated at 2-8˚C. </w:t>
      </w:r>
    </w:p>
    <w:p w:rsidR="00CD5385" w:rsidRDefault="00CD5385" w:rsidP="00C908BF">
      <w:pPr>
        <w:pStyle w:val="DOC-BodyText"/>
        <w:rPr>
          <w:rFonts w:cs="Arial"/>
          <w:lang w:val="en-US"/>
        </w:rPr>
      </w:pPr>
    </w:p>
    <w:p w:rsidR="00B44001" w:rsidRDefault="00CD5385" w:rsidP="00C908BF">
      <w:pPr>
        <w:pStyle w:val="DOC-BodyText"/>
        <w:rPr>
          <w:rFonts w:cs="Arial"/>
          <w:lang w:val="en-US"/>
        </w:rPr>
      </w:pPr>
      <w:r>
        <w:rPr>
          <w:rFonts w:cs="Arial"/>
          <w:lang w:val="en-US"/>
        </w:rPr>
        <w:t xml:space="preserve">3.   </w:t>
      </w:r>
      <w:proofErr w:type="spellStart"/>
      <w:r>
        <w:rPr>
          <w:rFonts w:cs="Arial"/>
          <w:lang w:val="en-US"/>
        </w:rPr>
        <w:t>Quantimetrix</w:t>
      </w:r>
      <w:proofErr w:type="spellEnd"/>
      <w:r>
        <w:rPr>
          <w:rFonts w:cs="Arial"/>
          <w:lang w:val="en-US"/>
        </w:rPr>
        <w:t xml:space="preserve"> controls for urine.  Store at 2-8˚C.</w:t>
      </w:r>
      <w:r w:rsidR="00B44001">
        <w:rPr>
          <w:rFonts w:cs="Arial"/>
          <w:lang w:val="en-US"/>
        </w:rPr>
        <w:br/>
      </w:r>
    </w:p>
    <w:p w:rsidR="00B44001" w:rsidRPr="00B44001" w:rsidRDefault="00B44001" w:rsidP="00C908BF">
      <w:pPr>
        <w:pStyle w:val="DOC-BodyText"/>
        <w:rPr>
          <w:rFonts w:cs="Arial"/>
          <w:b/>
          <w:lang w:val="en-US"/>
        </w:rPr>
      </w:pPr>
    </w:p>
    <w:p w:rsidR="00B44001" w:rsidRDefault="00B44001" w:rsidP="00C908BF">
      <w:pPr>
        <w:pStyle w:val="DOC-BodyText"/>
        <w:rPr>
          <w:rFonts w:cs="Arial"/>
          <w:b/>
          <w:lang w:val="en-US"/>
        </w:rPr>
      </w:pPr>
      <w:r w:rsidRPr="00B44001">
        <w:rPr>
          <w:rFonts w:cs="Arial"/>
          <w:b/>
          <w:lang w:val="en-US"/>
        </w:rPr>
        <w:t>SPECIMEN COLLECTION</w:t>
      </w:r>
      <w:r>
        <w:rPr>
          <w:rFonts w:cs="Arial"/>
          <w:b/>
          <w:lang w:val="en-US"/>
        </w:rPr>
        <w:br/>
      </w:r>
    </w:p>
    <w:p w:rsidR="003B3E81" w:rsidRDefault="003B3E81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1.   Urine specimen must be collected in a clean and dry container.  A firs</w:t>
      </w:r>
      <w:r w:rsidR="00F40BFA">
        <w:rPr>
          <w:rFonts w:cs="Arial"/>
          <w:lang w:val="en-US"/>
        </w:rPr>
        <w:t xml:space="preserve">t morning specimen is preferred </w:t>
      </w:r>
      <w:r>
        <w:rPr>
          <w:rFonts w:cs="Arial"/>
          <w:lang w:val="en-US"/>
        </w:rPr>
        <w:t xml:space="preserve">since it may contain higher levels of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>, however urine specimens collected at any part of the day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may be used.  Any visible precipitates should be centrifuged, filtered or allowed to settle to obtain a clear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specimen prior to testing. </w:t>
      </w:r>
    </w:p>
    <w:p w:rsidR="003B3E81" w:rsidRDefault="003B3E81" w:rsidP="00F40BFA">
      <w:pPr>
        <w:pStyle w:val="DOC-BodyText"/>
        <w:ind w:left="360" w:hanging="360"/>
        <w:rPr>
          <w:rFonts w:cs="Arial"/>
          <w:lang w:val="en-US"/>
        </w:rPr>
      </w:pPr>
    </w:p>
    <w:p w:rsidR="003B3E81" w:rsidRDefault="003B3E81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2.   Serum is collected from the patient and centrifuged as soon as possible.   Avoid hemolysis which may</w:t>
      </w:r>
      <w:r w:rsidR="00F40BFA">
        <w:rPr>
          <w:rFonts w:cs="Arial"/>
          <w:lang w:val="en-US"/>
        </w:rPr>
        <w:t xml:space="preserve"> int</w:t>
      </w:r>
      <w:r>
        <w:rPr>
          <w:rFonts w:cs="Arial"/>
          <w:lang w:val="en-US"/>
        </w:rPr>
        <w:t xml:space="preserve">erfere with reading the test lines. </w:t>
      </w:r>
    </w:p>
    <w:p w:rsidR="003B3E81" w:rsidRDefault="003B3E81" w:rsidP="00F40BFA">
      <w:pPr>
        <w:pStyle w:val="DOC-BodyText"/>
        <w:ind w:left="360" w:hanging="360"/>
        <w:rPr>
          <w:rFonts w:cs="Arial"/>
          <w:lang w:val="en-US"/>
        </w:rPr>
      </w:pPr>
    </w:p>
    <w:p w:rsidR="003C2A96" w:rsidRDefault="003B3E81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3.   Serum or urine may be stored at 2-8˚C for up to 48</w:t>
      </w:r>
      <w:r w:rsidR="00693B24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hrs</w:t>
      </w:r>
      <w:proofErr w:type="spellEnd"/>
      <w:r>
        <w:rPr>
          <w:rFonts w:cs="Arial"/>
          <w:lang w:val="en-US"/>
        </w:rPr>
        <w:t xml:space="preserve"> prior to testing.  F</w:t>
      </w:r>
      <w:r w:rsidR="00F40BFA">
        <w:rPr>
          <w:rFonts w:cs="Arial"/>
          <w:lang w:val="en-US"/>
        </w:rPr>
        <w:t xml:space="preserve">or prolonged storage, specimens </w:t>
      </w:r>
      <w:r>
        <w:rPr>
          <w:rFonts w:cs="Arial"/>
          <w:lang w:val="en-US"/>
        </w:rPr>
        <w:t xml:space="preserve">may be frozen and stored at -20˚C.  Thaw and mix thoroughly before testing. </w:t>
      </w:r>
    </w:p>
    <w:p w:rsidR="003C2A96" w:rsidRDefault="003C2A96" w:rsidP="00C908BF">
      <w:pPr>
        <w:pStyle w:val="DOC-BodyText"/>
        <w:rPr>
          <w:rFonts w:cs="Arial"/>
          <w:lang w:val="en-US"/>
        </w:rPr>
      </w:pPr>
    </w:p>
    <w:p w:rsidR="003C2A96" w:rsidRDefault="003C2A96" w:rsidP="00C908BF">
      <w:pPr>
        <w:pStyle w:val="DOC-BodyText"/>
        <w:rPr>
          <w:rFonts w:cs="Arial"/>
          <w:lang w:val="en-US"/>
        </w:rPr>
      </w:pPr>
    </w:p>
    <w:p w:rsidR="003C2A96" w:rsidRDefault="003C2A96" w:rsidP="00C908BF">
      <w:pPr>
        <w:pStyle w:val="DOC-BodyText"/>
        <w:rPr>
          <w:rFonts w:cs="Arial"/>
          <w:b/>
          <w:lang w:val="en-US"/>
        </w:rPr>
      </w:pPr>
      <w:r w:rsidRPr="003C2A96">
        <w:rPr>
          <w:rFonts w:cs="Arial"/>
          <w:b/>
          <w:lang w:val="en-US"/>
        </w:rPr>
        <w:t>STEPS</w:t>
      </w:r>
    </w:p>
    <w:p w:rsidR="003C2A96" w:rsidRDefault="003C2A96" w:rsidP="00C908BF">
      <w:pPr>
        <w:pStyle w:val="DOC-BodyText"/>
        <w:rPr>
          <w:rFonts w:cs="Arial"/>
          <w:b/>
          <w:lang w:val="en-US"/>
        </w:rPr>
      </w:pPr>
    </w:p>
    <w:p w:rsidR="003C2A96" w:rsidRDefault="003C2A96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1.   The test cassette must remain in the sealed pouch until ready for use. Do not use the</w:t>
      </w:r>
      <w:r w:rsidR="00F40BFA">
        <w:rPr>
          <w:rFonts w:cs="Arial"/>
          <w:lang w:val="en-US"/>
        </w:rPr>
        <w:t xml:space="preserve"> cassette if the </w:t>
      </w:r>
      <w:r>
        <w:rPr>
          <w:rFonts w:cs="Arial"/>
          <w:lang w:val="en-US"/>
        </w:rPr>
        <w:t>package is torn or ripped or the cassette itself is damaged.</w:t>
      </w:r>
    </w:p>
    <w:p w:rsidR="003C2A96" w:rsidRDefault="003C2A96" w:rsidP="00F40BFA">
      <w:pPr>
        <w:pStyle w:val="DOC-BodyText"/>
        <w:ind w:left="360" w:hanging="360"/>
        <w:rPr>
          <w:rFonts w:cs="Arial"/>
          <w:lang w:val="en-US"/>
        </w:rPr>
      </w:pPr>
    </w:p>
    <w:p w:rsidR="003C2A96" w:rsidRDefault="003C2A96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2.   Allow the test cassette, serum or urine specimen and controls to co</w:t>
      </w:r>
      <w:r w:rsidR="00F40BFA">
        <w:rPr>
          <w:rFonts w:cs="Arial"/>
          <w:lang w:val="en-US"/>
        </w:rPr>
        <w:t xml:space="preserve">me to room temperature, 15-30˚C </w:t>
      </w:r>
      <w:r>
        <w:rPr>
          <w:rFonts w:cs="Arial"/>
          <w:lang w:val="en-US"/>
        </w:rPr>
        <w:t xml:space="preserve">prior to use. </w:t>
      </w:r>
    </w:p>
    <w:p w:rsidR="003C2A96" w:rsidRDefault="003C2A96" w:rsidP="00C908BF">
      <w:pPr>
        <w:pStyle w:val="DOC-BodyText"/>
        <w:rPr>
          <w:rFonts w:cs="Arial"/>
          <w:lang w:val="en-US"/>
        </w:rPr>
      </w:pPr>
    </w:p>
    <w:p w:rsidR="003C2A96" w:rsidRDefault="003C2A96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3.   Remove the test cassette from the sealed pouch and use it as soon as possible.</w:t>
      </w:r>
      <w:r w:rsidR="00A7479F">
        <w:rPr>
          <w:rFonts w:cs="Arial"/>
          <w:lang w:val="en-US"/>
        </w:rPr>
        <w:br/>
      </w:r>
    </w:p>
    <w:p w:rsidR="00C00106" w:rsidRDefault="003C2A96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4.   Place the test cassette on a clean and level surface.   Using the enclosed dropper, transfer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3 full drops of urine or serum (approx. 100mcL) to the specimen well</w:t>
      </w:r>
      <w:r w:rsidR="00C00106">
        <w:rPr>
          <w:rFonts w:cs="Arial"/>
          <w:lang w:val="en-US"/>
        </w:rPr>
        <w:t xml:space="preserve"> of the test cassette.  Avoid trapping air bubbles in the specimen well.</w:t>
      </w:r>
    </w:p>
    <w:p w:rsidR="00C00106" w:rsidRDefault="00C00106" w:rsidP="00F40BFA">
      <w:pPr>
        <w:pStyle w:val="DOC-BodyText"/>
        <w:ind w:left="360" w:hanging="360"/>
        <w:rPr>
          <w:rFonts w:cs="Arial"/>
          <w:lang w:val="en-US"/>
        </w:rPr>
      </w:pPr>
    </w:p>
    <w:p w:rsidR="00C00106" w:rsidRDefault="00C00106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5.   Set the timer.  Read a urine specimen at 4 minutes.  Read a serum specimen at 6 minutes.  Do not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    interpret results after the appropriate read time.  The background must be clear before the result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is read. </w:t>
      </w:r>
    </w:p>
    <w:p w:rsidR="00C00106" w:rsidRDefault="00C00106" w:rsidP="00C908BF">
      <w:pPr>
        <w:pStyle w:val="DOC-BodyText"/>
        <w:rPr>
          <w:rFonts w:cs="Arial"/>
          <w:lang w:val="en-US"/>
        </w:rPr>
      </w:pPr>
    </w:p>
    <w:p w:rsidR="00C00106" w:rsidRPr="00C00106" w:rsidRDefault="00C00106" w:rsidP="00C908BF">
      <w:pPr>
        <w:pStyle w:val="DOC-BodyText"/>
        <w:rPr>
          <w:rFonts w:cs="Arial"/>
          <w:b/>
          <w:lang w:val="en-US"/>
        </w:rPr>
      </w:pPr>
    </w:p>
    <w:p w:rsidR="00C00106" w:rsidRPr="00C00106" w:rsidRDefault="00C00106" w:rsidP="00C908BF">
      <w:pPr>
        <w:pStyle w:val="DOC-BodyText"/>
        <w:rPr>
          <w:rFonts w:cs="Arial"/>
          <w:b/>
          <w:lang w:val="en-US"/>
        </w:rPr>
      </w:pPr>
      <w:r w:rsidRPr="00C00106">
        <w:rPr>
          <w:rFonts w:cs="Arial"/>
          <w:b/>
          <w:lang w:val="en-US"/>
        </w:rPr>
        <w:t>INTERPRETATION OF RESULTS</w:t>
      </w:r>
    </w:p>
    <w:p w:rsidR="00C00106" w:rsidRDefault="00C00106" w:rsidP="00C908BF">
      <w:pPr>
        <w:pStyle w:val="DOC-BodyText"/>
        <w:rPr>
          <w:rFonts w:cs="Arial"/>
          <w:b/>
          <w:lang w:val="en-US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574"/>
        <w:gridCol w:w="2916"/>
        <w:gridCol w:w="2610"/>
      </w:tblGrid>
      <w:tr w:rsidR="00BA179B" w:rsidTr="00F40BFA">
        <w:tc>
          <w:tcPr>
            <w:tcW w:w="2574" w:type="dxa"/>
            <w:shd w:val="clear" w:color="auto" w:fill="D9D9D9" w:themeFill="background1" w:themeFillShade="D9"/>
          </w:tcPr>
          <w:p w:rsidR="00BA179B" w:rsidRDefault="00BA179B" w:rsidP="00BA179B">
            <w:pPr>
              <w:pStyle w:val="DOC-BodyText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Control Line (C)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BA179B" w:rsidRDefault="00BA179B" w:rsidP="00BA179B">
            <w:pPr>
              <w:pStyle w:val="DOC-BodyText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Test Line (T)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BA179B" w:rsidRDefault="00BA179B" w:rsidP="00BA179B">
            <w:pPr>
              <w:pStyle w:val="DOC-BodyText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Result</w:t>
            </w:r>
          </w:p>
        </w:tc>
      </w:tr>
      <w:tr w:rsidR="00BA179B" w:rsidTr="00BA179B">
        <w:tc>
          <w:tcPr>
            <w:tcW w:w="2574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Red Line</w:t>
            </w:r>
          </w:p>
        </w:tc>
        <w:tc>
          <w:tcPr>
            <w:tcW w:w="2916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Red Line</w:t>
            </w:r>
          </w:p>
        </w:tc>
        <w:tc>
          <w:tcPr>
            <w:tcW w:w="2610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Positive</w:t>
            </w:r>
          </w:p>
        </w:tc>
      </w:tr>
      <w:tr w:rsidR="00BA179B" w:rsidTr="00BA179B">
        <w:tc>
          <w:tcPr>
            <w:tcW w:w="2574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Red Line</w:t>
            </w:r>
          </w:p>
        </w:tc>
        <w:tc>
          <w:tcPr>
            <w:tcW w:w="2916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 red or pink line</w:t>
            </w:r>
          </w:p>
        </w:tc>
        <w:tc>
          <w:tcPr>
            <w:tcW w:w="2610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Negative</w:t>
            </w:r>
          </w:p>
        </w:tc>
      </w:tr>
      <w:tr w:rsidR="00BA179B" w:rsidTr="00BA179B">
        <w:tc>
          <w:tcPr>
            <w:tcW w:w="2574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 red line</w:t>
            </w:r>
          </w:p>
        </w:tc>
        <w:tc>
          <w:tcPr>
            <w:tcW w:w="2916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Red line or no line</w:t>
            </w:r>
          </w:p>
        </w:tc>
        <w:tc>
          <w:tcPr>
            <w:tcW w:w="2610" w:type="dxa"/>
          </w:tcPr>
          <w:p w:rsidR="00BA179B" w:rsidRPr="00BA179B" w:rsidRDefault="00BA179B" w:rsidP="00BA179B">
            <w:pPr>
              <w:pStyle w:val="DOC-BodyTex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Inconclusive</w:t>
            </w:r>
          </w:p>
        </w:tc>
      </w:tr>
    </w:tbl>
    <w:p w:rsidR="00BA179B" w:rsidRDefault="00B44001" w:rsidP="00F40BFA">
      <w:pPr>
        <w:pStyle w:val="DOC-BodyText"/>
        <w:ind w:left="360" w:hanging="360"/>
        <w:rPr>
          <w:rFonts w:cs="Arial"/>
          <w:lang w:val="en-US"/>
        </w:rPr>
      </w:pPr>
      <w:r w:rsidRPr="003C2A96">
        <w:rPr>
          <w:rFonts w:cs="Arial"/>
          <w:b/>
          <w:lang w:val="en-US"/>
        </w:rPr>
        <w:br/>
      </w:r>
      <w:r w:rsidR="00BA179B">
        <w:rPr>
          <w:rFonts w:cs="Arial"/>
          <w:lang w:val="en-US"/>
        </w:rPr>
        <w:t>1.   The intensity of the red line in the test line region will vary depend</w:t>
      </w:r>
      <w:r w:rsidR="00F40BFA">
        <w:rPr>
          <w:rFonts w:cs="Arial"/>
          <w:lang w:val="en-US"/>
        </w:rPr>
        <w:t xml:space="preserve">ing on the concentration of </w:t>
      </w:r>
      <w:proofErr w:type="spellStart"/>
      <w:proofErr w:type="gramStart"/>
      <w:r w:rsidR="00F40BFA">
        <w:rPr>
          <w:rFonts w:cs="Arial"/>
          <w:lang w:val="en-US"/>
        </w:rPr>
        <w:t>hCG</w:t>
      </w:r>
      <w:proofErr w:type="spellEnd"/>
      <w:proofErr w:type="gramEnd"/>
      <w:r w:rsidR="00F40BFA">
        <w:rPr>
          <w:rFonts w:cs="Arial"/>
          <w:lang w:val="en-US"/>
        </w:rPr>
        <w:t xml:space="preserve"> </w:t>
      </w:r>
      <w:r w:rsidR="00BA179B">
        <w:rPr>
          <w:rFonts w:cs="Arial"/>
          <w:lang w:val="en-US"/>
        </w:rPr>
        <w:t>present in the sample.</w:t>
      </w:r>
      <w:r w:rsidR="00553A78">
        <w:rPr>
          <w:rFonts w:cs="Arial"/>
          <w:lang w:val="en-US"/>
        </w:rPr>
        <w:t xml:space="preserve"> Any </w:t>
      </w:r>
      <w:r w:rsidR="00712806">
        <w:rPr>
          <w:rFonts w:cs="Arial"/>
          <w:lang w:val="en-US"/>
        </w:rPr>
        <w:t>questions about reading the test line perform</w:t>
      </w:r>
      <w:r w:rsidR="00553A78">
        <w:rPr>
          <w:rFonts w:cs="Arial"/>
          <w:lang w:val="en-US"/>
        </w:rPr>
        <w:t xml:space="preserve"> a quantitative </w:t>
      </w:r>
      <w:proofErr w:type="spellStart"/>
      <w:proofErr w:type="gramStart"/>
      <w:r w:rsidR="00553A78">
        <w:rPr>
          <w:rFonts w:cs="Arial"/>
          <w:lang w:val="en-US"/>
        </w:rPr>
        <w:t>hCG</w:t>
      </w:r>
      <w:proofErr w:type="spellEnd"/>
      <w:proofErr w:type="gramEnd"/>
      <w:r w:rsidR="00553A78">
        <w:rPr>
          <w:rFonts w:cs="Arial"/>
          <w:lang w:val="en-US"/>
        </w:rPr>
        <w:t xml:space="preserve">. </w:t>
      </w:r>
      <w:r w:rsidR="00BA179B">
        <w:rPr>
          <w:rFonts w:cs="Arial"/>
          <w:lang w:val="en-US"/>
        </w:rPr>
        <w:t xml:space="preserve"> </w:t>
      </w:r>
    </w:p>
    <w:p w:rsidR="00BA179B" w:rsidRDefault="00BA179B" w:rsidP="00F40BFA">
      <w:pPr>
        <w:pStyle w:val="DOC-BodyText"/>
        <w:ind w:left="360" w:hanging="360"/>
        <w:rPr>
          <w:rFonts w:cs="Arial"/>
          <w:lang w:val="en-US"/>
        </w:rPr>
      </w:pPr>
    </w:p>
    <w:p w:rsidR="00A7479F" w:rsidRDefault="00BA179B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 xml:space="preserve">2.   A weak red test line or a line seen after the read time could be indicative of a low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level.  If </w:t>
      </w:r>
      <w:r w:rsidR="00F40BFA">
        <w:rPr>
          <w:rFonts w:cs="Arial"/>
          <w:lang w:val="en-US"/>
        </w:rPr>
        <w:t xml:space="preserve">such </w:t>
      </w:r>
      <w:r>
        <w:rPr>
          <w:rFonts w:cs="Arial"/>
          <w:lang w:val="en-US"/>
        </w:rPr>
        <w:t xml:space="preserve">results are seen, the test should be repeated in 48-72hrs or perform a quantitative serum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. </w:t>
      </w:r>
    </w:p>
    <w:p w:rsidR="00A7479F" w:rsidRDefault="00A7479F" w:rsidP="00C908BF">
      <w:pPr>
        <w:pStyle w:val="DOC-BodyText"/>
        <w:rPr>
          <w:rFonts w:cs="Arial"/>
          <w:lang w:val="en-US"/>
        </w:rPr>
      </w:pPr>
    </w:p>
    <w:p w:rsidR="00A7479F" w:rsidRPr="00A7479F" w:rsidRDefault="00A7479F" w:rsidP="00C908BF">
      <w:pPr>
        <w:pStyle w:val="DOC-BodyText"/>
        <w:rPr>
          <w:rFonts w:cs="Arial"/>
          <w:b/>
          <w:lang w:val="en-US"/>
        </w:rPr>
      </w:pPr>
    </w:p>
    <w:p w:rsidR="00A7479F" w:rsidRDefault="00A7479F" w:rsidP="00C908BF">
      <w:pPr>
        <w:pStyle w:val="DOC-BodyText"/>
        <w:rPr>
          <w:rFonts w:cs="Arial"/>
          <w:b/>
          <w:lang w:val="en-US"/>
        </w:rPr>
      </w:pPr>
      <w:r w:rsidRPr="00A7479F">
        <w:rPr>
          <w:rFonts w:cs="Arial"/>
          <w:b/>
          <w:lang w:val="en-US"/>
        </w:rPr>
        <w:t>QUALITY CONTROL</w:t>
      </w:r>
    </w:p>
    <w:p w:rsidR="00A7479F" w:rsidRDefault="00A7479F" w:rsidP="00C908BF">
      <w:pPr>
        <w:pStyle w:val="DOC-BodyText"/>
        <w:rPr>
          <w:rFonts w:cs="Arial"/>
          <w:b/>
          <w:lang w:val="en-US"/>
        </w:rPr>
      </w:pPr>
    </w:p>
    <w:p w:rsidR="00A7479F" w:rsidRDefault="00A7479F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1.   Internal procedural controls are included with each test.  The red</w:t>
      </w:r>
      <w:r w:rsidR="00F40BFA">
        <w:rPr>
          <w:rFonts w:cs="Arial"/>
          <w:lang w:val="en-US"/>
        </w:rPr>
        <w:t xml:space="preserve"> line appearing at the control </w:t>
      </w:r>
      <w:r>
        <w:rPr>
          <w:rFonts w:cs="Arial"/>
          <w:lang w:val="en-US"/>
        </w:rPr>
        <w:t xml:space="preserve">region (C) is the positive procedural control.  It confirms that sufficient specimen volume and correct procedural technique has been used. </w:t>
      </w:r>
    </w:p>
    <w:p w:rsidR="00A7479F" w:rsidRDefault="00A7479F" w:rsidP="00F40BFA">
      <w:pPr>
        <w:pStyle w:val="DOC-BodyText"/>
        <w:ind w:left="360" w:hanging="360"/>
        <w:rPr>
          <w:rFonts w:cs="Arial"/>
          <w:lang w:val="en-US"/>
        </w:rPr>
      </w:pPr>
    </w:p>
    <w:p w:rsidR="00A7479F" w:rsidRDefault="00A7479F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2.   Internal negative control is complete clearing of the background on the cassette.  The color is white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to slightly pink if the test is performed correctly.</w:t>
      </w:r>
    </w:p>
    <w:p w:rsidR="00754929" w:rsidRDefault="00754929" w:rsidP="00F40BFA">
      <w:pPr>
        <w:pStyle w:val="DOC-BodyText"/>
        <w:ind w:left="360" w:hanging="360"/>
        <w:rPr>
          <w:rFonts w:cs="Arial"/>
          <w:lang w:val="en-US"/>
        </w:rPr>
      </w:pPr>
    </w:p>
    <w:p w:rsidR="00754929" w:rsidRDefault="00754929" w:rsidP="00F40BFA">
      <w:pPr>
        <w:spacing w:after="0" w:line="240" w:lineRule="auto"/>
        <w:ind w:left="360" w:hanging="360"/>
        <w:rPr>
          <w:rFonts w:cs="Arial"/>
        </w:rPr>
      </w:pPr>
      <w:r w:rsidRPr="005674F3">
        <w:rPr>
          <w:rFonts w:cs="Arial"/>
        </w:rPr>
        <w:t xml:space="preserve">3.   </w:t>
      </w:r>
      <w:r w:rsidR="00F40BFA">
        <w:rPr>
          <w:rFonts w:cs="Arial"/>
        </w:rPr>
        <w:t xml:space="preserve"> </w:t>
      </w:r>
      <w:r w:rsidRPr="005674F3">
        <w:rPr>
          <w:rFonts w:ascii="Arial" w:hAnsi="Arial" w:cs="Arial"/>
        </w:rPr>
        <w:t>Exter</w:t>
      </w:r>
      <w:r w:rsidR="00241B83" w:rsidRPr="005674F3">
        <w:rPr>
          <w:rFonts w:ascii="Arial" w:hAnsi="Arial" w:cs="Arial"/>
        </w:rPr>
        <w:t>nal controls</w:t>
      </w:r>
      <w:r w:rsidR="00CD5385" w:rsidRPr="005674F3">
        <w:rPr>
          <w:rFonts w:ascii="Arial" w:hAnsi="Arial" w:cs="Arial"/>
        </w:rPr>
        <w:t xml:space="preserve">, perform lot to lot when a new </w:t>
      </w:r>
      <w:r w:rsidR="005674F3" w:rsidRPr="005674F3">
        <w:rPr>
          <w:rFonts w:ascii="Arial" w:hAnsi="Arial" w:cs="Arial"/>
        </w:rPr>
        <w:t xml:space="preserve">lot and/or shipment is received </w:t>
      </w:r>
      <w:r w:rsidR="005674F3" w:rsidRPr="005674F3">
        <w:rPr>
          <w:rFonts w:ascii="Arial" w:hAnsi="Arial" w:cs="Arial"/>
          <w:b/>
        </w:rPr>
        <w:t>OR</w:t>
      </w:r>
      <w:r w:rsidR="005674F3" w:rsidRPr="005674F3">
        <w:rPr>
          <w:rFonts w:ascii="Arial" w:hAnsi="Arial" w:cs="Arial"/>
        </w:rPr>
        <w:t xml:space="preserve"> the same QC material</w:t>
      </w:r>
      <w:r w:rsidR="005674F3" w:rsidRPr="005674F3">
        <w:rPr>
          <w:rFonts w:ascii="Arial" w:hAnsi="Arial" w:cs="Arial"/>
        </w:rPr>
        <w:br/>
        <w:t>that was used to QC the previous lot can be used to QC the new lot.  If new QC h</w:t>
      </w:r>
      <w:r w:rsidR="00F40BFA">
        <w:rPr>
          <w:rFonts w:ascii="Arial" w:hAnsi="Arial" w:cs="Arial"/>
        </w:rPr>
        <w:t xml:space="preserve">as been received since </w:t>
      </w:r>
      <w:r w:rsidR="005674F3" w:rsidRPr="005674F3">
        <w:rPr>
          <w:rFonts w:ascii="Arial" w:hAnsi="Arial" w:cs="Arial"/>
        </w:rPr>
        <w:t>the old lot then you must do lot to lot testing.</w:t>
      </w:r>
      <w:r w:rsidR="005674F3">
        <w:rPr>
          <w:rFonts w:cs="Arial"/>
        </w:rPr>
        <w:t xml:space="preserve"> </w:t>
      </w:r>
      <w:r w:rsidR="00241B83" w:rsidRPr="005674F3">
        <w:rPr>
          <w:rFonts w:cs="Arial"/>
        </w:rPr>
        <w:br/>
      </w:r>
    </w:p>
    <w:p w:rsidR="00241B83" w:rsidRPr="00241B83" w:rsidRDefault="00241B83" w:rsidP="00C908BF">
      <w:pPr>
        <w:pStyle w:val="DOC-BodyText"/>
        <w:rPr>
          <w:rFonts w:cs="Arial"/>
          <w:b/>
          <w:lang w:val="en-US"/>
        </w:rPr>
      </w:pPr>
      <w:r>
        <w:rPr>
          <w:rFonts w:cs="Arial"/>
          <w:lang w:val="en-US"/>
        </w:rPr>
        <w:t xml:space="preserve">      </w:t>
      </w:r>
      <w:r w:rsidRPr="00241B83">
        <w:rPr>
          <w:rFonts w:cs="Arial"/>
          <w:b/>
          <w:lang w:val="en-US"/>
        </w:rPr>
        <w:t>Serum</w:t>
      </w:r>
      <w:r w:rsidR="00001A05">
        <w:rPr>
          <w:rFonts w:cs="Arial"/>
          <w:b/>
          <w:lang w:val="en-US"/>
        </w:rPr>
        <w:t xml:space="preserve"> controls</w:t>
      </w:r>
      <w:r w:rsidR="00F40BFA">
        <w:rPr>
          <w:rFonts w:cs="Arial"/>
          <w:b/>
          <w:lang w:val="en-US"/>
        </w:rPr>
        <w:t>:</w:t>
      </w:r>
    </w:p>
    <w:p w:rsidR="00241B83" w:rsidRPr="00F40BFA" w:rsidRDefault="00241B83" w:rsidP="00241B83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 w:rsidRPr="00F40BFA">
        <w:rPr>
          <w:rFonts w:cs="Arial"/>
          <w:lang w:val="en-US"/>
        </w:rPr>
        <w:t>External controls will be performed on all new lots or shipment of reagents. For the serum controls</w:t>
      </w:r>
      <w:r w:rsidR="00F40BFA" w:rsidRPr="00F40BFA">
        <w:rPr>
          <w:rFonts w:cs="Arial"/>
          <w:lang w:val="en-US"/>
        </w:rPr>
        <w:t xml:space="preserve"> </w:t>
      </w:r>
      <w:r w:rsidRPr="00F40BFA">
        <w:rPr>
          <w:rFonts w:cs="Arial"/>
          <w:lang w:val="en-US"/>
        </w:rPr>
        <w:t>only, external controls must be per</w:t>
      </w:r>
      <w:r w:rsidR="00F40BFA">
        <w:rPr>
          <w:rFonts w:cs="Arial"/>
          <w:lang w:val="en-US"/>
        </w:rPr>
        <w:t xml:space="preserve">formed at least every 30 days. </w:t>
      </w:r>
    </w:p>
    <w:p w:rsidR="00754929" w:rsidRDefault="00754929" w:rsidP="00754929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>Allow controls to come to room temperature prior to testing</w:t>
      </w:r>
      <w:r w:rsidR="00F40BFA">
        <w:rPr>
          <w:rFonts w:cs="Arial"/>
          <w:lang w:val="en-US"/>
        </w:rPr>
        <w:t>.</w:t>
      </w:r>
    </w:p>
    <w:p w:rsidR="00754929" w:rsidRDefault="00754929" w:rsidP="00754929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>The serum controls are ready to use and do not need any dilution for testing.</w:t>
      </w:r>
    </w:p>
    <w:p w:rsidR="00754929" w:rsidRDefault="00754929" w:rsidP="00754929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There are three serum controls: Two positives, one at 10 </w:t>
      </w:r>
      <w:proofErr w:type="spellStart"/>
      <w:r>
        <w:rPr>
          <w:rFonts w:cs="Arial"/>
          <w:lang w:val="en-US"/>
        </w:rPr>
        <w:t>mIU</w:t>
      </w:r>
      <w:proofErr w:type="spellEnd"/>
      <w:r>
        <w:rPr>
          <w:rFonts w:cs="Arial"/>
          <w:lang w:val="en-US"/>
        </w:rPr>
        <w:t xml:space="preserve">/ml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and one at 250 </w:t>
      </w:r>
      <w:proofErr w:type="spellStart"/>
      <w:r>
        <w:rPr>
          <w:rFonts w:cs="Arial"/>
          <w:lang w:val="en-US"/>
        </w:rPr>
        <w:t>mIU</w:t>
      </w:r>
      <w:proofErr w:type="spellEnd"/>
      <w:r>
        <w:rPr>
          <w:rFonts w:cs="Arial"/>
          <w:lang w:val="en-US"/>
        </w:rPr>
        <w:t xml:space="preserve">/ml </w:t>
      </w:r>
      <w:proofErr w:type="spellStart"/>
      <w:r>
        <w:rPr>
          <w:rFonts w:cs="Arial"/>
          <w:lang w:val="en-US"/>
        </w:rPr>
        <w:t>hCG</w:t>
      </w:r>
      <w:proofErr w:type="spellEnd"/>
      <w:r>
        <w:rPr>
          <w:rFonts w:cs="Arial"/>
          <w:lang w:val="en-US"/>
        </w:rPr>
        <w:t>. There is one negative control.</w:t>
      </w:r>
    </w:p>
    <w:p w:rsidR="00754929" w:rsidRDefault="00754929" w:rsidP="00754929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>Perform testing in place of a specimen following Steps 1-5</w:t>
      </w:r>
    </w:p>
    <w:p w:rsidR="00754929" w:rsidRDefault="00754929" w:rsidP="00754929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The two positive controls should result as </w:t>
      </w:r>
      <w:proofErr w:type="gramStart"/>
      <w:r>
        <w:rPr>
          <w:rFonts w:cs="Arial"/>
          <w:lang w:val="en-US"/>
        </w:rPr>
        <w:t>positive,</w:t>
      </w:r>
      <w:proofErr w:type="gramEnd"/>
      <w:r>
        <w:rPr>
          <w:rFonts w:cs="Arial"/>
          <w:lang w:val="en-US"/>
        </w:rPr>
        <w:t xml:space="preserve"> the negative control should result as negative.</w:t>
      </w:r>
    </w:p>
    <w:p w:rsidR="00754929" w:rsidRDefault="00754929" w:rsidP="00754929">
      <w:pPr>
        <w:pStyle w:val="DOC-BodyText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>If controls do not perform properly, either the test kit is not performing correctly or the proper</w:t>
      </w:r>
      <w:r>
        <w:rPr>
          <w:rFonts w:cs="Arial"/>
          <w:lang w:val="en-US"/>
        </w:rPr>
        <w:br/>
        <w:t>steps were not followed perfo</w:t>
      </w:r>
      <w:r w:rsidR="00001A05">
        <w:rPr>
          <w:rFonts w:cs="Arial"/>
          <w:lang w:val="en-US"/>
        </w:rPr>
        <w:t>rming the test.</w:t>
      </w:r>
      <w:r w:rsidR="00001A05" w:rsidRPr="00001A05">
        <w:rPr>
          <w:rFonts w:cs="Arial"/>
          <w:lang w:val="en-US"/>
        </w:rPr>
        <w:t xml:space="preserve"> </w:t>
      </w:r>
      <w:r w:rsidR="00001A05">
        <w:rPr>
          <w:rFonts w:cs="Arial"/>
          <w:lang w:val="en-US"/>
        </w:rPr>
        <w:t>Any quality control that fails must be investigated prior to entering patient results.  Inspect the reaction device and controls for contamination.  Check expiration dates and storage requirements.</w:t>
      </w:r>
      <w:r>
        <w:rPr>
          <w:rFonts w:cs="Arial"/>
          <w:lang w:val="en-US"/>
        </w:rPr>
        <w:t xml:space="preserve"> </w:t>
      </w:r>
      <w:r w:rsidR="00001A05">
        <w:rPr>
          <w:rFonts w:cs="Arial"/>
          <w:lang w:val="en-US"/>
        </w:rPr>
        <w:t xml:space="preserve">Repeat testing. </w:t>
      </w:r>
      <w:r w:rsidR="00241B83">
        <w:rPr>
          <w:rFonts w:cs="Arial"/>
          <w:lang w:val="en-US"/>
        </w:rPr>
        <w:br/>
      </w:r>
    </w:p>
    <w:p w:rsidR="00754929" w:rsidRDefault="00241B83" w:rsidP="00C908BF">
      <w:pPr>
        <w:pStyle w:val="DOC-BodyText"/>
        <w:numPr>
          <w:ilvl w:val="0"/>
          <w:numId w:val="4"/>
        </w:numPr>
        <w:rPr>
          <w:rFonts w:cs="Arial"/>
          <w:b/>
          <w:lang w:val="en-US"/>
        </w:rPr>
      </w:pPr>
      <w:r w:rsidRPr="00001A05">
        <w:rPr>
          <w:rFonts w:cs="Arial"/>
          <w:lang w:val="en-US"/>
        </w:rPr>
        <w:lastRenderedPageBreak/>
        <w:t>If controls continue to be invalid, remove lot from service and contact the vendor, Fisher,</w:t>
      </w:r>
      <w:r w:rsidR="00F40BFA">
        <w:rPr>
          <w:rFonts w:cs="Arial"/>
          <w:lang w:val="en-US"/>
        </w:rPr>
        <w:t xml:space="preserve"> </w:t>
      </w:r>
      <w:r w:rsidRPr="00001A05">
        <w:rPr>
          <w:rFonts w:cs="Arial"/>
          <w:lang w:val="en-US"/>
        </w:rPr>
        <w:t xml:space="preserve">at </w:t>
      </w:r>
      <w:r w:rsidR="00F40BFA">
        <w:rPr>
          <w:rFonts w:cs="Arial"/>
          <w:lang w:val="en-US"/>
        </w:rPr>
        <w:t xml:space="preserve">                 </w:t>
      </w:r>
      <w:r w:rsidRPr="00001A05">
        <w:rPr>
          <w:rFonts w:cs="Arial"/>
          <w:lang w:val="en-US"/>
        </w:rPr>
        <w:t>1-800-640-0640 for controls or the Cardinal vendor for the kit at 1-866-211-7853.</w:t>
      </w:r>
      <w:r w:rsidR="00001A05">
        <w:rPr>
          <w:rFonts w:cs="Arial"/>
          <w:lang w:val="en-US"/>
        </w:rPr>
        <w:br/>
      </w:r>
    </w:p>
    <w:p w:rsidR="00001A05" w:rsidRPr="00001A05" w:rsidRDefault="00001A05" w:rsidP="00001A05">
      <w:pPr>
        <w:pStyle w:val="DOC-BodyText"/>
        <w:ind w:left="36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Urine controls:</w:t>
      </w:r>
    </w:p>
    <w:p w:rsidR="00553A78" w:rsidRDefault="00CD5385" w:rsidP="00CD5385">
      <w:pPr>
        <w:pStyle w:val="DOC-BodyText"/>
        <w:numPr>
          <w:ilvl w:val="0"/>
          <w:numId w:val="5"/>
        </w:numPr>
        <w:rPr>
          <w:rFonts w:cs="Arial"/>
          <w:b/>
          <w:lang w:val="en-US"/>
        </w:rPr>
      </w:pPr>
      <w:r>
        <w:rPr>
          <w:rFonts w:cs="Arial"/>
          <w:lang w:val="en-US"/>
        </w:rPr>
        <w:t xml:space="preserve">Run controls with each new lot and/or shipment and record on the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Reagent Verification log. </w:t>
      </w:r>
      <w:proofErr w:type="spellStart"/>
      <w:r>
        <w:rPr>
          <w:rFonts w:cs="Arial"/>
          <w:lang w:val="en-US"/>
        </w:rPr>
        <w:t>Quantimetrix</w:t>
      </w:r>
      <w:proofErr w:type="spellEnd"/>
      <w:r>
        <w:rPr>
          <w:rFonts w:cs="Arial"/>
          <w:lang w:val="en-US"/>
        </w:rPr>
        <w:t xml:space="preserve"> Urine controls- Level 1 (negative) and 2 (positive).  No preparation required.  Bring controls to room temperature prior to testing. Controls are stable unopened until expiration date printed on box and an open box is stable for 3 months if stored between 2-8˚C. </w:t>
      </w:r>
    </w:p>
    <w:p w:rsidR="00553A78" w:rsidRDefault="00553A78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553A78" w:rsidRDefault="00553A78" w:rsidP="00553A78">
      <w:pPr>
        <w:pStyle w:val="DOC-BodyText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EXPECTED RESULTS</w:t>
      </w:r>
    </w:p>
    <w:p w:rsidR="00553A78" w:rsidRDefault="00553A78" w:rsidP="00553A78">
      <w:pPr>
        <w:pStyle w:val="DOC-BodyText"/>
        <w:rPr>
          <w:rFonts w:cs="Arial"/>
          <w:b/>
          <w:lang w:val="en-US"/>
        </w:rPr>
      </w:pP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1.   Negative results are expected in health</w:t>
      </w:r>
      <w:r w:rsidR="00327680">
        <w:rPr>
          <w:rFonts w:cs="Arial"/>
          <w:lang w:val="en-US"/>
        </w:rPr>
        <w:t>y</w:t>
      </w:r>
      <w:r>
        <w:rPr>
          <w:rFonts w:cs="Arial"/>
          <w:lang w:val="en-US"/>
        </w:rPr>
        <w:t xml:space="preserve"> non-pregnant women and health</w:t>
      </w:r>
      <w:r w:rsidR="00327680">
        <w:rPr>
          <w:rFonts w:cs="Arial"/>
          <w:lang w:val="en-US"/>
        </w:rPr>
        <w:t>y</w:t>
      </w:r>
      <w:r w:rsidR="00F40BFA">
        <w:rPr>
          <w:rFonts w:cs="Arial"/>
          <w:lang w:val="en-US"/>
        </w:rPr>
        <w:t xml:space="preserve"> men.  Healthy pregnant women </w:t>
      </w:r>
      <w:r>
        <w:rPr>
          <w:rFonts w:cs="Arial"/>
          <w:lang w:val="en-US"/>
        </w:rPr>
        <w:t xml:space="preserve">have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present in their urine and serum specimens.  The amount</w:t>
      </w:r>
      <w:r w:rsidR="00F40BFA">
        <w:rPr>
          <w:rFonts w:cs="Arial"/>
          <w:lang w:val="en-US"/>
        </w:rPr>
        <w:t xml:space="preserve"> of </w:t>
      </w:r>
      <w:proofErr w:type="spellStart"/>
      <w:proofErr w:type="gramStart"/>
      <w:r w:rsidR="00F40BFA">
        <w:rPr>
          <w:rFonts w:cs="Arial"/>
          <w:lang w:val="en-US"/>
        </w:rPr>
        <w:t>hCG</w:t>
      </w:r>
      <w:proofErr w:type="spellEnd"/>
      <w:proofErr w:type="gramEnd"/>
      <w:r w:rsidR="00F40BFA">
        <w:rPr>
          <w:rFonts w:cs="Arial"/>
          <w:lang w:val="en-US"/>
        </w:rPr>
        <w:t xml:space="preserve"> will vary greatly with </w:t>
      </w:r>
      <w:r>
        <w:rPr>
          <w:rFonts w:cs="Arial"/>
          <w:lang w:val="en-US"/>
        </w:rPr>
        <w:t>gestational age and between individuals.</w:t>
      </w:r>
      <w:r w:rsidR="00693B24">
        <w:rPr>
          <w:rFonts w:cs="Arial"/>
          <w:lang w:val="en-US"/>
        </w:rPr>
        <w:t xml:space="preserve"> The intensity of the red line in the test line (T) will vary depending</w:t>
      </w:r>
      <w:r w:rsidR="00F40BFA">
        <w:rPr>
          <w:rFonts w:cs="Arial"/>
          <w:lang w:val="en-US"/>
        </w:rPr>
        <w:t xml:space="preserve"> </w:t>
      </w:r>
      <w:r w:rsidR="00693B24">
        <w:rPr>
          <w:rFonts w:cs="Arial"/>
          <w:lang w:val="en-US"/>
        </w:rPr>
        <w:t xml:space="preserve">on the concentration of </w:t>
      </w:r>
      <w:proofErr w:type="spellStart"/>
      <w:proofErr w:type="gramStart"/>
      <w:r w:rsidR="00693B24">
        <w:rPr>
          <w:rFonts w:cs="Arial"/>
          <w:lang w:val="en-US"/>
        </w:rPr>
        <w:t>hCG</w:t>
      </w:r>
      <w:proofErr w:type="spellEnd"/>
      <w:proofErr w:type="gramEnd"/>
      <w:r w:rsidR="00693B24">
        <w:rPr>
          <w:rFonts w:cs="Arial"/>
          <w:lang w:val="en-US"/>
        </w:rPr>
        <w:t xml:space="preserve"> present in the specimen.  However, neither the quantitative value nor the</w:t>
      </w:r>
      <w:r w:rsidR="00F40BFA">
        <w:rPr>
          <w:rFonts w:cs="Arial"/>
          <w:lang w:val="en-US"/>
        </w:rPr>
        <w:t xml:space="preserve"> </w:t>
      </w:r>
      <w:r w:rsidR="00693B24">
        <w:rPr>
          <w:rFonts w:cs="Arial"/>
          <w:lang w:val="en-US"/>
        </w:rPr>
        <w:t xml:space="preserve">rate of increase in </w:t>
      </w:r>
      <w:proofErr w:type="spellStart"/>
      <w:proofErr w:type="gramStart"/>
      <w:r w:rsidR="00693B24">
        <w:rPr>
          <w:rFonts w:cs="Arial"/>
          <w:lang w:val="en-US"/>
        </w:rPr>
        <w:t>hCG</w:t>
      </w:r>
      <w:proofErr w:type="spellEnd"/>
      <w:proofErr w:type="gramEnd"/>
      <w:r w:rsidR="00693B24">
        <w:rPr>
          <w:rFonts w:cs="Arial"/>
          <w:lang w:val="en-US"/>
        </w:rPr>
        <w:t xml:space="preserve"> can be determine</w:t>
      </w:r>
      <w:r w:rsidR="00DC05D0">
        <w:rPr>
          <w:rFonts w:cs="Arial"/>
          <w:lang w:val="en-US"/>
        </w:rPr>
        <w:t>d by this</w:t>
      </w:r>
      <w:r w:rsidR="00693B24">
        <w:rPr>
          <w:rFonts w:cs="Arial"/>
          <w:lang w:val="en-US"/>
        </w:rPr>
        <w:t xml:space="preserve"> qualitative test. </w:t>
      </w: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 xml:space="preserve">2.   The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Combo test has a sensitivity of 10 </w:t>
      </w:r>
      <w:proofErr w:type="spellStart"/>
      <w:r>
        <w:rPr>
          <w:rFonts w:cs="Arial"/>
          <w:lang w:val="en-US"/>
        </w:rPr>
        <w:t>mIU</w:t>
      </w:r>
      <w:proofErr w:type="spellEnd"/>
      <w:r>
        <w:rPr>
          <w:rFonts w:cs="Arial"/>
          <w:lang w:val="en-US"/>
        </w:rPr>
        <w:t xml:space="preserve">/ml in serum and 20 </w:t>
      </w:r>
      <w:proofErr w:type="spellStart"/>
      <w:r>
        <w:rPr>
          <w:rFonts w:cs="Arial"/>
          <w:lang w:val="en-US"/>
        </w:rPr>
        <w:t>mIU</w:t>
      </w:r>
      <w:proofErr w:type="spellEnd"/>
      <w:r>
        <w:rPr>
          <w:rFonts w:cs="Arial"/>
          <w:lang w:val="en-US"/>
        </w:rPr>
        <w:t xml:space="preserve">/ml in urine and is capable of </w:t>
      </w:r>
      <w:r w:rsidR="00F40BFA">
        <w:rPr>
          <w:rFonts w:cs="Arial"/>
          <w:lang w:val="en-US"/>
        </w:rPr>
        <w:t>d</w:t>
      </w:r>
      <w:r>
        <w:rPr>
          <w:rFonts w:cs="Arial"/>
          <w:lang w:val="en-US"/>
        </w:rPr>
        <w:t xml:space="preserve">etecting pregnancy as early as 1 day after the first missed menses. </w:t>
      </w:r>
    </w:p>
    <w:p w:rsidR="00553A78" w:rsidRDefault="00553A78" w:rsidP="00553A78">
      <w:pPr>
        <w:pStyle w:val="DOC-BodyText"/>
        <w:rPr>
          <w:rFonts w:cs="Arial"/>
          <w:lang w:val="en-US"/>
        </w:rPr>
      </w:pPr>
    </w:p>
    <w:p w:rsidR="00553A78" w:rsidRPr="00553A78" w:rsidRDefault="00553A78" w:rsidP="00553A78">
      <w:pPr>
        <w:pStyle w:val="DOC-BodyText"/>
        <w:rPr>
          <w:rFonts w:cs="Arial"/>
          <w:b/>
          <w:lang w:val="en-US"/>
        </w:rPr>
      </w:pPr>
    </w:p>
    <w:p w:rsidR="00553A78" w:rsidRDefault="00553A78" w:rsidP="00553A78">
      <w:pPr>
        <w:pStyle w:val="DOC-BodyText"/>
        <w:rPr>
          <w:rFonts w:cs="Arial"/>
          <w:b/>
          <w:lang w:val="en-US"/>
        </w:rPr>
      </w:pPr>
      <w:r w:rsidRPr="00553A78">
        <w:rPr>
          <w:rFonts w:cs="Arial"/>
          <w:b/>
          <w:lang w:val="en-US"/>
        </w:rPr>
        <w:t>LIMITATIONS</w:t>
      </w:r>
    </w:p>
    <w:p w:rsidR="00553A78" w:rsidRDefault="00553A78" w:rsidP="00553A78">
      <w:pPr>
        <w:pStyle w:val="DOC-BodyText"/>
        <w:rPr>
          <w:rFonts w:cs="Arial"/>
          <w:b/>
          <w:lang w:val="en-US"/>
        </w:rPr>
      </w:pP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1.   Very dilute urine specimens, as indicated by a low specific gravity,</w:t>
      </w:r>
      <w:r w:rsidR="00F40BFA">
        <w:rPr>
          <w:rFonts w:cs="Arial"/>
          <w:lang w:val="en-US"/>
        </w:rPr>
        <w:t xml:space="preserve"> may not contain representative </w:t>
      </w:r>
      <w:r>
        <w:rPr>
          <w:rFonts w:cs="Arial"/>
          <w:lang w:val="en-US"/>
        </w:rPr>
        <w:t xml:space="preserve">levels of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>.  If pregnancy is still suspected, a first morning urin</w:t>
      </w:r>
      <w:r w:rsidR="00F40BFA">
        <w:rPr>
          <w:rFonts w:cs="Arial"/>
          <w:lang w:val="en-US"/>
        </w:rPr>
        <w:t>e specimen should be collected</w:t>
      </w:r>
      <w:r>
        <w:rPr>
          <w:rFonts w:cs="Arial"/>
          <w:lang w:val="en-US"/>
        </w:rPr>
        <w:t xml:space="preserve"> in 48 hours and retested. </w:t>
      </w: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 xml:space="preserve">2.   False negative results may occur when the level of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is below the sen</w:t>
      </w:r>
      <w:r w:rsidR="00F40BFA">
        <w:rPr>
          <w:rFonts w:cs="Arial"/>
          <w:lang w:val="en-US"/>
        </w:rPr>
        <w:t xml:space="preserve">sitivity level of the test.  If </w:t>
      </w:r>
      <w:r>
        <w:rPr>
          <w:rFonts w:cs="Arial"/>
          <w:lang w:val="en-US"/>
        </w:rPr>
        <w:t xml:space="preserve">pregnancy is still suspected, a first morning serum or urine should be collected in 48 hours and retested. </w:t>
      </w:r>
    </w:p>
    <w:p w:rsidR="00553A78" w:rsidRDefault="00553A78" w:rsidP="00F40BFA">
      <w:pPr>
        <w:pStyle w:val="DOC-BodyText"/>
        <w:ind w:left="360" w:hanging="360"/>
        <w:rPr>
          <w:rFonts w:cs="Arial"/>
          <w:lang w:val="en-US"/>
        </w:rPr>
      </w:pPr>
    </w:p>
    <w:p w:rsidR="00670B24" w:rsidRDefault="00553A78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 xml:space="preserve">3.   </w:t>
      </w:r>
      <w:r w:rsidR="00670B24">
        <w:rPr>
          <w:rFonts w:cs="Arial"/>
          <w:lang w:val="en-US"/>
        </w:rPr>
        <w:t xml:space="preserve">Very low levels of </w:t>
      </w:r>
      <w:proofErr w:type="spellStart"/>
      <w:proofErr w:type="gramStart"/>
      <w:r w:rsidR="00670B24">
        <w:rPr>
          <w:rFonts w:cs="Arial"/>
          <w:lang w:val="en-US"/>
        </w:rPr>
        <w:t>hCG</w:t>
      </w:r>
      <w:proofErr w:type="spellEnd"/>
      <w:proofErr w:type="gramEnd"/>
      <w:r w:rsidR="00670B24">
        <w:rPr>
          <w:rFonts w:cs="Arial"/>
          <w:lang w:val="en-US"/>
        </w:rPr>
        <w:t xml:space="preserve"> are present in serum or urine shortly after implantation.  A weakly positi</w:t>
      </w:r>
      <w:r w:rsidR="00F40BFA">
        <w:rPr>
          <w:rFonts w:cs="Arial"/>
          <w:lang w:val="en-US"/>
        </w:rPr>
        <w:t xml:space="preserve">ve test </w:t>
      </w:r>
      <w:r w:rsidR="00670B24">
        <w:rPr>
          <w:rFonts w:cs="Arial"/>
          <w:lang w:val="en-US"/>
        </w:rPr>
        <w:t xml:space="preserve">should be confirmed by retesting in 48 hours or test the serum sample with a quantitative method. </w:t>
      </w:r>
    </w:p>
    <w:p w:rsidR="00670B24" w:rsidRDefault="00670B24" w:rsidP="00F40BFA">
      <w:pPr>
        <w:pStyle w:val="DOC-BodyText"/>
        <w:ind w:left="360" w:hanging="360"/>
        <w:rPr>
          <w:rFonts w:cs="Arial"/>
          <w:lang w:val="en-US"/>
        </w:rPr>
      </w:pPr>
    </w:p>
    <w:p w:rsidR="00670B24" w:rsidRDefault="00670B24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 xml:space="preserve">4.   This kit does not reliably detect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degradation products such</w:t>
      </w:r>
      <w:r w:rsidR="00F40BFA">
        <w:rPr>
          <w:rFonts w:cs="Arial"/>
          <w:lang w:val="en-US"/>
        </w:rPr>
        <w:t xml:space="preserve"> as free-beta </w:t>
      </w:r>
      <w:proofErr w:type="spellStart"/>
      <w:r w:rsidR="00F40BFA">
        <w:rPr>
          <w:rFonts w:cs="Arial"/>
          <w:lang w:val="en-US"/>
        </w:rPr>
        <w:t>hCG</w:t>
      </w:r>
      <w:proofErr w:type="spellEnd"/>
      <w:r w:rsidR="00F40BFA">
        <w:rPr>
          <w:rFonts w:cs="Arial"/>
          <w:lang w:val="en-US"/>
        </w:rPr>
        <w:t xml:space="preserve"> and beta core </w:t>
      </w:r>
      <w:r>
        <w:rPr>
          <w:rFonts w:cs="Arial"/>
          <w:lang w:val="en-US"/>
        </w:rPr>
        <w:t xml:space="preserve">fragments.   Quantitative tests may detect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degradation produ</w:t>
      </w:r>
      <w:r w:rsidR="00F40BFA">
        <w:rPr>
          <w:rFonts w:cs="Arial"/>
          <w:lang w:val="en-US"/>
        </w:rPr>
        <w:t xml:space="preserve">cts and therefore disagree with </w:t>
      </w:r>
      <w:r>
        <w:rPr>
          <w:rFonts w:cs="Arial"/>
          <w:lang w:val="en-US"/>
        </w:rPr>
        <w:t xml:space="preserve">results of this rapid test. </w:t>
      </w:r>
    </w:p>
    <w:p w:rsidR="00670B24" w:rsidRDefault="00670B24" w:rsidP="00F40BFA">
      <w:pPr>
        <w:pStyle w:val="DOC-BodyText"/>
        <w:ind w:left="360" w:hanging="360"/>
        <w:rPr>
          <w:rFonts w:cs="Arial"/>
          <w:lang w:val="en-US"/>
        </w:rPr>
      </w:pPr>
    </w:p>
    <w:p w:rsidR="00670B24" w:rsidRDefault="00670B24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5.   A number of conditions other than pregnancy, including tro</w:t>
      </w:r>
      <w:r w:rsidR="00F40BFA">
        <w:rPr>
          <w:rFonts w:cs="Arial"/>
          <w:lang w:val="en-US"/>
        </w:rPr>
        <w:t xml:space="preserve">phoblastic disease and certain </w:t>
      </w:r>
      <w:r>
        <w:rPr>
          <w:rFonts w:cs="Arial"/>
          <w:lang w:val="en-US"/>
        </w:rPr>
        <w:t>non-trophoblastic neoplasms including testicular tumors, prostate cancer, breast cancer and lung cancer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can cause elevated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levels. The presence of </w:t>
      </w:r>
      <w:proofErr w:type="spellStart"/>
      <w:proofErr w:type="gramStart"/>
      <w:r>
        <w:rPr>
          <w:rFonts w:cs="Arial"/>
          <w:lang w:val="en-US"/>
        </w:rPr>
        <w:t>hCG</w:t>
      </w:r>
      <w:proofErr w:type="spellEnd"/>
      <w:proofErr w:type="gramEnd"/>
      <w:r>
        <w:rPr>
          <w:rFonts w:cs="Arial"/>
          <w:lang w:val="en-US"/>
        </w:rPr>
        <w:t xml:space="preserve"> in a serum or urine specimen should not be used</w:t>
      </w:r>
      <w:r w:rsidR="00F40BF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to diagnose pregnancy unless these conditions have been ruled out.</w:t>
      </w:r>
    </w:p>
    <w:p w:rsidR="00670B24" w:rsidRDefault="00670B24" w:rsidP="00F40BFA">
      <w:pPr>
        <w:pStyle w:val="DOC-BodyText"/>
        <w:ind w:left="360" w:hanging="360"/>
        <w:rPr>
          <w:rFonts w:cs="Arial"/>
          <w:lang w:val="en-US"/>
        </w:rPr>
      </w:pPr>
    </w:p>
    <w:p w:rsidR="00693B24" w:rsidRDefault="00670B24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 xml:space="preserve">6.   Specimens from </w:t>
      </w:r>
      <w:proofErr w:type="gramStart"/>
      <w:r>
        <w:rPr>
          <w:rFonts w:cs="Arial"/>
          <w:lang w:val="en-US"/>
        </w:rPr>
        <w:t>patients</w:t>
      </w:r>
      <w:proofErr w:type="gramEnd"/>
      <w:r>
        <w:rPr>
          <w:rFonts w:cs="Arial"/>
          <w:lang w:val="en-US"/>
        </w:rPr>
        <w:t xml:space="preserve"> who have received preparations of human anti-mouse antibodies for conditions or th</w:t>
      </w:r>
      <w:r w:rsidR="00693B24">
        <w:rPr>
          <w:rFonts w:cs="Arial"/>
          <w:lang w:val="en-US"/>
        </w:rPr>
        <w:t xml:space="preserve">erapy, may get a false positive or negative reaction with this kit. </w:t>
      </w:r>
    </w:p>
    <w:p w:rsidR="00693B24" w:rsidRDefault="00693B24" w:rsidP="00F40BFA">
      <w:pPr>
        <w:pStyle w:val="DOC-BodyText"/>
        <w:ind w:left="360" w:hanging="360"/>
        <w:rPr>
          <w:rFonts w:cs="Arial"/>
          <w:lang w:val="en-US"/>
        </w:rPr>
      </w:pPr>
    </w:p>
    <w:p w:rsidR="00DC05D0" w:rsidRDefault="00693B24" w:rsidP="00F40BFA">
      <w:pPr>
        <w:pStyle w:val="DOC-BodyText"/>
        <w:ind w:left="360" w:hanging="360"/>
        <w:rPr>
          <w:rFonts w:cs="Arial"/>
          <w:lang w:val="en-US"/>
        </w:rPr>
      </w:pPr>
      <w:r>
        <w:rPr>
          <w:rFonts w:cs="Arial"/>
          <w:lang w:val="en-US"/>
        </w:rPr>
        <w:t>7.   This test provides a presumptive diagnosis of pregnancy.  A confirmed pregnancy diagnosis should</w:t>
      </w:r>
      <w:r w:rsidR="00F40BFA">
        <w:rPr>
          <w:rFonts w:cs="Arial"/>
          <w:lang w:val="en-US"/>
        </w:rPr>
        <w:t xml:space="preserve"> only </w:t>
      </w:r>
      <w:r>
        <w:rPr>
          <w:rFonts w:cs="Arial"/>
          <w:lang w:val="en-US"/>
        </w:rPr>
        <w:t xml:space="preserve">be made by a physician after all clinical and laboratory findings have been evaluated. </w:t>
      </w:r>
    </w:p>
    <w:p w:rsidR="00DC05D0" w:rsidRDefault="00DC05D0" w:rsidP="00553A78">
      <w:pPr>
        <w:pStyle w:val="DOC-BodyText"/>
        <w:rPr>
          <w:rFonts w:cs="Arial"/>
          <w:lang w:val="en-US"/>
        </w:rPr>
      </w:pPr>
    </w:p>
    <w:p w:rsidR="00CD5385" w:rsidRDefault="00CD5385" w:rsidP="00553A78">
      <w:pPr>
        <w:pStyle w:val="DOC-BodyText"/>
        <w:rPr>
          <w:rFonts w:cs="Arial"/>
          <w:lang w:val="en-US"/>
        </w:rPr>
      </w:pPr>
    </w:p>
    <w:p w:rsidR="00DC05D0" w:rsidRDefault="00DC05D0" w:rsidP="00553A78">
      <w:pPr>
        <w:pStyle w:val="DOC-BodyText"/>
        <w:rPr>
          <w:rFonts w:cs="Arial"/>
          <w:b/>
          <w:lang w:val="en-US"/>
        </w:rPr>
      </w:pPr>
      <w:r w:rsidRPr="00DC05D0">
        <w:rPr>
          <w:rFonts w:cs="Arial"/>
          <w:b/>
          <w:lang w:val="en-US"/>
        </w:rPr>
        <w:t>REFERENCES</w:t>
      </w:r>
    </w:p>
    <w:p w:rsidR="00DC05D0" w:rsidRDefault="00DC05D0" w:rsidP="00553A78">
      <w:pPr>
        <w:pStyle w:val="DOC-BodyText"/>
        <w:rPr>
          <w:rFonts w:cs="Arial"/>
          <w:lang w:val="en-US"/>
        </w:rPr>
      </w:pPr>
    </w:p>
    <w:p w:rsidR="00DC05D0" w:rsidRPr="00F40BFA" w:rsidRDefault="00DC05D0" w:rsidP="00553A78">
      <w:pPr>
        <w:pStyle w:val="DOC-BodyText"/>
        <w:rPr>
          <w:rFonts w:cs="Arial"/>
          <w:sz w:val="20"/>
          <w:lang w:val="en-US"/>
        </w:rPr>
      </w:pPr>
      <w:r w:rsidRPr="00F40BFA">
        <w:rPr>
          <w:rFonts w:cs="Arial"/>
          <w:sz w:val="20"/>
          <w:lang w:val="en-US"/>
        </w:rPr>
        <w:t xml:space="preserve">1.   </w:t>
      </w:r>
      <w:proofErr w:type="spellStart"/>
      <w:proofErr w:type="gramStart"/>
      <w:r w:rsidRPr="00F40BFA">
        <w:rPr>
          <w:rFonts w:cs="Arial"/>
          <w:sz w:val="20"/>
          <w:lang w:val="en-US"/>
        </w:rPr>
        <w:t>hCG</w:t>
      </w:r>
      <w:proofErr w:type="spellEnd"/>
      <w:proofErr w:type="gramEnd"/>
      <w:r w:rsidRPr="00F40BFA">
        <w:rPr>
          <w:rFonts w:cs="Arial"/>
          <w:sz w:val="20"/>
          <w:lang w:val="en-US"/>
        </w:rPr>
        <w:t xml:space="preserve"> Combo Rapid test product insert.  </w:t>
      </w:r>
      <w:proofErr w:type="gramStart"/>
      <w:r w:rsidRPr="00F40BFA">
        <w:rPr>
          <w:rFonts w:cs="Arial"/>
          <w:sz w:val="20"/>
          <w:lang w:val="en-US"/>
        </w:rPr>
        <w:t>Cardinal Health, Waukegan, IL.</w:t>
      </w:r>
      <w:proofErr w:type="gramEnd"/>
      <w:r w:rsidRPr="00F40BFA">
        <w:rPr>
          <w:rFonts w:cs="Arial"/>
          <w:sz w:val="20"/>
          <w:lang w:val="en-US"/>
        </w:rPr>
        <w:t xml:space="preserve"> 3/2011</w:t>
      </w:r>
    </w:p>
    <w:p w:rsidR="00DC05D0" w:rsidRPr="00F40BFA" w:rsidRDefault="00DC05D0" w:rsidP="00553A78">
      <w:pPr>
        <w:pStyle w:val="DOC-BodyText"/>
        <w:rPr>
          <w:rFonts w:cs="Arial"/>
          <w:sz w:val="20"/>
          <w:lang w:val="en-US"/>
        </w:rPr>
      </w:pPr>
      <w:r w:rsidRPr="00F40BFA">
        <w:rPr>
          <w:rFonts w:cs="Arial"/>
          <w:sz w:val="20"/>
          <w:lang w:val="en-US"/>
        </w:rPr>
        <w:t>2.   Sure-</w:t>
      </w:r>
      <w:proofErr w:type="spellStart"/>
      <w:r w:rsidRPr="00F40BFA">
        <w:rPr>
          <w:rFonts w:cs="Arial"/>
          <w:sz w:val="20"/>
          <w:lang w:val="en-US"/>
        </w:rPr>
        <w:t>Vue</w:t>
      </w:r>
      <w:proofErr w:type="spellEnd"/>
      <w:r w:rsidRPr="00F40BFA">
        <w:rPr>
          <w:rFonts w:cs="Arial"/>
          <w:sz w:val="20"/>
          <w:lang w:val="en-US"/>
        </w:rPr>
        <w:t xml:space="preserve"> </w:t>
      </w:r>
      <w:proofErr w:type="spellStart"/>
      <w:proofErr w:type="gramStart"/>
      <w:r w:rsidRPr="00F40BFA">
        <w:rPr>
          <w:rFonts w:cs="Arial"/>
          <w:sz w:val="20"/>
          <w:lang w:val="en-US"/>
        </w:rPr>
        <w:t>hCG</w:t>
      </w:r>
      <w:proofErr w:type="spellEnd"/>
      <w:proofErr w:type="gramEnd"/>
      <w:r w:rsidRPr="00F40BFA">
        <w:rPr>
          <w:rFonts w:cs="Arial"/>
          <w:sz w:val="20"/>
          <w:lang w:val="en-US"/>
        </w:rPr>
        <w:t xml:space="preserve"> STAT serum controls product insert.  Fisher Scientific, 2/2012.</w:t>
      </w:r>
    </w:p>
    <w:p w:rsidR="00DC05D0" w:rsidRDefault="00DC05D0" w:rsidP="00553A78">
      <w:pPr>
        <w:pStyle w:val="DOC-BodyText"/>
        <w:rPr>
          <w:rFonts w:cs="Arial"/>
          <w:lang w:val="en-US"/>
        </w:rPr>
      </w:pPr>
    </w:p>
    <w:p w:rsidR="00F3349F" w:rsidRDefault="00F3349F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Default="00327680" w:rsidP="00553A78">
      <w:pPr>
        <w:pStyle w:val="DOC-BodyText"/>
        <w:rPr>
          <w:rFonts w:cs="Arial"/>
          <w:b/>
          <w:lang w:val="en-US"/>
        </w:rPr>
      </w:pPr>
    </w:p>
    <w:p w:rsidR="00327680" w:rsidRPr="00327680" w:rsidRDefault="00327680" w:rsidP="00553A78">
      <w:pPr>
        <w:pStyle w:val="DOC-BodyText"/>
        <w:rPr>
          <w:rFonts w:cs="Arial"/>
          <w:b/>
          <w:lang w:val="en-US"/>
        </w:rPr>
      </w:pPr>
    </w:p>
    <w:p w:rsidR="00F3349F" w:rsidRPr="00C908BF" w:rsidRDefault="00F3349F" w:rsidP="00C908BF">
      <w:pPr>
        <w:pStyle w:val="DOC-BodyText"/>
        <w:rPr>
          <w:rFonts w:cs="Arial"/>
        </w:rPr>
      </w:pPr>
    </w:p>
    <w:tbl>
      <w:tblPr>
        <w:tblpPr w:leftFromText="187" w:rightFromText="187" w:vertAnchor="text" w:horzAnchor="margin" w:tblpY="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731"/>
        <w:gridCol w:w="2058"/>
        <w:gridCol w:w="4769"/>
      </w:tblGrid>
      <w:tr w:rsidR="00B36A95" w:rsidTr="00B36A95">
        <w:trPr>
          <w:cantSplit/>
          <w:trHeight w:val="440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vAlign w:val="center"/>
          </w:tcPr>
          <w:p w:rsidR="00B36A95" w:rsidRPr="00BF482B" w:rsidRDefault="00B36A95" w:rsidP="00B36A95">
            <w:pPr>
              <w:pStyle w:val="BodyText"/>
              <w:rPr>
                <w:b/>
                <w:lang w:val="en-US" w:eastAsia="en-US"/>
              </w:rPr>
            </w:pPr>
            <w:r w:rsidRPr="00BF482B">
              <w:rPr>
                <w:b/>
                <w:lang w:val="en-US" w:eastAsia="en-US"/>
              </w:rPr>
              <w:t>DOCUMENT APPROVAL     Purpose of Document / Reason for Change:</w:t>
            </w:r>
          </w:p>
        </w:tc>
      </w:tr>
      <w:tr w:rsidR="00B36A95" w:rsidTr="00B36A95">
        <w:trPr>
          <w:cantSplit/>
          <w:trHeight w:val="510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B36A95" w:rsidRPr="00BF482B" w:rsidRDefault="00327680" w:rsidP="00B36A95">
            <w:pPr>
              <w:pStyle w:val="BodyText"/>
              <w:spacing w:before="60" w:after="60"/>
              <w:rPr>
                <w:lang w:val="en-US" w:eastAsia="en-US"/>
              </w:rPr>
            </w:pPr>
            <w:r>
              <w:rPr>
                <w:lang w:val="en-US" w:eastAsia="en-US"/>
              </w:rPr>
              <w:t>New document</w:t>
            </w:r>
          </w:p>
          <w:p w:rsidR="00B36A95" w:rsidRPr="00BF482B" w:rsidRDefault="00B36A95" w:rsidP="00B36A95">
            <w:pPr>
              <w:pStyle w:val="BodyText"/>
              <w:spacing w:before="60" w:after="60"/>
              <w:rPr>
                <w:lang w:val="en-US" w:eastAsia="en-US"/>
              </w:rPr>
            </w:pPr>
          </w:p>
        </w:tc>
      </w:tr>
      <w:tr w:rsidR="00B36A95" w:rsidTr="00B36A95">
        <w:trPr>
          <w:cantSplit/>
          <w:trHeight w:val="27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B36A95" w:rsidRPr="00BF482B" w:rsidRDefault="00B36A95" w:rsidP="00B36A95">
            <w:pPr>
              <w:pStyle w:val="BodyText"/>
              <w:spacing w:before="60" w:after="60"/>
              <w:rPr>
                <w:lang w:val="en-US" w:eastAsia="en-US"/>
              </w:rPr>
            </w:pPr>
            <w:r w:rsidRPr="00BF482B">
              <w:rPr>
                <w:b/>
                <w:bCs/>
                <w:sz w:val="18"/>
                <w:lang w:val="en-US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2B">
              <w:rPr>
                <w:b/>
                <w:bCs/>
                <w:sz w:val="18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bCs/>
                <w:sz w:val="18"/>
                <w:lang w:val="en-US" w:eastAsia="en-US"/>
              </w:rPr>
            </w:r>
            <w:r w:rsidR="00083B67">
              <w:rPr>
                <w:b/>
                <w:bCs/>
                <w:sz w:val="18"/>
                <w:lang w:val="en-US" w:eastAsia="en-US"/>
              </w:rPr>
              <w:fldChar w:fldCharType="separate"/>
            </w:r>
            <w:r w:rsidRPr="00BF482B">
              <w:rPr>
                <w:b/>
                <w:bCs/>
                <w:sz w:val="18"/>
                <w:lang w:val="en-US" w:eastAsia="en-US"/>
              </w:rPr>
              <w:fldChar w:fldCharType="end"/>
            </w:r>
            <w:r w:rsidRPr="00BF482B">
              <w:rPr>
                <w:sz w:val="18"/>
                <w:lang w:val="en-US" w:eastAsia="en-US"/>
              </w:rPr>
              <w:t xml:space="preserve"> </w:t>
            </w:r>
            <w:r w:rsidRPr="00BF482B">
              <w:rPr>
                <w:b/>
                <w:bCs/>
                <w:sz w:val="18"/>
                <w:lang w:val="en-US" w:eastAsia="en-US"/>
              </w:rPr>
              <w:t xml:space="preserve"> </w:t>
            </w:r>
            <w:r w:rsidRPr="00BF482B">
              <w:rPr>
                <w:bCs/>
                <w:i/>
                <w:sz w:val="18"/>
                <w:lang w:val="en-US" w:eastAsia="en-US"/>
              </w:rPr>
              <w:t>No significant change to process in above revision.  Per CAP, this revision does not require further Medical Director approval.</w:t>
            </w:r>
          </w:p>
        </w:tc>
      </w:tr>
      <w:tr w:rsidR="00B36A95" w:rsidTr="00B36A95">
        <w:trPr>
          <w:cantSplit/>
          <w:trHeight w:val="992"/>
        </w:trPr>
        <w:tc>
          <w:tcPr>
            <w:tcW w:w="1458" w:type="dxa"/>
            <w:vAlign w:val="center"/>
          </w:tcPr>
          <w:p w:rsidR="00B36A95" w:rsidRPr="00BF482B" w:rsidRDefault="00B36A95" w:rsidP="00B36A95">
            <w:pPr>
              <w:pStyle w:val="BodyText"/>
              <w:jc w:val="right"/>
              <w:rPr>
                <w:b/>
                <w:sz w:val="18"/>
                <w:lang w:val="en-US" w:eastAsia="en-US"/>
              </w:rPr>
            </w:pPr>
            <w:r w:rsidRPr="00BF482B">
              <w:rPr>
                <w:b/>
                <w:sz w:val="18"/>
                <w:lang w:val="en-US" w:eastAsia="en-US"/>
              </w:rPr>
              <w:t>Committee</w:t>
            </w:r>
            <w:r w:rsidRPr="00BF482B">
              <w:rPr>
                <w:b/>
                <w:sz w:val="18"/>
                <w:lang w:val="en-US" w:eastAsia="en-US"/>
              </w:rPr>
              <w:br/>
              <w:t xml:space="preserve">Approval </w:t>
            </w:r>
            <w:r w:rsidRPr="00BF482B">
              <w:rPr>
                <w:b/>
                <w:sz w:val="18"/>
                <w:lang w:val="en-US" w:eastAsia="en-US"/>
              </w:rPr>
              <w:br/>
              <w:t>Date</w:t>
            </w:r>
          </w:p>
        </w:tc>
        <w:bookmarkStart w:id="7" w:name="Check9"/>
        <w:tc>
          <w:tcPr>
            <w:tcW w:w="2731" w:type="dxa"/>
          </w:tcPr>
          <w:p w:rsidR="00B36A95" w:rsidRPr="00BF482B" w:rsidRDefault="00B36A95" w:rsidP="00B36A95">
            <w:pPr>
              <w:pStyle w:val="BodyText"/>
              <w:spacing w:before="120" w:after="60"/>
              <w:rPr>
                <w:sz w:val="18"/>
                <w:lang w:val="en-US" w:eastAsia="en-US"/>
              </w:rPr>
            </w:pPr>
            <w:r w:rsidRPr="00BF482B">
              <w:rPr>
                <w:b/>
                <w:bCs/>
                <w:sz w:val="18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2B">
              <w:rPr>
                <w:b/>
                <w:bCs/>
                <w:sz w:val="18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bCs/>
                <w:sz w:val="18"/>
                <w:lang w:val="en-US" w:eastAsia="en-US"/>
              </w:rPr>
            </w:r>
            <w:r w:rsidR="00083B67">
              <w:rPr>
                <w:b/>
                <w:bCs/>
                <w:sz w:val="18"/>
                <w:lang w:val="en-US" w:eastAsia="en-US"/>
              </w:rPr>
              <w:fldChar w:fldCharType="separate"/>
            </w:r>
            <w:r w:rsidRPr="00BF482B">
              <w:rPr>
                <w:b/>
                <w:bCs/>
                <w:sz w:val="18"/>
                <w:lang w:val="en-US" w:eastAsia="en-US"/>
              </w:rPr>
              <w:fldChar w:fldCharType="end"/>
            </w:r>
            <w:bookmarkEnd w:id="7"/>
            <w:r w:rsidRPr="00BF482B">
              <w:rPr>
                <w:b/>
                <w:bCs/>
                <w:sz w:val="18"/>
                <w:lang w:val="en-US" w:eastAsia="en-US"/>
              </w:rPr>
              <w:t xml:space="preserve"> </w:t>
            </w:r>
            <w:r w:rsidRPr="00BF482B">
              <w:rPr>
                <w:sz w:val="18"/>
                <w:lang w:val="en-US" w:eastAsia="en-US"/>
              </w:rPr>
              <w:t xml:space="preserve">Date:   </w:t>
            </w:r>
          </w:p>
          <w:p w:rsidR="00B36A95" w:rsidRPr="00BF482B" w:rsidRDefault="00B36A95" w:rsidP="00B36A95">
            <w:pPr>
              <w:pStyle w:val="BodyText"/>
              <w:spacing w:after="60"/>
              <w:rPr>
                <w:sz w:val="18"/>
                <w:lang w:val="en-US" w:eastAsia="en-US"/>
              </w:rPr>
            </w:pPr>
            <w:r w:rsidRPr="00BF482B">
              <w:rPr>
                <w:b/>
                <w:bCs/>
                <w:sz w:val="18"/>
                <w:lang w:val="en-US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BF482B">
              <w:rPr>
                <w:b/>
                <w:bCs/>
                <w:sz w:val="18"/>
                <w:lang w:val="en-US" w:eastAsia="en-US"/>
              </w:rPr>
              <w:instrText xml:space="preserve"> FORMCHECKBOX </w:instrText>
            </w:r>
            <w:r w:rsidR="00083B67">
              <w:rPr>
                <w:b/>
                <w:bCs/>
                <w:sz w:val="18"/>
                <w:lang w:val="en-US" w:eastAsia="en-US"/>
              </w:rPr>
            </w:r>
            <w:r w:rsidR="00083B67">
              <w:rPr>
                <w:b/>
                <w:bCs/>
                <w:sz w:val="18"/>
                <w:lang w:val="en-US" w:eastAsia="en-US"/>
              </w:rPr>
              <w:fldChar w:fldCharType="separate"/>
            </w:r>
            <w:r w:rsidRPr="00BF482B">
              <w:rPr>
                <w:b/>
                <w:bCs/>
                <w:sz w:val="18"/>
                <w:lang w:val="en-US" w:eastAsia="en-US"/>
              </w:rPr>
              <w:fldChar w:fldCharType="end"/>
            </w:r>
            <w:bookmarkEnd w:id="8"/>
            <w:r w:rsidRPr="00BF482B">
              <w:rPr>
                <w:sz w:val="18"/>
                <w:lang w:val="en-US" w:eastAsia="en-US"/>
              </w:rPr>
              <w:t xml:space="preserve">  N/A – </w:t>
            </w:r>
            <w:r w:rsidRPr="00BF482B">
              <w:rPr>
                <w:sz w:val="16"/>
                <w:lang w:val="en-US" w:eastAsia="en-US"/>
              </w:rPr>
              <w:t>revision of</w:t>
            </w:r>
            <w:r w:rsidRPr="00BF482B">
              <w:rPr>
                <w:sz w:val="18"/>
                <w:lang w:val="en-US" w:eastAsia="en-US"/>
              </w:rPr>
              <w:t xml:space="preserve"> </w:t>
            </w:r>
            <w:r w:rsidRPr="00BF482B">
              <w:rPr>
                <w:sz w:val="16"/>
                <w:lang w:val="en-US" w:eastAsia="en-US"/>
              </w:rPr>
              <w:t xml:space="preserve">department-specific document which is used at only one facility  </w:t>
            </w:r>
            <w:r w:rsidRPr="00BF482B">
              <w:rPr>
                <w:sz w:val="18"/>
                <w:lang w:val="en-US" w:eastAsia="en-US"/>
              </w:rPr>
              <w:t xml:space="preserve"> </w:t>
            </w:r>
          </w:p>
        </w:tc>
        <w:tc>
          <w:tcPr>
            <w:tcW w:w="2058" w:type="dxa"/>
            <w:vAlign w:val="center"/>
          </w:tcPr>
          <w:p w:rsidR="00B36A95" w:rsidRPr="00BF482B" w:rsidRDefault="00B36A95" w:rsidP="00B36A95">
            <w:pPr>
              <w:pStyle w:val="BodyText"/>
              <w:spacing w:before="120"/>
              <w:jc w:val="right"/>
              <w:rPr>
                <w:b/>
                <w:sz w:val="18"/>
                <w:lang w:val="en-US" w:eastAsia="en-US"/>
              </w:rPr>
            </w:pPr>
            <w:r w:rsidRPr="00BF482B">
              <w:rPr>
                <w:b/>
                <w:sz w:val="18"/>
                <w:lang w:val="en-US" w:eastAsia="en-US"/>
              </w:rPr>
              <w:t>Medical Director Approval</w:t>
            </w:r>
            <w:r w:rsidRPr="00BF482B">
              <w:rPr>
                <w:b/>
                <w:sz w:val="18"/>
                <w:lang w:val="en-US" w:eastAsia="en-US"/>
              </w:rPr>
              <w:br/>
            </w:r>
            <w:r w:rsidRPr="00BF482B">
              <w:rPr>
                <w:i/>
                <w:sz w:val="18"/>
                <w:lang w:val="en-US" w:eastAsia="en-US"/>
              </w:rPr>
              <w:t>(Electronic Signature)</w:t>
            </w:r>
          </w:p>
        </w:tc>
        <w:tc>
          <w:tcPr>
            <w:tcW w:w="4769" w:type="dxa"/>
            <w:vAlign w:val="center"/>
          </w:tcPr>
          <w:p w:rsidR="00B36A95" w:rsidRPr="00000956" w:rsidRDefault="00F40BFA" w:rsidP="00B36A95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2098343" cy="390525"/>
                  <wp:effectExtent l="0" t="0" r="0" b="0"/>
                  <wp:docPr id="2" name="Picture 2" descr="H:\Katie\Signature - K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Katie\Signature - K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34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1/31/14</w:t>
            </w:r>
          </w:p>
        </w:tc>
      </w:tr>
    </w:tbl>
    <w:p w:rsidR="00F3349F" w:rsidRPr="00C908BF" w:rsidRDefault="00F3349F" w:rsidP="00C908BF">
      <w:pPr>
        <w:pStyle w:val="DOC-BodyText"/>
        <w:rPr>
          <w:rFonts w:cs="Arial"/>
        </w:rPr>
      </w:pPr>
    </w:p>
    <w:sectPr w:rsidR="00F3349F" w:rsidRPr="00C908BF" w:rsidSect="003D03FC">
      <w:footerReference w:type="default" r:id="rId10"/>
      <w:type w:val="continuous"/>
      <w:pgSz w:w="12240" w:h="15840" w:code="1"/>
      <w:pgMar w:top="720" w:right="720" w:bottom="144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00" w:rsidRDefault="00576100" w:rsidP="00F3349F">
      <w:pPr>
        <w:spacing w:after="0" w:line="240" w:lineRule="auto"/>
      </w:pPr>
      <w:r>
        <w:separator/>
      </w:r>
    </w:p>
  </w:endnote>
  <w:endnote w:type="continuationSeparator" w:id="0">
    <w:p w:rsidR="00576100" w:rsidRDefault="00576100" w:rsidP="00F3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758"/>
      <w:gridCol w:w="2160"/>
      <w:gridCol w:w="1098"/>
    </w:tblGrid>
    <w:tr w:rsidR="00576100" w:rsidTr="00DC4352">
      <w:tc>
        <w:tcPr>
          <w:tcW w:w="7758" w:type="dxa"/>
        </w:tcPr>
        <w:p w:rsidR="00576100" w:rsidRPr="00BF482B" w:rsidRDefault="00576100" w:rsidP="001C41B8">
          <w:pPr>
            <w:pStyle w:val="DOC-Footer"/>
            <w:rPr>
              <w:lang w:val="en-US" w:eastAsia="en-US"/>
            </w:rPr>
          </w:pPr>
          <w:r w:rsidRPr="00BF482B">
            <w:rPr>
              <w:lang w:val="en-US" w:eastAsia="en-US"/>
            </w:rPr>
            <w:t>Enter Document Path</w:t>
          </w:r>
          <w:r>
            <w:rPr>
              <w:lang w:val="en-US" w:eastAsia="en-US"/>
            </w:rPr>
            <w:t xml:space="preserve"> G/Lab/Lab/Document Control/Urinalysis active/</w:t>
          </w:r>
          <w:proofErr w:type="spellStart"/>
          <w:r>
            <w:rPr>
              <w:lang w:val="en-US" w:eastAsia="en-US"/>
            </w:rPr>
            <w:t>hCG</w:t>
          </w:r>
          <w:proofErr w:type="spellEnd"/>
          <w:r>
            <w:rPr>
              <w:lang w:val="en-US" w:eastAsia="en-US"/>
            </w:rPr>
            <w:t xml:space="preserve"> Pregnancy test.docx</w:t>
          </w:r>
          <w:r w:rsidRPr="00BF482B">
            <w:rPr>
              <w:lang w:val="en-US" w:eastAsia="en-US"/>
            </w:rPr>
            <w:tab/>
          </w:r>
        </w:p>
      </w:tc>
      <w:tc>
        <w:tcPr>
          <w:tcW w:w="2160" w:type="dxa"/>
        </w:tcPr>
        <w:p w:rsidR="00576100" w:rsidRPr="00BF482B" w:rsidRDefault="00576100" w:rsidP="001C41B8">
          <w:pPr>
            <w:pStyle w:val="DOC-Footer"/>
            <w:rPr>
              <w:bCs/>
              <w:lang w:val="en-US" w:eastAsia="en-US"/>
            </w:rPr>
          </w:pPr>
          <w:r w:rsidRPr="00BF482B">
            <w:rPr>
              <w:bCs/>
              <w:lang w:val="en-US" w:eastAsia="en-US"/>
            </w:rPr>
            <w:t xml:space="preserve">Effective Date: </w:t>
          </w:r>
          <w:r>
            <w:rPr>
              <w:bCs/>
              <w:lang w:val="en-US" w:eastAsia="en-US"/>
            </w:rPr>
            <w:t xml:space="preserve"> 2/13/14</w:t>
          </w:r>
        </w:p>
      </w:tc>
      <w:tc>
        <w:tcPr>
          <w:tcW w:w="1098" w:type="dxa"/>
        </w:tcPr>
        <w:p w:rsidR="00576100" w:rsidRPr="00BF482B" w:rsidRDefault="00576100" w:rsidP="001C41B8">
          <w:pPr>
            <w:pStyle w:val="DOC-Footer"/>
            <w:rPr>
              <w:bCs/>
              <w:lang w:val="en-US" w:eastAsia="en-US"/>
            </w:rPr>
          </w:pPr>
          <w:r w:rsidRPr="00BF482B">
            <w:rPr>
              <w:bCs/>
              <w:lang w:val="en-US" w:eastAsia="en-US"/>
            </w:rPr>
            <w:t xml:space="preserve">Page </w:t>
          </w:r>
          <w:r w:rsidRPr="00BF482B">
            <w:rPr>
              <w:bCs/>
              <w:lang w:val="en-US" w:eastAsia="en-US"/>
            </w:rPr>
            <w:fldChar w:fldCharType="begin"/>
          </w:r>
          <w:r w:rsidRPr="00BF482B">
            <w:rPr>
              <w:bCs/>
              <w:lang w:val="en-US" w:eastAsia="en-US"/>
            </w:rPr>
            <w:instrText xml:space="preserve"> PAGE </w:instrText>
          </w:r>
          <w:r w:rsidRPr="00BF482B">
            <w:rPr>
              <w:bCs/>
              <w:lang w:val="en-US" w:eastAsia="en-US"/>
            </w:rPr>
            <w:fldChar w:fldCharType="separate"/>
          </w:r>
          <w:r w:rsidR="00083B67">
            <w:rPr>
              <w:bCs/>
              <w:noProof/>
              <w:lang w:val="en-US" w:eastAsia="en-US"/>
            </w:rPr>
            <w:t>1</w:t>
          </w:r>
          <w:r w:rsidRPr="00BF482B">
            <w:rPr>
              <w:bCs/>
              <w:lang w:val="en-US" w:eastAsia="en-US"/>
            </w:rPr>
            <w:fldChar w:fldCharType="end"/>
          </w:r>
          <w:r w:rsidRPr="00BF482B">
            <w:rPr>
              <w:bCs/>
              <w:lang w:val="en-US" w:eastAsia="en-US"/>
            </w:rPr>
            <w:t xml:space="preserve"> of </w:t>
          </w:r>
          <w:r w:rsidRPr="00BF482B">
            <w:rPr>
              <w:bCs/>
              <w:lang w:val="en-US" w:eastAsia="en-US"/>
            </w:rPr>
            <w:fldChar w:fldCharType="begin"/>
          </w:r>
          <w:r w:rsidRPr="00BF482B">
            <w:rPr>
              <w:bCs/>
              <w:lang w:val="en-US" w:eastAsia="en-US"/>
            </w:rPr>
            <w:instrText xml:space="preserve"> NUMPAGES </w:instrText>
          </w:r>
          <w:r w:rsidRPr="00BF482B">
            <w:rPr>
              <w:bCs/>
              <w:lang w:val="en-US" w:eastAsia="en-US"/>
            </w:rPr>
            <w:fldChar w:fldCharType="separate"/>
          </w:r>
          <w:r w:rsidR="00083B67">
            <w:rPr>
              <w:bCs/>
              <w:noProof/>
              <w:lang w:val="en-US" w:eastAsia="en-US"/>
            </w:rPr>
            <w:t>4</w:t>
          </w:r>
          <w:r w:rsidRPr="00BF482B">
            <w:rPr>
              <w:bCs/>
              <w:lang w:val="en-US" w:eastAsia="en-US"/>
            </w:rPr>
            <w:fldChar w:fldCharType="end"/>
          </w:r>
        </w:p>
      </w:tc>
    </w:tr>
    <w:tr w:rsidR="00576100" w:rsidTr="00DC4352">
      <w:tc>
        <w:tcPr>
          <w:tcW w:w="11016" w:type="dxa"/>
          <w:gridSpan w:val="3"/>
        </w:tcPr>
        <w:p w:rsidR="00576100" w:rsidRPr="001C41B8" w:rsidRDefault="00576100" w:rsidP="001C41B8">
          <w:pPr>
            <w:tabs>
              <w:tab w:val="left" w:pos="5865"/>
            </w:tabs>
            <w:spacing w:before="60" w:after="60" w:line="240" w:lineRule="auto"/>
            <w:jc w:val="center"/>
            <w:rPr>
              <w:b/>
              <w:bCs/>
              <w:sz w:val="18"/>
            </w:rPr>
          </w:pPr>
          <w:r w:rsidRPr="001C41B8">
            <w:rPr>
              <w:b/>
              <w:bCs/>
              <w:i/>
              <w:color w:val="FF0000"/>
              <w:sz w:val="18"/>
            </w:rPr>
            <w:t>Unauthorized use or copying of this document is prohibited by FHS.</w:t>
          </w:r>
        </w:p>
      </w:tc>
    </w:tr>
  </w:tbl>
  <w:p w:rsidR="00576100" w:rsidRDefault="00576100" w:rsidP="00E17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00" w:rsidRDefault="00576100" w:rsidP="00F3349F">
      <w:pPr>
        <w:spacing w:after="0" w:line="240" w:lineRule="auto"/>
      </w:pPr>
      <w:r>
        <w:separator/>
      </w:r>
    </w:p>
  </w:footnote>
  <w:footnote w:type="continuationSeparator" w:id="0">
    <w:p w:rsidR="00576100" w:rsidRDefault="00576100" w:rsidP="00F3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2C7"/>
    <w:multiLevelType w:val="hybridMultilevel"/>
    <w:tmpl w:val="96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1987"/>
    <w:multiLevelType w:val="hybridMultilevel"/>
    <w:tmpl w:val="6412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70581"/>
    <w:multiLevelType w:val="hybridMultilevel"/>
    <w:tmpl w:val="BD087B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665B0F5C"/>
    <w:multiLevelType w:val="hybridMultilevel"/>
    <w:tmpl w:val="F3E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07126"/>
    <w:multiLevelType w:val="hybridMultilevel"/>
    <w:tmpl w:val="B92C6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432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36"/>
    <w:rsid w:val="00001A05"/>
    <w:rsid w:val="0003658A"/>
    <w:rsid w:val="000409C0"/>
    <w:rsid w:val="00075910"/>
    <w:rsid w:val="00077D7A"/>
    <w:rsid w:val="00083B67"/>
    <w:rsid w:val="0008421A"/>
    <w:rsid w:val="000B5C37"/>
    <w:rsid w:val="000D11A4"/>
    <w:rsid w:val="000F0DBC"/>
    <w:rsid w:val="000F6BF5"/>
    <w:rsid w:val="00100D44"/>
    <w:rsid w:val="001078D7"/>
    <w:rsid w:val="0012509F"/>
    <w:rsid w:val="00131E3D"/>
    <w:rsid w:val="00154D5B"/>
    <w:rsid w:val="00173F2E"/>
    <w:rsid w:val="00174C84"/>
    <w:rsid w:val="0019137A"/>
    <w:rsid w:val="00194BF9"/>
    <w:rsid w:val="001C41B8"/>
    <w:rsid w:val="00202536"/>
    <w:rsid w:val="00241B83"/>
    <w:rsid w:val="00294F33"/>
    <w:rsid w:val="002E1B38"/>
    <w:rsid w:val="00303215"/>
    <w:rsid w:val="00315AF0"/>
    <w:rsid w:val="00327680"/>
    <w:rsid w:val="00351B81"/>
    <w:rsid w:val="003613C6"/>
    <w:rsid w:val="00366A91"/>
    <w:rsid w:val="00376C61"/>
    <w:rsid w:val="00383A08"/>
    <w:rsid w:val="003B3E81"/>
    <w:rsid w:val="003C0E4B"/>
    <w:rsid w:val="003C2A96"/>
    <w:rsid w:val="003D03FC"/>
    <w:rsid w:val="003D1A69"/>
    <w:rsid w:val="004378C3"/>
    <w:rsid w:val="0047449D"/>
    <w:rsid w:val="004B1C7B"/>
    <w:rsid w:val="004F76AE"/>
    <w:rsid w:val="0050333D"/>
    <w:rsid w:val="00553A78"/>
    <w:rsid w:val="005674F3"/>
    <w:rsid w:val="00571316"/>
    <w:rsid w:val="00576100"/>
    <w:rsid w:val="005B6A95"/>
    <w:rsid w:val="005C46A4"/>
    <w:rsid w:val="005D371B"/>
    <w:rsid w:val="00610B79"/>
    <w:rsid w:val="006261C1"/>
    <w:rsid w:val="00661933"/>
    <w:rsid w:val="00670B24"/>
    <w:rsid w:val="00671EDC"/>
    <w:rsid w:val="00693B24"/>
    <w:rsid w:val="006A6912"/>
    <w:rsid w:val="00712806"/>
    <w:rsid w:val="00725BC8"/>
    <w:rsid w:val="00754929"/>
    <w:rsid w:val="00756EE4"/>
    <w:rsid w:val="00781CDD"/>
    <w:rsid w:val="007C15AA"/>
    <w:rsid w:val="007E1356"/>
    <w:rsid w:val="008040DB"/>
    <w:rsid w:val="0082037B"/>
    <w:rsid w:val="00871575"/>
    <w:rsid w:val="00882906"/>
    <w:rsid w:val="008C14B2"/>
    <w:rsid w:val="00902D03"/>
    <w:rsid w:val="009244D7"/>
    <w:rsid w:val="009B5434"/>
    <w:rsid w:val="00A7479F"/>
    <w:rsid w:val="00A97309"/>
    <w:rsid w:val="00AD588C"/>
    <w:rsid w:val="00AE13E7"/>
    <w:rsid w:val="00AF0774"/>
    <w:rsid w:val="00AF2AB5"/>
    <w:rsid w:val="00B0291B"/>
    <w:rsid w:val="00B27DB2"/>
    <w:rsid w:val="00B27F4C"/>
    <w:rsid w:val="00B36A95"/>
    <w:rsid w:val="00B44001"/>
    <w:rsid w:val="00B87FA1"/>
    <w:rsid w:val="00BA179B"/>
    <w:rsid w:val="00BA75CE"/>
    <w:rsid w:val="00BC1AC7"/>
    <w:rsid w:val="00BD24C9"/>
    <w:rsid w:val="00BD2D1C"/>
    <w:rsid w:val="00BF3E00"/>
    <w:rsid w:val="00BF482B"/>
    <w:rsid w:val="00C00106"/>
    <w:rsid w:val="00C074E6"/>
    <w:rsid w:val="00C34AD2"/>
    <w:rsid w:val="00C64766"/>
    <w:rsid w:val="00C83A4A"/>
    <w:rsid w:val="00C908BF"/>
    <w:rsid w:val="00CB7B69"/>
    <w:rsid w:val="00CD5385"/>
    <w:rsid w:val="00D14D15"/>
    <w:rsid w:val="00DA5EB7"/>
    <w:rsid w:val="00DC05D0"/>
    <w:rsid w:val="00DC4352"/>
    <w:rsid w:val="00DD1F87"/>
    <w:rsid w:val="00DF21F9"/>
    <w:rsid w:val="00E019B3"/>
    <w:rsid w:val="00E17081"/>
    <w:rsid w:val="00E44B05"/>
    <w:rsid w:val="00EC1D2E"/>
    <w:rsid w:val="00ED2E8D"/>
    <w:rsid w:val="00F1770B"/>
    <w:rsid w:val="00F2783B"/>
    <w:rsid w:val="00F3349F"/>
    <w:rsid w:val="00F40BFA"/>
    <w:rsid w:val="00F603DA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1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F3349F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b/>
      <w:bCs/>
      <w:szCs w:val="20"/>
      <w:lang w:val="x-none" w:eastAsia="x-none"/>
    </w:rPr>
  </w:style>
  <w:style w:type="character" w:customStyle="1" w:styleId="HeaderChar1">
    <w:name w:val="Header Char1"/>
    <w:link w:val="Header"/>
    <w:uiPriority w:val="99"/>
    <w:rsid w:val="00F3349F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rsid w:val="00F3349F"/>
    <w:pPr>
      <w:spacing w:after="0" w:line="240" w:lineRule="auto"/>
    </w:pPr>
    <w:rPr>
      <w:rFonts w:ascii="Arial" w:hAnsi="Arial"/>
      <w:szCs w:val="20"/>
      <w:lang w:val="x-none" w:eastAsia="x-none"/>
    </w:rPr>
  </w:style>
  <w:style w:type="character" w:customStyle="1" w:styleId="BodyTextChar">
    <w:name w:val="Body Text Char"/>
    <w:link w:val="BodyText"/>
    <w:rsid w:val="00F3349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F334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34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34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03DA"/>
    <w:rPr>
      <w:color w:val="0000FF"/>
      <w:u w:val="single"/>
    </w:rPr>
  </w:style>
  <w:style w:type="character" w:customStyle="1" w:styleId="HeaderChar">
    <w:name w:val="Header Char"/>
    <w:locked/>
    <w:rsid w:val="008C14B2"/>
    <w:rPr>
      <w:rFonts w:ascii="Arial" w:hAnsi="Arial" w:cs="Times New Roman"/>
      <w:b/>
      <w:bCs/>
      <w:sz w:val="22"/>
    </w:rPr>
  </w:style>
  <w:style w:type="paragraph" w:customStyle="1" w:styleId="DOC-DocumentID">
    <w:name w:val="DOC-Document ID"/>
    <w:basedOn w:val="DOC-HEADING1"/>
    <w:qFormat/>
    <w:rsid w:val="00B27F4C"/>
    <w:pPr>
      <w:spacing w:line="240" w:lineRule="auto"/>
      <w:jc w:val="right"/>
    </w:pPr>
  </w:style>
  <w:style w:type="paragraph" w:customStyle="1" w:styleId="DOC-TITLE">
    <w:name w:val="DOC-TITLE"/>
    <w:basedOn w:val="Normal"/>
    <w:qFormat/>
    <w:rsid w:val="00C34AD2"/>
    <w:pPr>
      <w:spacing w:before="60" w:after="60"/>
      <w:jc w:val="center"/>
    </w:pPr>
    <w:rPr>
      <w:rFonts w:ascii="Arial" w:hAnsi="Arial"/>
      <w:b/>
      <w:caps/>
      <w:sz w:val="28"/>
    </w:rPr>
  </w:style>
  <w:style w:type="paragraph" w:customStyle="1" w:styleId="DOC-HEADING1">
    <w:name w:val="DOC-HEADING 1"/>
    <w:basedOn w:val="Heading1"/>
    <w:qFormat/>
    <w:rsid w:val="00C34AD2"/>
    <w:pPr>
      <w:spacing w:before="0" w:after="0" w:line="480" w:lineRule="auto"/>
    </w:pPr>
    <w:rPr>
      <w:rFonts w:ascii="Arial" w:hAnsi="Arial"/>
      <w:caps/>
      <w:sz w:val="24"/>
    </w:rPr>
  </w:style>
  <w:style w:type="character" w:customStyle="1" w:styleId="Heading1Char">
    <w:name w:val="Heading 1 Char"/>
    <w:link w:val="Heading1"/>
    <w:uiPriority w:val="9"/>
    <w:rsid w:val="003D1A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-BodyText">
    <w:name w:val="DOC-Body Text"/>
    <w:basedOn w:val="BodyText"/>
    <w:qFormat/>
    <w:rsid w:val="003D1A69"/>
  </w:style>
  <w:style w:type="paragraph" w:customStyle="1" w:styleId="DOC-Heading2">
    <w:name w:val="DOC-Heading 2"/>
    <w:basedOn w:val="Heading2"/>
    <w:qFormat/>
    <w:rsid w:val="00C34AD2"/>
    <w:pPr>
      <w:spacing w:before="0" w:after="0" w:line="240" w:lineRule="auto"/>
    </w:pPr>
    <w:rPr>
      <w:rFonts w:ascii="Arial" w:hAnsi="Arial" w:cs="Arial"/>
      <w:i w:val="0"/>
      <w:sz w:val="22"/>
    </w:rPr>
  </w:style>
  <w:style w:type="character" w:customStyle="1" w:styleId="Heading2Char">
    <w:name w:val="Heading 2 Char"/>
    <w:link w:val="Heading2"/>
    <w:uiPriority w:val="9"/>
    <w:semiHidden/>
    <w:rsid w:val="001C41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OC-Footer">
    <w:name w:val="DOC-Footer"/>
    <w:basedOn w:val="Footer"/>
    <w:qFormat/>
    <w:rsid w:val="001C41B8"/>
    <w:pPr>
      <w:spacing w:before="60" w:after="60" w:line="240" w:lineRule="auto"/>
    </w:pPr>
    <w:rPr>
      <w:rFonts w:cs="Arial"/>
      <w:b/>
      <w:sz w:val="16"/>
    </w:rPr>
  </w:style>
  <w:style w:type="paragraph" w:styleId="ListParagraph">
    <w:name w:val="List Paragraph"/>
    <w:basedOn w:val="Normal"/>
    <w:uiPriority w:val="34"/>
    <w:qFormat/>
    <w:rsid w:val="00C908BF"/>
    <w:pPr>
      <w:ind w:left="720"/>
    </w:pPr>
  </w:style>
  <w:style w:type="table" w:styleId="TableGrid">
    <w:name w:val="Table Grid"/>
    <w:basedOn w:val="TableNormal"/>
    <w:uiPriority w:val="59"/>
    <w:rsid w:val="00C0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1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F3349F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b/>
      <w:bCs/>
      <w:szCs w:val="20"/>
      <w:lang w:val="x-none" w:eastAsia="x-none"/>
    </w:rPr>
  </w:style>
  <w:style w:type="character" w:customStyle="1" w:styleId="HeaderChar1">
    <w:name w:val="Header Char1"/>
    <w:link w:val="Header"/>
    <w:uiPriority w:val="99"/>
    <w:rsid w:val="00F3349F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rsid w:val="00F3349F"/>
    <w:pPr>
      <w:spacing w:after="0" w:line="240" w:lineRule="auto"/>
    </w:pPr>
    <w:rPr>
      <w:rFonts w:ascii="Arial" w:hAnsi="Arial"/>
      <w:szCs w:val="20"/>
      <w:lang w:val="x-none" w:eastAsia="x-none"/>
    </w:rPr>
  </w:style>
  <w:style w:type="character" w:customStyle="1" w:styleId="BodyTextChar">
    <w:name w:val="Body Text Char"/>
    <w:link w:val="BodyText"/>
    <w:rsid w:val="00F3349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F334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34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34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03DA"/>
    <w:rPr>
      <w:color w:val="0000FF"/>
      <w:u w:val="single"/>
    </w:rPr>
  </w:style>
  <w:style w:type="character" w:customStyle="1" w:styleId="HeaderChar">
    <w:name w:val="Header Char"/>
    <w:locked/>
    <w:rsid w:val="008C14B2"/>
    <w:rPr>
      <w:rFonts w:ascii="Arial" w:hAnsi="Arial" w:cs="Times New Roman"/>
      <w:b/>
      <w:bCs/>
      <w:sz w:val="22"/>
    </w:rPr>
  </w:style>
  <w:style w:type="paragraph" w:customStyle="1" w:styleId="DOC-DocumentID">
    <w:name w:val="DOC-Document ID"/>
    <w:basedOn w:val="DOC-HEADING1"/>
    <w:qFormat/>
    <w:rsid w:val="00B27F4C"/>
    <w:pPr>
      <w:spacing w:line="240" w:lineRule="auto"/>
      <w:jc w:val="right"/>
    </w:pPr>
  </w:style>
  <w:style w:type="paragraph" w:customStyle="1" w:styleId="DOC-TITLE">
    <w:name w:val="DOC-TITLE"/>
    <w:basedOn w:val="Normal"/>
    <w:qFormat/>
    <w:rsid w:val="00C34AD2"/>
    <w:pPr>
      <w:spacing w:before="60" w:after="60"/>
      <w:jc w:val="center"/>
    </w:pPr>
    <w:rPr>
      <w:rFonts w:ascii="Arial" w:hAnsi="Arial"/>
      <w:b/>
      <w:caps/>
      <w:sz w:val="28"/>
    </w:rPr>
  </w:style>
  <w:style w:type="paragraph" w:customStyle="1" w:styleId="DOC-HEADING1">
    <w:name w:val="DOC-HEADING 1"/>
    <w:basedOn w:val="Heading1"/>
    <w:qFormat/>
    <w:rsid w:val="00C34AD2"/>
    <w:pPr>
      <w:spacing w:before="0" w:after="0" w:line="480" w:lineRule="auto"/>
    </w:pPr>
    <w:rPr>
      <w:rFonts w:ascii="Arial" w:hAnsi="Arial"/>
      <w:caps/>
      <w:sz w:val="24"/>
    </w:rPr>
  </w:style>
  <w:style w:type="character" w:customStyle="1" w:styleId="Heading1Char">
    <w:name w:val="Heading 1 Char"/>
    <w:link w:val="Heading1"/>
    <w:uiPriority w:val="9"/>
    <w:rsid w:val="003D1A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-BodyText">
    <w:name w:val="DOC-Body Text"/>
    <w:basedOn w:val="BodyText"/>
    <w:qFormat/>
    <w:rsid w:val="003D1A69"/>
  </w:style>
  <w:style w:type="paragraph" w:customStyle="1" w:styleId="DOC-Heading2">
    <w:name w:val="DOC-Heading 2"/>
    <w:basedOn w:val="Heading2"/>
    <w:qFormat/>
    <w:rsid w:val="00C34AD2"/>
    <w:pPr>
      <w:spacing w:before="0" w:after="0" w:line="240" w:lineRule="auto"/>
    </w:pPr>
    <w:rPr>
      <w:rFonts w:ascii="Arial" w:hAnsi="Arial" w:cs="Arial"/>
      <w:i w:val="0"/>
      <w:sz w:val="22"/>
    </w:rPr>
  </w:style>
  <w:style w:type="character" w:customStyle="1" w:styleId="Heading2Char">
    <w:name w:val="Heading 2 Char"/>
    <w:link w:val="Heading2"/>
    <w:uiPriority w:val="9"/>
    <w:semiHidden/>
    <w:rsid w:val="001C41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OC-Footer">
    <w:name w:val="DOC-Footer"/>
    <w:basedOn w:val="Footer"/>
    <w:qFormat/>
    <w:rsid w:val="001C41B8"/>
    <w:pPr>
      <w:spacing w:before="60" w:after="60" w:line="240" w:lineRule="auto"/>
    </w:pPr>
    <w:rPr>
      <w:rFonts w:cs="Arial"/>
      <w:b/>
      <w:sz w:val="16"/>
    </w:rPr>
  </w:style>
  <w:style w:type="paragraph" w:styleId="ListParagraph">
    <w:name w:val="List Paragraph"/>
    <w:basedOn w:val="Normal"/>
    <w:uiPriority w:val="34"/>
    <w:qFormat/>
    <w:rsid w:val="00C908BF"/>
    <w:pPr>
      <w:ind w:left="720"/>
    </w:pPr>
  </w:style>
  <w:style w:type="table" w:styleId="TableGrid">
    <w:name w:val="Table Grid"/>
    <w:basedOn w:val="TableNormal"/>
    <w:uiPriority w:val="59"/>
    <w:rsid w:val="00C00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FHS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>Policy</dc:subject>
  <dc:creator>Brennan, Arlene (Tacoma)</dc:creator>
  <cp:keywords>Policy Template</cp:keywords>
  <dc:description>Enter Document ID# and Document Title (replace); Check appropriate location boxes.  Save As new Policy document; add Path to Footer; complete document. Enter brief explanation of changes in Approval box.  Once Committee members have approved it, Review box should be deleted. Enter Approval date and Effective date (in footer); send to Medical Director for approval stamp.</dc:description>
  <cp:lastModifiedBy>Willis, Claudia (Tacoma)</cp:lastModifiedBy>
  <cp:revision>5</cp:revision>
  <cp:lastPrinted>2014-02-24T23:08:00Z</cp:lastPrinted>
  <dcterms:created xsi:type="dcterms:W3CDTF">2014-02-19T22:50:00Z</dcterms:created>
  <dcterms:modified xsi:type="dcterms:W3CDTF">2014-02-24T23:08:00Z</dcterms:modified>
  <cp:category>Templates</cp:category>
</cp:coreProperties>
</file>